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2.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drawings/drawing3.xml" ContentType="application/vnd.openxmlformats-officedocument.drawingml.chartshapes+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drawings/drawing4.xml" ContentType="application/vnd.openxmlformats-officedocument.drawingml.chartshapes+xml"/>
  <Override PartName="/word/charts/chart15.xml" ContentType="application/vnd.openxmlformats-officedocument.drawingml.chart+xml"/>
  <Override PartName="/word/drawings/drawing5.xml" ContentType="application/vnd.openxmlformats-officedocument.drawingml.chartshapes+xml"/>
  <Override PartName="/word/charts/chart16.xml" ContentType="application/vnd.openxmlformats-officedocument.drawingml.chart+xml"/>
  <Override PartName="/word/charts/chart17.xml" ContentType="application/vnd.openxmlformats-officedocument.drawingml.chart+xml"/>
  <Override PartName="/word/drawings/drawing6.xml" ContentType="application/vnd.openxmlformats-officedocument.drawingml.chartshapes+xml"/>
  <Override PartName="/word/charts/chart18.xml" ContentType="application/vnd.openxmlformats-officedocument.drawingml.chart+xml"/>
  <Override PartName="/word/drawings/drawing7.xml" ContentType="application/vnd.openxmlformats-officedocument.drawingml.chartshapes+xml"/>
  <Override PartName="/word/charts/chart19.xml" ContentType="application/vnd.openxmlformats-officedocument.drawingml.chart+xml"/>
  <Override PartName="/word/drawings/drawing8.xml" ContentType="application/vnd.openxmlformats-officedocument.drawingml.chartshapes+xml"/>
  <Override PartName="/word/charts/chart20.xml" ContentType="application/vnd.openxmlformats-officedocument.drawingml.chart+xml"/>
  <Override PartName="/word/drawings/drawing9.xml" ContentType="application/vnd.openxmlformats-officedocument.drawingml.chartshapes+xml"/>
  <Override PartName="/word/charts/chart21.xml" ContentType="application/vnd.openxmlformats-officedocument.drawingml.chart+xml"/>
  <Override PartName="/word/drawings/drawing10.xml" ContentType="application/vnd.openxmlformats-officedocument.drawingml.chartshapes+xml"/>
  <Override PartName="/word/charts/chart22.xml" ContentType="application/vnd.openxmlformats-officedocument.drawingml.chart+xml"/>
  <Override PartName="/word/drawings/drawing11.xml" ContentType="application/vnd.openxmlformats-officedocument.drawingml.chartshapes+xml"/>
  <Override PartName="/word/charts/chart23.xml" ContentType="application/vnd.openxmlformats-officedocument.drawingml.chart+xml"/>
  <Override PartName="/word/charts/chart24.xml" ContentType="application/vnd.openxmlformats-officedocument.drawingml.chart+xml"/>
  <Override PartName="/word/drawings/drawing12.xml" ContentType="application/vnd.openxmlformats-officedocument.drawingml.chartshapes+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drawings/drawing13.xml" ContentType="application/vnd.openxmlformats-officedocument.drawingml.chartshapes+xml"/>
  <Override PartName="/word/charts/chart28.xml" ContentType="application/vnd.openxmlformats-officedocument.drawingml.chart+xml"/>
  <Override PartName="/word/drawings/drawing14.xml" ContentType="application/vnd.openxmlformats-officedocument.drawingml.chartshapes+xml"/>
  <Override PartName="/word/charts/chart29.xml" ContentType="application/vnd.openxmlformats-officedocument.drawingml.chart+xml"/>
  <Override PartName="/word/drawings/drawing15.xml" ContentType="application/vnd.openxmlformats-officedocument.drawingml.chartshapes+xml"/>
  <Override PartName="/word/charts/chart30.xml" ContentType="application/vnd.openxmlformats-officedocument.drawingml.chart+xml"/>
  <Override PartName="/word/drawings/drawing16.xml" ContentType="application/vnd.openxmlformats-officedocument.drawingml.chartshapes+xml"/>
  <Override PartName="/word/charts/chart31.xml" ContentType="application/vnd.openxmlformats-officedocument.drawingml.chart+xml"/>
  <Override PartName="/word/charts/chart32.xml" ContentType="application/vnd.openxmlformats-officedocument.drawingml.chart+xml"/>
  <Override PartName="/word/theme/themeOverride1.xml" ContentType="application/vnd.openxmlformats-officedocument.themeOverride+xml"/>
  <Override PartName="/word/charts/chart33.xml" ContentType="application/vnd.openxmlformats-officedocument.drawingml.chart+xml"/>
  <Override PartName="/word/theme/themeOverride2.xml" ContentType="application/vnd.openxmlformats-officedocument.themeOverride+xml"/>
  <Override PartName="/word/charts/chart34.xml" ContentType="application/vnd.openxmlformats-officedocument.drawingml.chart+xml"/>
  <Override PartName="/word/theme/themeOverride3.xml" ContentType="application/vnd.openxmlformats-officedocument.themeOverride+xml"/>
  <Override PartName="/word/charts/chart35.xml" ContentType="application/vnd.openxmlformats-officedocument.drawingml.chart+xml"/>
  <Override PartName="/word/drawings/drawing17.xml" ContentType="application/vnd.openxmlformats-officedocument.drawingml.chartshapes+xml"/>
  <Override PartName="/word/charts/chart36.xml" ContentType="application/vnd.openxmlformats-officedocument.drawingml.chart+xml"/>
  <Override PartName="/word/drawings/drawing18.xml" ContentType="application/vnd.openxmlformats-officedocument.drawingml.chartshapes+xml"/>
  <Override PartName="/word/charts/chart37.xml" ContentType="application/vnd.openxmlformats-officedocument.drawingml.chart+xml"/>
  <Override PartName="/word/theme/themeOverride4.xml" ContentType="application/vnd.openxmlformats-officedocument.themeOverride+xml"/>
  <Override PartName="/word/charts/chart38.xml" ContentType="application/vnd.openxmlformats-officedocument.drawingml.chart+xml"/>
  <Override PartName="/word/drawings/drawing19.xml" ContentType="application/vnd.openxmlformats-officedocument.drawingml.chartshapes+xml"/>
  <Override PartName="/word/charts/chart39.xml" ContentType="application/vnd.openxmlformats-officedocument.drawingml.chart+xml"/>
  <Override PartName="/word/drawings/drawing20.xml" ContentType="application/vnd.openxmlformats-officedocument.drawingml.chartshapes+xml"/>
  <Override PartName="/word/charts/chart40.xml" ContentType="application/vnd.openxmlformats-officedocument.drawingml.chart+xml"/>
  <Override PartName="/word/drawings/drawing21.xml" ContentType="application/vnd.openxmlformats-officedocument.drawingml.chartshapes+xml"/>
  <Override PartName="/word/charts/chart41.xml" ContentType="application/vnd.openxmlformats-officedocument.drawingml.chart+xml"/>
  <Override PartName="/word/drawings/drawing22.xml" ContentType="application/vnd.openxmlformats-officedocument.drawingml.chartshapes+xml"/>
  <Override PartName="/word/charts/chart42.xml" ContentType="application/vnd.openxmlformats-officedocument.drawingml.chart+xml"/>
  <Override PartName="/word/drawings/drawing23.xml" ContentType="application/vnd.openxmlformats-officedocument.drawingml.chartshapes+xml"/>
  <Override PartName="/word/charts/chart43.xml" ContentType="application/vnd.openxmlformats-officedocument.drawingml.chart+xml"/>
  <Override PartName="/word/drawings/drawing24.xml" ContentType="application/vnd.openxmlformats-officedocument.drawingml.chartshapes+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drawings/drawing25.xml" ContentType="application/vnd.openxmlformats-officedocument.drawingml.chartshapes+xml"/>
  <Override PartName="/word/charts/chart57.xml" ContentType="application/vnd.openxmlformats-officedocument.drawingml.chart+xml"/>
  <Override PartName="/word/drawings/drawing26.xml" ContentType="application/vnd.openxmlformats-officedocument.drawingml.chartshapes+xml"/>
  <Override PartName="/word/charts/chart58.xml" ContentType="application/vnd.openxmlformats-officedocument.drawingml.chart+xml"/>
  <Override PartName="/word/drawings/drawing27.xml" ContentType="application/vnd.openxmlformats-officedocument.drawingml.chartshapes+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drawings/drawing28.xml" ContentType="application/vnd.openxmlformats-officedocument.drawingml.chartshapes+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drawings/drawing29.xml" ContentType="application/vnd.openxmlformats-officedocument.drawingml.chartshapes+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theme/themeOverride5.xml" ContentType="application/vnd.openxmlformats-officedocument.themeOverride+xml"/>
  <Override PartName="/word/drawings/drawing30.xml" ContentType="application/vnd.openxmlformats-officedocument.drawingml.chartshapes+xml"/>
  <Override PartName="/word/charts/chart69.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drawings/drawing31.xml" ContentType="application/vnd.openxmlformats-officedocument.drawingml.chartshapes+xml"/>
  <Override PartName="/word/charts/chart72.xml" ContentType="application/vnd.openxmlformats-officedocument.drawingml.chart+xml"/>
  <Override PartName="/word/drawings/drawing32.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7F49" w:rsidRPr="002E4C3B" w:rsidRDefault="001C2038" w:rsidP="00557F49">
      <w:pPr>
        <w:jc w:val="center"/>
        <w:rPr>
          <w:rFonts w:ascii="Cambria" w:hAnsi="Cambria"/>
          <w:b/>
          <w:color w:val="1F497D"/>
          <w:spacing w:val="10"/>
          <w:sz w:val="24"/>
          <w:szCs w:val="24"/>
          <w14:shadow w14:blurRad="50800" w14:dist="38100" w14:dir="2700000" w14:sx="100000" w14:sy="100000" w14:kx="0" w14:ky="0" w14:algn="tl">
            <w14:srgbClr w14:val="000000">
              <w14:alpha w14:val="60000"/>
            </w14:srgbClr>
          </w14:shadow>
        </w:rPr>
      </w:pPr>
      <w:bookmarkStart w:id="0" w:name="_GoBack"/>
      <w:bookmarkEnd w:id="0"/>
      <w:r>
        <w:rPr>
          <w:noProof/>
        </w:rPr>
        <w:drawing>
          <wp:anchor distT="0" distB="0" distL="114300" distR="114300" simplePos="0" relativeHeight="251689472" behindDoc="0" locked="0" layoutInCell="1" allowOverlap="1" wp14:anchorId="3AC6A882" wp14:editId="723B514D">
            <wp:simplePos x="0" y="0"/>
            <wp:positionH relativeFrom="column">
              <wp:posOffset>-186055</wp:posOffset>
            </wp:positionH>
            <wp:positionV relativeFrom="paragraph">
              <wp:posOffset>-174625</wp:posOffset>
            </wp:positionV>
            <wp:extent cx="819150" cy="802005"/>
            <wp:effectExtent l="0" t="0" r="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Logo.png"/>
                    <pic:cNvPicPr/>
                  </pic:nvPicPr>
                  <pic:blipFill>
                    <a:blip r:embed="rId9">
                      <a:extLst>
                        <a:ext uri="{28A0092B-C50C-407E-A947-70E740481C1C}">
                          <a14:useLocalDpi xmlns:a14="http://schemas.microsoft.com/office/drawing/2010/main" val="0"/>
                        </a:ext>
                      </a:extLst>
                    </a:blip>
                    <a:stretch>
                      <a:fillRect/>
                    </a:stretch>
                  </pic:blipFill>
                  <pic:spPr>
                    <a:xfrm>
                      <a:off x="0" y="0"/>
                      <a:ext cx="819150" cy="8020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0" locked="0" layoutInCell="1" allowOverlap="1" wp14:anchorId="73954CA5" wp14:editId="41AA3BD8">
            <wp:simplePos x="0" y="0"/>
            <wp:positionH relativeFrom="column">
              <wp:posOffset>5706374</wp:posOffset>
            </wp:positionH>
            <wp:positionV relativeFrom="paragraph">
              <wp:posOffset>-174254</wp:posOffset>
            </wp:positionV>
            <wp:extent cx="923026" cy="862642"/>
            <wp:effectExtent l="0" t="0" r="0" b="0"/>
            <wp:wrapNone/>
            <wp:docPr id="162" name="Picture 162" descr="SEH Navy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SEH Navy Square"/>
                    <pic:cNvPicPr>
                      <a:picLocks noChangeAspect="1" noChangeArrowheads="1"/>
                    </pic:cNvPicPr>
                  </pic:nvPicPr>
                  <pic:blipFill>
                    <a:blip r:embed="rId10" cstate="print"/>
                    <a:srcRect/>
                    <a:stretch>
                      <a:fillRect/>
                    </a:stretch>
                  </pic:blipFill>
                  <pic:spPr bwMode="auto">
                    <a:xfrm>
                      <a:off x="0" y="0"/>
                      <a:ext cx="924560" cy="8640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E4C3B">
        <w:rPr>
          <w:noProof/>
        </w:rPr>
        <mc:AlternateContent>
          <mc:Choice Requires="wpc">
            <w:drawing>
              <wp:anchor distT="0" distB="0" distL="114300" distR="114300" simplePos="0" relativeHeight="251660800" behindDoc="1" locked="0" layoutInCell="1" allowOverlap="1">
                <wp:simplePos x="0" y="0"/>
                <wp:positionH relativeFrom="column">
                  <wp:posOffset>-699135</wp:posOffset>
                </wp:positionH>
                <wp:positionV relativeFrom="paragraph">
                  <wp:posOffset>-731520</wp:posOffset>
                </wp:positionV>
                <wp:extent cx="7772400" cy="10058400"/>
                <wp:effectExtent l="0" t="0" r="0" b="0"/>
                <wp:wrapNone/>
                <wp:docPr id="139" name="Canvas 166"/>
                <wp:cNvGraphicFramePr>
                  <a:graphicFrameLocks xmlns:a="http://schemas.openxmlformats.org/drawingml/2006/main" noChangeAspect="1"/>
                </wp:cNvGraphicFramePr>
                <a:graphic xmlns:a="http://schemas.openxmlformats.org/drawingml/2006/main">
                  <a:graphicData uri="http://schemas.microsoft.com/office/word/2010/wordprocessingCanvas">
                    <wpc:wpc>
                      <wpc:bg>
                        <a:gradFill flip="none" rotWithShape="0">
                          <a:gsLst>
                            <a:gs pos="0">
                              <a:srgbClr val="8DB3E2">
                                <a:gamma/>
                                <a:tint val="0"/>
                                <a:invGamma/>
                              </a:srgbClr>
                            </a:gs>
                            <a:gs pos="50000">
                              <a:srgbClr val="8DB3E2"/>
                            </a:gs>
                            <a:gs pos="100000">
                              <a:srgbClr val="8DB3E2">
                                <a:gamma/>
                                <a:tint val="0"/>
                                <a:invGamma/>
                              </a:srgbClr>
                            </a:gs>
                          </a:gsLst>
                          <a:lin ang="5400000" scaled="1"/>
                          <a:tileRect/>
                        </a:gradFill>
                      </wpc:bg>
                      <wpc:whole>
                        <a:ln>
                          <a:noFill/>
                        </a:ln>
                      </wpc:whole>
                      <wps:wsp>
                        <wps:cNvPr id="55" name="Freeform 167"/>
                        <wps:cNvSpPr>
                          <a:spLocks/>
                        </wps:cNvSpPr>
                        <wps:spPr bwMode="auto">
                          <a:xfrm>
                            <a:off x="2229855" y="2373374"/>
                            <a:ext cx="3463579" cy="2836982"/>
                          </a:xfrm>
                          <a:custGeom>
                            <a:avLst/>
                            <a:gdLst>
                              <a:gd name="T0" fmla="*/ 1571 w 4845"/>
                              <a:gd name="T1" fmla="*/ 310 h 4425"/>
                              <a:gd name="T2" fmla="*/ 2227 w 4845"/>
                              <a:gd name="T3" fmla="*/ 786 h 4425"/>
                              <a:gd name="T4" fmla="*/ 2361 w 4845"/>
                              <a:gd name="T5" fmla="*/ 903 h 4425"/>
                              <a:gd name="T6" fmla="*/ 1676 w 4845"/>
                              <a:gd name="T7" fmla="*/ 618 h 4425"/>
                              <a:gd name="T8" fmla="*/ 1209 w 4845"/>
                              <a:gd name="T9" fmla="*/ 332 h 4425"/>
                              <a:gd name="T10" fmla="*/ 1800 w 4845"/>
                              <a:gd name="T11" fmla="*/ 833 h 4425"/>
                              <a:gd name="T12" fmla="*/ 2421 w 4845"/>
                              <a:gd name="T13" fmla="*/ 1163 h 4425"/>
                              <a:gd name="T14" fmla="*/ 1918 w 4845"/>
                              <a:gd name="T15" fmla="*/ 1024 h 4425"/>
                              <a:gd name="T16" fmla="*/ 1209 w 4845"/>
                              <a:gd name="T17" fmla="*/ 667 h 4425"/>
                              <a:gd name="T18" fmla="*/ 1357 w 4845"/>
                              <a:gd name="T19" fmla="*/ 848 h 4425"/>
                              <a:gd name="T20" fmla="*/ 1920 w 4845"/>
                              <a:gd name="T21" fmla="*/ 1225 h 4425"/>
                              <a:gd name="T22" fmla="*/ 2037 w 4845"/>
                              <a:gd name="T23" fmla="*/ 1334 h 4425"/>
                              <a:gd name="T24" fmla="*/ 1441 w 4845"/>
                              <a:gd name="T25" fmla="*/ 1119 h 4425"/>
                              <a:gd name="T26" fmla="*/ 1007 w 4845"/>
                              <a:gd name="T27" fmla="*/ 915 h 4425"/>
                              <a:gd name="T28" fmla="*/ 1449 w 4845"/>
                              <a:gd name="T29" fmla="*/ 1263 h 4425"/>
                              <a:gd name="T30" fmla="*/ 1865 w 4845"/>
                              <a:gd name="T31" fmla="*/ 1481 h 4425"/>
                              <a:gd name="T32" fmla="*/ 1501 w 4845"/>
                              <a:gd name="T33" fmla="*/ 1416 h 4425"/>
                              <a:gd name="T34" fmla="*/ 1002 w 4845"/>
                              <a:gd name="T35" fmla="*/ 1218 h 4425"/>
                              <a:gd name="T36" fmla="*/ 1157 w 4845"/>
                              <a:gd name="T37" fmla="*/ 1379 h 4425"/>
                              <a:gd name="T38" fmla="*/ 1795 w 4845"/>
                              <a:gd name="T39" fmla="*/ 1739 h 4425"/>
                              <a:gd name="T40" fmla="*/ 1930 w 4845"/>
                              <a:gd name="T41" fmla="*/ 1853 h 4425"/>
                              <a:gd name="T42" fmla="*/ 1257 w 4845"/>
                              <a:gd name="T43" fmla="*/ 1640 h 4425"/>
                              <a:gd name="T44" fmla="*/ 795 w 4845"/>
                              <a:gd name="T45" fmla="*/ 1463 h 4425"/>
                              <a:gd name="T46" fmla="*/ 1379 w 4845"/>
                              <a:gd name="T47" fmla="*/ 1828 h 4425"/>
                              <a:gd name="T48" fmla="*/ 1995 w 4845"/>
                              <a:gd name="T49" fmla="*/ 2123 h 4425"/>
                              <a:gd name="T50" fmla="*/ 1496 w 4845"/>
                              <a:gd name="T51" fmla="*/ 2012 h 4425"/>
                              <a:gd name="T52" fmla="*/ 785 w 4845"/>
                              <a:gd name="T53" fmla="*/ 1749 h 4425"/>
                              <a:gd name="T54" fmla="*/ 940 w 4845"/>
                              <a:gd name="T55" fmla="*/ 1900 h 4425"/>
                              <a:gd name="T56" fmla="*/ 1591 w 4845"/>
                              <a:gd name="T57" fmla="*/ 2242 h 4425"/>
                              <a:gd name="T58" fmla="*/ 1728 w 4845"/>
                              <a:gd name="T59" fmla="*/ 2356 h 4425"/>
                              <a:gd name="T60" fmla="*/ 1042 w 4845"/>
                              <a:gd name="T61" fmla="*/ 2158 h 4425"/>
                              <a:gd name="T62" fmla="*/ 561 w 4845"/>
                              <a:gd name="T63" fmla="*/ 1989 h 4425"/>
                              <a:gd name="T64" fmla="*/ 1167 w 4845"/>
                              <a:gd name="T65" fmla="*/ 2349 h 4425"/>
                              <a:gd name="T66" fmla="*/ 1800 w 4845"/>
                              <a:gd name="T67" fmla="*/ 2634 h 4425"/>
                              <a:gd name="T68" fmla="*/ 1292 w 4845"/>
                              <a:gd name="T69" fmla="*/ 2535 h 4425"/>
                              <a:gd name="T70" fmla="*/ 549 w 4845"/>
                              <a:gd name="T71" fmla="*/ 2272 h 4425"/>
                              <a:gd name="T72" fmla="*/ 711 w 4845"/>
                              <a:gd name="T73" fmla="*/ 2423 h 4425"/>
                              <a:gd name="T74" fmla="*/ 1391 w 4845"/>
                              <a:gd name="T75" fmla="*/ 2771 h 4425"/>
                              <a:gd name="T76" fmla="*/ 1534 w 4845"/>
                              <a:gd name="T77" fmla="*/ 2885 h 4425"/>
                              <a:gd name="T78" fmla="*/ 820 w 4845"/>
                              <a:gd name="T79" fmla="*/ 2694 h 4425"/>
                              <a:gd name="T80" fmla="*/ 302 w 4845"/>
                              <a:gd name="T81" fmla="*/ 2505 h 4425"/>
                              <a:gd name="T82" fmla="*/ 953 w 4845"/>
                              <a:gd name="T83" fmla="*/ 2890 h 4425"/>
                              <a:gd name="T84" fmla="*/ 1616 w 4845"/>
                              <a:gd name="T85" fmla="*/ 3172 h 4425"/>
                              <a:gd name="T86" fmla="*/ 1085 w 4845"/>
                              <a:gd name="T87" fmla="*/ 3086 h 4425"/>
                              <a:gd name="T88" fmla="*/ 284 w 4845"/>
                              <a:gd name="T89" fmla="*/ 2795 h 4425"/>
                              <a:gd name="T90" fmla="*/ 464 w 4845"/>
                              <a:gd name="T91" fmla="*/ 2964 h 4425"/>
                              <a:gd name="T92" fmla="*/ 1197 w 4845"/>
                              <a:gd name="T93" fmla="*/ 3331 h 4425"/>
                              <a:gd name="T94" fmla="*/ 1349 w 4845"/>
                              <a:gd name="T95" fmla="*/ 3445 h 4425"/>
                              <a:gd name="T96" fmla="*/ 586 w 4845"/>
                              <a:gd name="T97" fmla="*/ 3252 h 4425"/>
                              <a:gd name="T98" fmla="*/ 5 w 4845"/>
                              <a:gd name="T99" fmla="*/ 3026 h 4425"/>
                              <a:gd name="T100" fmla="*/ 1050 w 4845"/>
                              <a:gd name="T101" fmla="*/ 3530 h 4425"/>
                              <a:gd name="T102" fmla="*/ 2002 w 4845"/>
                              <a:gd name="T103" fmla="*/ 3728 h 4425"/>
                              <a:gd name="T104" fmla="*/ 2818 w 4845"/>
                              <a:gd name="T105" fmla="*/ 3874 h 4425"/>
                              <a:gd name="T106" fmla="*/ 3631 w 4845"/>
                              <a:gd name="T107" fmla="*/ 4328 h 4425"/>
                              <a:gd name="T108" fmla="*/ 4015 w 4845"/>
                              <a:gd name="T109" fmla="*/ 3175 h 4425"/>
                              <a:gd name="T110" fmla="*/ 4725 w 4845"/>
                              <a:gd name="T111" fmla="*/ 2004 h 4425"/>
                              <a:gd name="T112" fmla="*/ 4144 w 4845"/>
                              <a:gd name="T113" fmla="*/ 1258 h 4425"/>
                              <a:gd name="T114" fmla="*/ 3324 w 4845"/>
                              <a:gd name="T115" fmla="*/ 992 h 4425"/>
                              <a:gd name="T116" fmla="*/ 2441 w 4845"/>
                              <a:gd name="T117" fmla="*/ 769 h 4425"/>
                              <a:gd name="T118" fmla="*/ 1449 w 4845"/>
                              <a:gd name="T119" fmla="*/ 131 h 44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845" h="4425">
                                <a:moveTo>
                                  <a:pt x="1314" y="0"/>
                                </a:moveTo>
                                <a:lnTo>
                                  <a:pt x="1312" y="10"/>
                                </a:lnTo>
                                <a:lnTo>
                                  <a:pt x="1309" y="17"/>
                                </a:lnTo>
                                <a:lnTo>
                                  <a:pt x="1307" y="25"/>
                                </a:lnTo>
                                <a:lnTo>
                                  <a:pt x="1304" y="35"/>
                                </a:lnTo>
                                <a:lnTo>
                                  <a:pt x="1394" y="134"/>
                                </a:lnTo>
                                <a:lnTo>
                                  <a:pt x="1484" y="226"/>
                                </a:lnTo>
                                <a:lnTo>
                                  <a:pt x="1571" y="310"/>
                                </a:lnTo>
                                <a:lnTo>
                                  <a:pt x="1656" y="387"/>
                                </a:lnTo>
                                <a:lnTo>
                                  <a:pt x="1741" y="459"/>
                                </a:lnTo>
                                <a:lnTo>
                                  <a:pt x="1825" y="526"/>
                                </a:lnTo>
                                <a:lnTo>
                                  <a:pt x="1908" y="588"/>
                                </a:lnTo>
                                <a:lnTo>
                                  <a:pt x="1987" y="642"/>
                                </a:lnTo>
                                <a:lnTo>
                                  <a:pt x="2070" y="695"/>
                                </a:lnTo>
                                <a:lnTo>
                                  <a:pt x="2147" y="744"/>
                                </a:lnTo>
                                <a:lnTo>
                                  <a:pt x="2227" y="786"/>
                                </a:lnTo>
                                <a:lnTo>
                                  <a:pt x="2304" y="826"/>
                                </a:lnTo>
                                <a:lnTo>
                                  <a:pt x="2381" y="866"/>
                                </a:lnTo>
                                <a:lnTo>
                                  <a:pt x="2459" y="900"/>
                                </a:lnTo>
                                <a:lnTo>
                                  <a:pt x="2536" y="933"/>
                                </a:lnTo>
                                <a:lnTo>
                                  <a:pt x="2611" y="962"/>
                                </a:lnTo>
                                <a:lnTo>
                                  <a:pt x="2528" y="945"/>
                                </a:lnTo>
                                <a:lnTo>
                                  <a:pt x="2446" y="925"/>
                                </a:lnTo>
                                <a:lnTo>
                                  <a:pt x="2361" y="903"/>
                                </a:lnTo>
                                <a:lnTo>
                                  <a:pt x="2279" y="878"/>
                                </a:lnTo>
                                <a:lnTo>
                                  <a:pt x="2194" y="851"/>
                                </a:lnTo>
                                <a:lnTo>
                                  <a:pt x="2110" y="821"/>
                                </a:lnTo>
                                <a:lnTo>
                                  <a:pt x="2025" y="786"/>
                                </a:lnTo>
                                <a:lnTo>
                                  <a:pt x="1940" y="749"/>
                                </a:lnTo>
                                <a:lnTo>
                                  <a:pt x="1853" y="709"/>
                                </a:lnTo>
                                <a:lnTo>
                                  <a:pt x="1765" y="665"/>
                                </a:lnTo>
                                <a:lnTo>
                                  <a:pt x="1676" y="618"/>
                                </a:lnTo>
                                <a:lnTo>
                                  <a:pt x="1586" y="566"/>
                                </a:lnTo>
                                <a:lnTo>
                                  <a:pt x="1496" y="508"/>
                                </a:lnTo>
                                <a:lnTo>
                                  <a:pt x="1404" y="446"/>
                                </a:lnTo>
                                <a:lnTo>
                                  <a:pt x="1312" y="382"/>
                                </a:lnTo>
                                <a:lnTo>
                                  <a:pt x="1217" y="310"/>
                                </a:lnTo>
                                <a:lnTo>
                                  <a:pt x="1214" y="317"/>
                                </a:lnTo>
                                <a:lnTo>
                                  <a:pt x="1212" y="325"/>
                                </a:lnTo>
                                <a:lnTo>
                                  <a:pt x="1209" y="332"/>
                                </a:lnTo>
                                <a:lnTo>
                                  <a:pt x="1207" y="342"/>
                                </a:lnTo>
                                <a:lnTo>
                                  <a:pt x="1297" y="429"/>
                                </a:lnTo>
                                <a:lnTo>
                                  <a:pt x="1381" y="508"/>
                                </a:lnTo>
                                <a:lnTo>
                                  <a:pt x="1469" y="583"/>
                                </a:lnTo>
                                <a:lnTo>
                                  <a:pt x="1553" y="652"/>
                                </a:lnTo>
                                <a:lnTo>
                                  <a:pt x="1636" y="717"/>
                                </a:lnTo>
                                <a:lnTo>
                                  <a:pt x="1718" y="776"/>
                                </a:lnTo>
                                <a:lnTo>
                                  <a:pt x="1800" y="833"/>
                                </a:lnTo>
                                <a:lnTo>
                                  <a:pt x="1880" y="885"/>
                                </a:lnTo>
                                <a:lnTo>
                                  <a:pt x="1960" y="933"/>
                                </a:lnTo>
                                <a:lnTo>
                                  <a:pt x="2037" y="977"/>
                                </a:lnTo>
                                <a:lnTo>
                                  <a:pt x="2117" y="1019"/>
                                </a:lnTo>
                                <a:lnTo>
                                  <a:pt x="2194" y="1059"/>
                                </a:lnTo>
                                <a:lnTo>
                                  <a:pt x="2269" y="1096"/>
                                </a:lnTo>
                                <a:lnTo>
                                  <a:pt x="2346" y="1129"/>
                                </a:lnTo>
                                <a:lnTo>
                                  <a:pt x="2421" y="1163"/>
                                </a:lnTo>
                                <a:lnTo>
                                  <a:pt x="2496" y="1193"/>
                                </a:lnTo>
                                <a:lnTo>
                                  <a:pt x="2414" y="1176"/>
                                </a:lnTo>
                                <a:lnTo>
                                  <a:pt x="2334" y="1156"/>
                                </a:lnTo>
                                <a:lnTo>
                                  <a:pt x="2252" y="1134"/>
                                </a:lnTo>
                                <a:lnTo>
                                  <a:pt x="2167" y="1109"/>
                                </a:lnTo>
                                <a:lnTo>
                                  <a:pt x="2085" y="1084"/>
                                </a:lnTo>
                                <a:lnTo>
                                  <a:pt x="2002" y="1057"/>
                                </a:lnTo>
                                <a:lnTo>
                                  <a:pt x="1918" y="1024"/>
                                </a:lnTo>
                                <a:lnTo>
                                  <a:pt x="1833" y="992"/>
                                </a:lnTo>
                                <a:lnTo>
                                  <a:pt x="1745" y="955"/>
                                </a:lnTo>
                                <a:lnTo>
                                  <a:pt x="1658" y="915"/>
                                </a:lnTo>
                                <a:lnTo>
                                  <a:pt x="1571" y="873"/>
                                </a:lnTo>
                                <a:lnTo>
                                  <a:pt x="1484" y="828"/>
                                </a:lnTo>
                                <a:lnTo>
                                  <a:pt x="1394" y="779"/>
                                </a:lnTo>
                                <a:lnTo>
                                  <a:pt x="1302" y="724"/>
                                </a:lnTo>
                                <a:lnTo>
                                  <a:pt x="1209" y="667"/>
                                </a:lnTo>
                                <a:lnTo>
                                  <a:pt x="1117" y="608"/>
                                </a:lnTo>
                                <a:lnTo>
                                  <a:pt x="1115" y="615"/>
                                </a:lnTo>
                                <a:lnTo>
                                  <a:pt x="1112" y="623"/>
                                </a:lnTo>
                                <a:lnTo>
                                  <a:pt x="1110" y="630"/>
                                </a:lnTo>
                                <a:lnTo>
                                  <a:pt x="1107" y="637"/>
                                </a:lnTo>
                                <a:lnTo>
                                  <a:pt x="1194" y="714"/>
                                </a:lnTo>
                                <a:lnTo>
                                  <a:pt x="1277" y="784"/>
                                </a:lnTo>
                                <a:lnTo>
                                  <a:pt x="1357" y="848"/>
                                </a:lnTo>
                                <a:lnTo>
                                  <a:pt x="1431" y="908"/>
                                </a:lnTo>
                                <a:lnTo>
                                  <a:pt x="1506" y="965"/>
                                </a:lnTo>
                                <a:lnTo>
                                  <a:pt x="1578" y="1014"/>
                                </a:lnTo>
                                <a:lnTo>
                                  <a:pt x="1648" y="1064"/>
                                </a:lnTo>
                                <a:lnTo>
                                  <a:pt x="1718" y="1109"/>
                                </a:lnTo>
                                <a:lnTo>
                                  <a:pt x="1785" y="1151"/>
                                </a:lnTo>
                                <a:lnTo>
                                  <a:pt x="1853" y="1188"/>
                                </a:lnTo>
                                <a:lnTo>
                                  <a:pt x="1920" y="1225"/>
                                </a:lnTo>
                                <a:lnTo>
                                  <a:pt x="1990" y="1260"/>
                                </a:lnTo>
                                <a:lnTo>
                                  <a:pt x="2057" y="1295"/>
                                </a:lnTo>
                                <a:lnTo>
                                  <a:pt x="2127" y="1327"/>
                                </a:lnTo>
                                <a:lnTo>
                                  <a:pt x="2199" y="1357"/>
                                </a:lnTo>
                                <a:lnTo>
                                  <a:pt x="2272" y="1389"/>
                                </a:lnTo>
                                <a:lnTo>
                                  <a:pt x="2192" y="1372"/>
                                </a:lnTo>
                                <a:lnTo>
                                  <a:pt x="2115" y="1352"/>
                                </a:lnTo>
                                <a:lnTo>
                                  <a:pt x="2037" y="1334"/>
                                </a:lnTo>
                                <a:lnTo>
                                  <a:pt x="1962" y="1312"/>
                                </a:lnTo>
                                <a:lnTo>
                                  <a:pt x="1890" y="1292"/>
                                </a:lnTo>
                                <a:lnTo>
                                  <a:pt x="1815" y="1267"/>
                                </a:lnTo>
                                <a:lnTo>
                                  <a:pt x="1743" y="1243"/>
                                </a:lnTo>
                                <a:lnTo>
                                  <a:pt x="1668" y="1215"/>
                                </a:lnTo>
                                <a:lnTo>
                                  <a:pt x="1593" y="1186"/>
                                </a:lnTo>
                                <a:lnTo>
                                  <a:pt x="1519" y="1153"/>
                                </a:lnTo>
                                <a:lnTo>
                                  <a:pt x="1441" y="1119"/>
                                </a:lnTo>
                                <a:lnTo>
                                  <a:pt x="1361" y="1081"/>
                                </a:lnTo>
                                <a:lnTo>
                                  <a:pt x="1279" y="1039"/>
                                </a:lnTo>
                                <a:lnTo>
                                  <a:pt x="1197" y="995"/>
                                </a:lnTo>
                                <a:lnTo>
                                  <a:pt x="1110" y="945"/>
                                </a:lnTo>
                                <a:lnTo>
                                  <a:pt x="1017" y="893"/>
                                </a:lnTo>
                                <a:lnTo>
                                  <a:pt x="1015" y="900"/>
                                </a:lnTo>
                                <a:lnTo>
                                  <a:pt x="1012" y="908"/>
                                </a:lnTo>
                                <a:lnTo>
                                  <a:pt x="1007" y="915"/>
                                </a:lnTo>
                                <a:lnTo>
                                  <a:pt x="1005" y="923"/>
                                </a:lnTo>
                                <a:lnTo>
                                  <a:pt x="1087" y="990"/>
                                </a:lnTo>
                                <a:lnTo>
                                  <a:pt x="1162" y="1049"/>
                                </a:lnTo>
                                <a:lnTo>
                                  <a:pt x="1232" y="1101"/>
                                </a:lnTo>
                                <a:lnTo>
                                  <a:pt x="1292" y="1148"/>
                                </a:lnTo>
                                <a:lnTo>
                                  <a:pt x="1349" y="1191"/>
                                </a:lnTo>
                                <a:lnTo>
                                  <a:pt x="1401" y="1228"/>
                                </a:lnTo>
                                <a:lnTo>
                                  <a:pt x="1449" y="1263"/>
                                </a:lnTo>
                                <a:lnTo>
                                  <a:pt x="1496" y="1295"/>
                                </a:lnTo>
                                <a:lnTo>
                                  <a:pt x="1544" y="1322"/>
                                </a:lnTo>
                                <a:lnTo>
                                  <a:pt x="1591" y="1349"/>
                                </a:lnTo>
                                <a:lnTo>
                                  <a:pt x="1638" y="1374"/>
                                </a:lnTo>
                                <a:lnTo>
                                  <a:pt x="1688" y="1401"/>
                                </a:lnTo>
                                <a:lnTo>
                                  <a:pt x="1743" y="1426"/>
                                </a:lnTo>
                                <a:lnTo>
                                  <a:pt x="1800" y="1451"/>
                                </a:lnTo>
                                <a:lnTo>
                                  <a:pt x="1865" y="1481"/>
                                </a:lnTo>
                                <a:lnTo>
                                  <a:pt x="1935" y="1511"/>
                                </a:lnTo>
                                <a:lnTo>
                                  <a:pt x="1858" y="1493"/>
                                </a:lnTo>
                                <a:lnTo>
                                  <a:pt x="1788" y="1478"/>
                                </a:lnTo>
                                <a:lnTo>
                                  <a:pt x="1723" y="1466"/>
                                </a:lnTo>
                                <a:lnTo>
                                  <a:pt x="1666" y="1454"/>
                                </a:lnTo>
                                <a:lnTo>
                                  <a:pt x="1608" y="1441"/>
                                </a:lnTo>
                                <a:lnTo>
                                  <a:pt x="1553" y="1429"/>
                                </a:lnTo>
                                <a:lnTo>
                                  <a:pt x="1501" y="1416"/>
                                </a:lnTo>
                                <a:lnTo>
                                  <a:pt x="1451" y="1404"/>
                                </a:lnTo>
                                <a:lnTo>
                                  <a:pt x="1396" y="1387"/>
                                </a:lnTo>
                                <a:lnTo>
                                  <a:pt x="1342" y="1369"/>
                                </a:lnTo>
                                <a:lnTo>
                                  <a:pt x="1284" y="1347"/>
                                </a:lnTo>
                                <a:lnTo>
                                  <a:pt x="1222" y="1322"/>
                                </a:lnTo>
                                <a:lnTo>
                                  <a:pt x="1155" y="1292"/>
                                </a:lnTo>
                                <a:lnTo>
                                  <a:pt x="1082" y="1258"/>
                                </a:lnTo>
                                <a:lnTo>
                                  <a:pt x="1002" y="1218"/>
                                </a:lnTo>
                                <a:lnTo>
                                  <a:pt x="913" y="1171"/>
                                </a:lnTo>
                                <a:lnTo>
                                  <a:pt x="910" y="1178"/>
                                </a:lnTo>
                                <a:lnTo>
                                  <a:pt x="908" y="1186"/>
                                </a:lnTo>
                                <a:lnTo>
                                  <a:pt x="903" y="1193"/>
                                </a:lnTo>
                                <a:lnTo>
                                  <a:pt x="900" y="1201"/>
                                </a:lnTo>
                                <a:lnTo>
                                  <a:pt x="987" y="1263"/>
                                </a:lnTo>
                                <a:lnTo>
                                  <a:pt x="1072" y="1322"/>
                                </a:lnTo>
                                <a:lnTo>
                                  <a:pt x="1157" y="1379"/>
                                </a:lnTo>
                                <a:lnTo>
                                  <a:pt x="1242" y="1431"/>
                                </a:lnTo>
                                <a:lnTo>
                                  <a:pt x="1324" y="1483"/>
                                </a:lnTo>
                                <a:lnTo>
                                  <a:pt x="1404" y="1530"/>
                                </a:lnTo>
                                <a:lnTo>
                                  <a:pt x="1484" y="1578"/>
                                </a:lnTo>
                                <a:lnTo>
                                  <a:pt x="1563" y="1620"/>
                                </a:lnTo>
                                <a:lnTo>
                                  <a:pt x="1641" y="1662"/>
                                </a:lnTo>
                                <a:lnTo>
                                  <a:pt x="1718" y="1702"/>
                                </a:lnTo>
                                <a:lnTo>
                                  <a:pt x="1795" y="1739"/>
                                </a:lnTo>
                                <a:lnTo>
                                  <a:pt x="1873" y="1776"/>
                                </a:lnTo>
                                <a:lnTo>
                                  <a:pt x="1947" y="1811"/>
                                </a:lnTo>
                                <a:lnTo>
                                  <a:pt x="2022" y="1845"/>
                                </a:lnTo>
                                <a:lnTo>
                                  <a:pt x="2097" y="1878"/>
                                </a:lnTo>
                                <a:lnTo>
                                  <a:pt x="2172" y="1910"/>
                                </a:lnTo>
                                <a:lnTo>
                                  <a:pt x="2092" y="1893"/>
                                </a:lnTo>
                                <a:lnTo>
                                  <a:pt x="2010" y="1873"/>
                                </a:lnTo>
                                <a:lnTo>
                                  <a:pt x="1930" y="1853"/>
                                </a:lnTo>
                                <a:lnTo>
                                  <a:pt x="1848" y="1831"/>
                                </a:lnTo>
                                <a:lnTo>
                                  <a:pt x="1765" y="1808"/>
                                </a:lnTo>
                                <a:lnTo>
                                  <a:pt x="1683" y="1786"/>
                                </a:lnTo>
                                <a:lnTo>
                                  <a:pt x="1601" y="1759"/>
                                </a:lnTo>
                                <a:lnTo>
                                  <a:pt x="1516" y="1731"/>
                                </a:lnTo>
                                <a:lnTo>
                                  <a:pt x="1431" y="1704"/>
                                </a:lnTo>
                                <a:lnTo>
                                  <a:pt x="1344" y="1672"/>
                                </a:lnTo>
                                <a:lnTo>
                                  <a:pt x="1257" y="1640"/>
                                </a:lnTo>
                                <a:lnTo>
                                  <a:pt x="1169" y="1605"/>
                                </a:lnTo>
                                <a:lnTo>
                                  <a:pt x="1080" y="1568"/>
                                </a:lnTo>
                                <a:lnTo>
                                  <a:pt x="990" y="1528"/>
                                </a:lnTo>
                                <a:lnTo>
                                  <a:pt x="898" y="1486"/>
                                </a:lnTo>
                                <a:lnTo>
                                  <a:pt x="803" y="1441"/>
                                </a:lnTo>
                                <a:lnTo>
                                  <a:pt x="800" y="1449"/>
                                </a:lnTo>
                                <a:lnTo>
                                  <a:pt x="798" y="1456"/>
                                </a:lnTo>
                                <a:lnTo>
                                  <a:pt x="795" y="1463"/>
                                </a:lnTo>
                                <a:lnTo>
                                  <a:pt x="793" y="1468"/>
                                </a:lnTo>
                                <a:lnTo>
                                  <a:pt x="880" y="1528"/>
                                </a:lnTo>
                                <a:lnTo>
                                  <a:pt x="965" y="1585"/>
                                </a:lnTo>
                                <a:lnTo>
                                  <a:pt x="1050" y="1637"/>
                                </a:lnTo>
                                <a:lnTo>
                                  <a:pt x="1135" y="1689"/>
                                </a:lnTo>
                                <a:lnTo>
                                  <a:pt x="1217" y="1739"/>
                                </a:lnTo>
                                <a:lnTo>
                                  <a:pt x="1299" y="1786"/>
                                </a:lnTo>
                                <a:lnTo>
                                  <a:pt x="1379" y="1828"/>
                                </a:lnTo>
                                <a:lnTo>
                                  <a:pt x="1459" y="1870"/>
                                </a:lnTo>
                                <a:lnTo>
                                  <a:pt x="1536" y="1912"/>
                                </a:lnTo>
                                <a:lnTo>
                                  <a:pt x="1616" y="1950"/>
                                </a:lnTo>
                                <a:lnTo>
                                  <a:pt x="1693" y="1987"/>
                                </a:lnTo>
                                <a:lnTo>
                                  <a:pt x="1768" y="2024"/>
                                </a:lnTo>
                                <a:lnTo>
                                  <a:pt x="1845" y="2059"/>
                                </a:lnTo>
                                <a:lnTo>
                                  <a:pt x="1920" y="2091"/>
                                </a:lnTo>
                                <a:lnTo>
                                  <a:pt x="1995" y="2123"/>
                                </a:lnTo>
                                <a:lnTo>
                                  <a:pt x="2070" y="2155"/>
                                </a:lnTo>
                                <a:lnTo>
                                  <a:pt x="1990" y="2138"/>
                                </a:lnTo>
                                <a:lnTo>
                                  <a:pt x="1910" y="2118"/>
                                </a:lnTo>
                                <a:lnTo>
                                  <a:pt x="1828" y="2101"/>
                                </a:lnTo>
                                <a:lnTo>
                                  <a:pt x="1745" y="2079"/>
                                </a:lnTo>
                                <a:lnTo>
                                  <a:pt x="1663" y="2059"/>
                                </a:lnTo>
                                <a:lnTo>
                                  <a:pt x="1581" y="2036"/>
                                </a:lnTo>
                                <a:lnTo>
                                  <a:pt x="1496" y="2012"/>
                                </a:lnTo>
                                <a:lnTo>
                                  <a:pt x="1411" y="1984"/>
                                </a:lnTo>
                                <a:lnTo>
                                  <a:pt x="1327" y="1957"/>
                                </a:lnTo>
                                <a:lnTo>
                                  <a:pt x="1239" y="1927"/>
                                </a:lnTo>
                                <a:lnTo>
                                  <a:pt x="1152" y="1897"/>
                                </a:lnTo>
                                <a:lnTo>
                                  <a:pt x="1062" y="1863"/>
                                </a:lnTo>
                                <a:lnTo>
                                  <a:pt x="972" y="1828"/>
                                </a:lnTo>
                                <a:lnTo>
                                  <a:pt x="880" y="1791"/>
                                </a:lnTo>
                                <a:lnTo>
                                  <a:pt x="785" y="1749"/>
                                </a:lnTo>
                                <a:lnTo>
                                  <a:pt x="691" y="1707"/>
                                </a:lnTo>
                                <a:lnTo>
                                  <a:pt x="688" y="1714"/>
                                </a:lnTo>
                                <a:lnTo>
                                  <a:pt x="686" y="1719"/>
                                </a:lnTo>
                                <a:lnTo>
                                  <a:pt x="681" y="1726"/>
                                </a:lnTo>
                                <a:lnTo>
                                  <a:pt x="678" y="1734"/>
                                </a:lnTo>
                                <a:lnTo>
                                  <a:pt x="768" y="1791"/>
                                </a:lnTo>
                                <a:lnTo>
                                  <a:pt x="855" y="1845"/>
                                </a:lnTo>
                                <a:lnTo>
                                  <a:pt x="940" y="1900"/>
                                </a:lnTo>
                                <a:lnTo>
                                  <a:pt x="1025" y="1950"/>
                                </a:lnTo>
                                <a:lnTo>
                                  <a:pt x="1110" y="1997"/>
                                </a:lnTo>
                                <a:lnTo>
                                  <a:pt x="1192" y="2041"/>
                                </a:lnTo>
                                <a:lnTo>
                                  <a:pt x="1274" y="2086"/>
                                </a:lnTo>
                                <a:lnTo>
                                  <a:pt x="1354" y="2128"/>
                                </a:lnTo>
                                <a:lnTo>
                                  <a:pt x="1434" y="2168"/>
                                </a:lnTo>
                                <a:lnTo>
                                  <a:pt x="1511" y="2205"/>
                                </a:lnTo>
                                <a:lnTo>
                                  <a:pt x="1591" y="2242"/>
                                </a:lnTo>
                                <a:lnTo>
                                  <a:pt x="1668" y="2279"/>
                                </a:lnTo>
                                <a:lnTo>
                                  <a:pt x="1743" y="2312"/>
                                </a:lnTo>
                                <a:lnTo>
                                  <a:pt x="1820" y="2346"/>
                                </a:lnTo>
                                <a:lnTo>
                                  <a:pt x="1895" y="2376"/>
                                </a:lnTo>
                                <a:lnTo>
                                  <a:pt x="1970" y="2408"/>
                                </a:lnTo>
                                <a:lnTo>
                                  <a:pt x="1890" y="2391"/>
                                </a:lnTo>
                                <a:lnTo>
                                  <a:pt x="1808" y="2374"/>
                                </a:lnTo>
                                <a:lnTo>
                                  <a:pt x="1728" y="2356"/>
                                </a:lnTo>
                                <a:lnTo>
                                  <a:pt x="1646" y="2337"/>
                                </a:lnTo>
                                <a:lnTo>
                                  <a:pt x="1561" y="2317"/>
                                </a:lnTo>
                                <a:lnTo>
                                  <a:pt x="1479" y="2294"/>
                                </a:lnTo>
                                <a:lnTo>
                                  <a:pt x="1394" y="2270"/>
                                </a:lnTo>
                                <a:lnTo>
                                  <a:pt x="1309" y="2245"/>
                                </a:lnTo>
                                <a:lnTo>
                                  <a:pt x="1222" y="2217"/>
                                </a:lnTo>
                                <a:lnTo>
                                  <a:pt x="1132" y="2188"/>
                                </a:lnTo>
                                <a:lnTo>
                                  <a:pt x="1042" y="2158"/>
                                </a:lnTo>
                                <a:lnTo>
                                  <a:pt x="953" y="2123"/>
                                </a:lnTo>
                                <a:lnTo>
                                  <a:pt x="860" y="2088"/>
                                </a:lnTo>
                                <a:lnTo>
                                  <a:pt x="766" y="2051"/>
                                </a:lnTo>
                                <a:lnTo>
                                  <a:pt x="668" y="2009"/>
                                </a:lnTo>
                                <a:lnTo>
                                  <a:pt x="571" y="1967"/>
                                </a:lnTo>
                                <a:lnTo>
                                  <a:pt x="569" y="1974"/>
                                </a:lnTo>
                                <a:lnTo>
                                  <a:pt x="566" y="1982"/>
                                </a:lnTo>
                                <a:lnTo>
                                  <a:pt x="561" y="1989"/>
                                </a:lnTo>
                                <a:lnTo>
                                  <a:pt x="559" y="1994"/>
                                </a:lnTo>
                                <a:lnTo>
                                  <a:pt x="651" y="2051"/>
                                </a:lnTo>
                                <a:lnTo>
                                  <a:pt x="741" y="2108"/>
                                </a:lnTo>
                                <a:lnTo>
                                  <a:pt x="828" y="2160"/>
                                </a:lnTo>
                                <a:lnTo>
                                  <a:pt x="915" y="2210"/>
                                </a:lnTo>
                                <a:lnTo>
                                  <a:pt x="1000" y="2260"/>
                                </a:lnTo>
                                <a:lnTo>
                                  <a:pt x="1085" y="2304"/>
                                </a:lnTo>
                                <a:lnTo>
                                  <a:pt x="1167" y="2349"/>
                                </a:lnTo>
                                <a:lnTo>
                                  <a:pt x="1249" y="2389"/>
                                </a:lnTo>
                                <a:lnTo>
                                  <a:pt x="1332" y="2428"/>
                                </a:lnTo>
                                <a:lnTo>
                                  <a:pt x="1411" y="2468"/>
                                </a:lnTo>
                                <a:lnTo>
                                  <a:pt x="1489" y="2503"/>
                                </a:lnTo>
                                <a:lnTo>
                                  <a:pt x="1568" y="2537"/>
                                </a:lnTo>
                                <a:lnTo>
                                  <a:pt x="1646" y="2572"/>
                                </a:lnTo>
                                <a:lnTo>
                                  <a:pt x="1723" y="2604"/>
                                </a:lnTo>
                                <a:lnTo>
                                  <a:pt x="1800" y="2634"/>
                                </a:lnTo>
                                <a:lnTo>
                                  <a:pt x="1875" y="2664"/>
                                </a:lnTo>
                                <a:lnTo>
                                  <a:pt x="1793" y="2649"/>
                                </a:lnTo>
                                <a:lnTo>
                                  <a:pt x="1713" y="2634"/>
                                </a:lnTo>
                                <a:lnTo>
                                  <a:pt x="1631" y="2617"/>
                                </a:lnTo>
                                <a:lnTo>
                                  <a:pt x="1546" y="2597"/>
                                </a:lnTo>
                                <a:lnTo>
                                  <a:pt x="1464" y="2580"/>
                                </a:lnTo>
                                <a:lnTo>
                                  <a:pt x="1376" y="2557"/>
                                </a:lnTo>
                                <a:lnTo>
                                  <a:pt x="1292" y="2535"/>
                                </a:lnTo>
                                <a:lnTo>
                                  <a:pt x="1204" y="2510"/>
                                </a:lnTo>
                                <a:lnTo>
                                  <a:pt x="1115" y="2483"/>
                                </a:lnTo>
                                <a:lnTo>
                                  <a:pt x="1025" y="2453"/>
                                </a:lnTo>
                                <a:lnTo>
                                  <a:pt x="933" y="2423"/>
                                </a:lnTo>
                                <a:lnTo>
                                  <a:pt x="840" y="2389"/>
                                </a:lnTo>
                                <a:lnTo>
                                  <a:pt x="743" y="2354"/>
                                </a:lnTo>
                                <a:lnTo>
                                  <a:pt x="646" y="2314"/>
                                </a:lnTo>
                                <a:lnTo>
                                  <a:pt x="549" y="2272"/>
                                </a:lnTo>
                                <a:lnTo>
                                  <a:pt x="446" y="2227"/>
                                </a:lnTo>
                                <a:lnTo>
                                  <a:pt x="444" y="2232"/>
                                </a:lnTo>
                                <a:lnTo>
                                  <a:pt x="439" y="2240"/>
                                </a:lnTo>
                                <a:lnTo>
                                  <a:pt x="436" y="2247"/>
                                </a:lnTo>
                                <a:lnTo>
                                  <a:pt x="431" y="2252"/>
                                </a:lnTo>
                                <a:lnTo>
                                  <a:pt x="526" y="2312"/>
                                </a:lnTo>
                                <a:lnTo>
                                  <a:pt x="618" y="2369"/>
                                </a:lnTo>
                                <a:lnTo>
                                  <a:pt x="711" y="2423"/>
                                </a:lnTo>
                                <a:lnTo>
                                  <a:pt x="800" y="2475"/>
                                </a:lnTo>
                                <a:lnTo>
                                  <a:pt x="890" y="2525"/>
                                </a:lnTo>
                                <a:lnTo>
                                  <a:pt x="975" y="2570"/>
                                </a:lnTo>
                                <a:lnTo>
                                  <a:pt x="1062" y="2614"/>
                                </a:lnTo>
                                <a:lnTo>
                                  <a:pt x="1145" y="2656"/>
                                </a:lnTo>
                                <a:lnTo>
                                  <a:pt x="1229" y="2696"/>
                                </a:lnTo>
                                <a:lnTo>
                                  <a:pt x="1309" y="2733"/>
                                </a:lnTo>
                                <a:lnTo>
                                  <a:pt x="1391" y="2771"/>
                                </a:lnTo>
                                <a:lnTo>
                                  <a:pt x="1471" y="2805"/>
                                </a:lnTo>
                                <a:lnTo>
                                  <a:pt x="1551" y="2838"/>
                                </a:lnTo>
                                <a:lnTo>
                                  <a:pt x="1628" y="2870"/>
                                </a:lnTo>
                                <a:lnTo>
                                  <a:pt x="1706" y="2900"/>
                                </a:lnTo>
                                <a:lnTo>
                                  <a:pt x="1783" y="2929"/>
                                </a:lnTo>
                                <a:lnTo>
                                  <a:pt x="1701" y="2914"/>
                                </a:lnTo>
                                <a:lnTo>
                                  <a:pt x="1618" y="2900"/>
                                </a:lnTo>
                                <a:lnTo>
                                  <a:pt x="1534" y="2885"/>
                                </a:lnTo>
                                <a:lnTo>
                                  <a:pt x="1449" y="2867"/>
                                </a:lnTo>
                                <a:lnTo>
                                  <a:pt x="1364" y="2847"/>
                                </a:lnTo>
                                <a:lnTo>
                                  <a:pt x="1277" y="2828"/>
                                </a:lnTo>
                                <a:lnTo>
                                  <a:pt x="1189" y="2805"/>
                                </a:lnTo>
                                <a:lnTo>
                                  <a:pt x="1100" y="2781"/>
                                </a:lnTo>
                                <a:lnTo>
                                  <a:pt x="1007" y="2753"/>
                                </a:lnTo>
                                <a:lnTo>
                                  <a:pt x="915" y="2723"/>
                                </a:lnTo>
                                <a:lnTo>
                                  <a:pt x="820" y="2694"/>
                                </a:lnTo>
                                <a:lnTo>
                                  <a:pt x="723" y="2656"/>
                                </a:lnTo>
                                <a:lnTo>
                                  <a:pt x="623" y="2619"/>
                                </a:lnTo>
                                <a:lnTo>
                                  <a:pt x="521" y="2580"/>
                                </a:lnTo>
                                <a:lnTo>
                                  <a:pt x="419" y="2532"/>
                                </a:lnTo>
                                <a:lnTo>
                                  <a:pt x="312" y="2485"/>
                                </a:lnTo>
                                <a:lnTo>
                                  <a:pt x="309" y="2490"/>
                                </a:lnTo>
                                <a:lnTo>
                                  <a:pt x="307" y="2498"/>
                                </a:lnTo>
                                <a:lnTo>
                                  <a:pt x="302" y="2505"/>
                                </a:lnTo>
                                <a:lnTo>
                                  <a:pt x="299" y="2510"/>
                                </a:lnTo>
                                <a:lnTo>
                                  <a:pt x="399" y="2575"/>
                                </a:lnTo>
                                <a:lnTo>
                                  <a:pt x="496" y="2634"/>
                                </a:lnTo>
                                <a:lnTo>
                                  <a:pt x="591" y="2691"/>
                                </a:lnTo>
                                <a:lnTo>
                                  <a:pt x="683" y="2746"/>
                                </a:lnTo>
                                <a:lnTo>
                                  <a:pt x="775" y="2795"/>
                                </a:lnTo>
                                <a:lnTo>
                                  <a:pt x="865" y="2845"/>
                                </a:lnTo>
                                <a:lnTo>
                                  <a:pt x="953" y="2890"/>
                                </a:lnTo>
                                <a:lnTo>
                                  <a:pt x="1040" y="2932"/>
                                </a:lnTo>
                                <a:lnTo>
                                  <a:pt x="1125" y="2971"/>
                                </a:lnTo>
                                <a:lnTo>
                                  <a:pt x="1209" y="3011"/>
                                </a:lnTo>
                                <a:lnTo>
                                  <a:pt x="1292" y="3046"/>
                                </a:lnTo>
                                <a:lnTo>
                                  <a:pt x="1374" y="3081"/>
                                </a:lnTo>
                                <a:lnTo>
                                  <a:pt x="1456" y="3113"/>
                                </a:lnTo>
                                <a:lnTo>
                                  <a:pt x="1536" y="3143"/>
                                </a:lnTo>
                                <a:lnTo>
                                  <a:pt x="1616" y="3172"/>
                                </a:lnTo>
                                <a:lnTo>
                                  <a:pt x="1693" y="3200"/>
                                </a:lnTo>
                                <a:lnTo>
                                  <a:pt x="1608" y="3187"/>
                                </a:lnTo>
                                <a:lnTo>
                                  <a:pt x="1526" y="3175"/>
                                </a:lnTo>
                                <a:lnTo>
                                  <a:pt x="1439" y="3160"/>
                                </a:lnTo>
                                <a:lnTo>
                                  <a:pt x="1354" y="3145"/>
                                </a:lnTo>
                                <a:lnTo>
                                  <a:pt x="1267" y="3128"/>
                                </a:lnTo>
                                <a:lnTo>
                                  <a:pt x="1177" y="3108"/>
                                </a:lnTo>
                                <a:lnTo>
                                  <a:pt x="1085" y="3086"/>
                                </a:lnTo>
                                <a:lnTo>
                                  <a:pt x="992" y="3061"/>
                                </a:lnTo>
                                <a:lnTo>
                                  <a:pt x="900" y="3034"/>
                                </a:lnTo>
                                <a:lnTo>
                                  <a:pt x="803" y="3001"/>
                                </a:lnTo>
                                <a:lnTo>
                                  <a:pt x="703" y="2969"/>
                                </a:lnTo>
                                <a:lnTo>
                                  <a:pt x="603" y="2932"/>
                                </a:lnTo>
                                <a:lnTo>
                                  <a:pt x="499" y="2890"/>
                                </a:lnTo>
                                <a:lnTo>
                                  <a:pt x="394" y="2845"/>
                                </a:lnTo>
                                <a:lnTo>
                                  <a:pt x="284" y="2795"/>
                                </a:lnTo>
                                <a:lnTo>
                                  <a:pt x="172" y="2741"/>
                                </a:lnTo>
                                <a:lnTo>
                                  <a:pt x="170" y="2748"/>
                                </a:lnTo>
                                <a:lnTo>
                                  <a:pt x="165" y="2753"/>
                                </a:lnTo>
                                <a:lnTo>
                                  <a:pt x="162" y="2761"/>
                                </a:lnTo>
                                <a:lnTo>
                                  <a:pt x="157" y="2768"/>
                                </a:lnTo>
                                <a:lnTo>
                                  <a:pt x="262" y="2838"/>
                                </a:lnTo>
                                <a:lnTo>
                                  <a:pt x="364" y="2902"/>
                                </a:lnTo>
                                <a:lnTo>
                                  <a:pt x="464" y="2964"/>
                                </a:lnTo>
                                <a:lnTo>
                                  <a:pt x="564" y="3021"/>
                                </a:lnTo>
                                <a:lnTo>
                                  <a:pt x="658" y="3076"/>
                                </a:lnTo>
                                <a:lnTo>
                                  <a:pt x="753" y="3125"/>
                                </a:lnTo>
                                <a:lnTo>
                                  <a:pt x="845" y="3172"/>
                                </a:lnTo>
                                <a:lnTo>
                                  <a:pt x="935" y="3217"/>
                                </a:lnTo>
                                <a:lnTo>
                                  <a:pt x="1025" y="3257"/>
                                </a:lnTo>
                                <a:lnTo>
                                  <a:pt x="1112" y="3296"/>
                                </a:lnTo>
                                <a:lnTo>
                                  <a:pt x="1197" y="3331"/>
                                </a:lnTo>
                                <a:lnTo>
                                  <a:pt x="1282" y="3366"/>
                                </a:lnTo>
                                <a:lnTo>
                                  <a:pt x="1364" y="3396"/>
                                </a:lnTo>
                                <a:lnTo>
                                  <a:pt x="1446" y="3425"/>
                                </a:lnTo>
                                <a:lnTo>
                                  <a:pt x="1529" y="3453"/>
                                </a:lnTo>
                                <a:lnTo>
                                  <a:pt x="1608" y="3477"/>
                                </a:lnTo>
                                <a:lnTo>
                                  <a:pt x="1524" y="3468"/>
                                </a:lnTo>
                                <a:lnTo>
                                  <a:pt x="1436" y="3458"/>
                                </a:lnTo>
                                <a:lnTo>
                                  <a:pt x="1349" y="3445"/>
                                </a:lnTo>
                                <a:lnTo>
                                  <a:pt x="1259" y="3430"/>
                                </a:lnTo>
                                <a:lnTo>
                                  <a:pt x="1169" y="3413"/>
                                </a:lnTo>
                                <a:lnTo>
                                  <a:pt x="1077" y="3396"/>
                                </a:lnTo>
                                <a:lnTo>
                                  <a:pt x="982" y="3373"/>
                                </a:lnTo>
                                <a:lnTo>
                                  <a:pt x="888" y="3349"/>
                                </a:lnTo>
                                <a:lnTo>
                                  <a:pt x="788" y="3319"/>
                                </a:lnTo>
                                <a:lnTo>
                                  <a:pt x="688" y="3289"/>
                                </a:lnTo>
                                <a:lnTo>
                                  <a:pt x="586" y="3252"/>
                                </a:lnTo>
                                <a:lnTo>
                                  <a:pt x="479" y="3212"/>
                                </a:lnTo>
                                <a:lnTo>
                                  <a:pt x="369" y="3167"/>
                                </a:lnTo>
                                <a:lnTo>
                                  <a:pt x="257" y="3118"/>
                                </a:lnTo>
                                <a:lnTo>
                                  <a:pt x="142" y="3061"/>
                                </a:lnTo>
                                <a:lnTo>
                                  <a:pt x="22" y="3001"/>
                                </a:lnTo>
                                <a:lnTo>
                                  <a:pt x="17" y="3011"/>
                                </a:lnTo>
                                <a:lnTo>
                                  <a:pt x="12" y="3019"/>
                                </a:lnTo>
                                <a:lnTo>
                                  <a:pt x="5" y="3026"/>
                                </a:lnTo>
                                <a:lnTo>
                                  <a:pt x="0" y="3036"/>
                                </a:lnTo>
                                <a:lnTo>
                                  <a:pt x="167" y="3135"/>
                                </a:lnTo>
                                <a:lnTo>
                                  <a:pt x="327" y="3222"/>
                                </a:lnTo>
                                <a:lnTo>
                                  <a:pt x="481" y="3301"/>
                                </a:lnTo>
                                <a:lnTo>
                                  <a:pt x="631" y="3371"/>
                                </a:lnTo>
                                <a:lnTo>
                                  <a:pt x="775" y="3433"/>
                                </a:lnTo>
                                <a:lnTo>
                                  <a:pt x="915" y="3485"/>
                                </a:lnTo>
                                <a:lnTo>
                                  <a:pt x="1050" y="3530"/>
                                </a:lnTo>
                                <a:lnTo>
                                  <a:pt x="1182" y="3569"/>
                                </a:lnTo>
                                <a:lnTo>
                                  <a:pt x="1309" y="3604"/>
                                </a:lnTo>
                                <a:lnTo>
                                  <a:pt x="1431" y="3634"/>
                                </a:lnTo>
                                <a:lnTo>
                                  <a:pt x="1553" y="3659"/>
                                </a:lnTo>
                                <a:lnTo>
                                  <a:pt x="1668" y="3678"/>
                                </a:lnTo>
                                <a:lnTo>
                                  <a:pt x="1783" y="3696"/>
                                </a:lnTo>
                                <a:lnTo>
                                  <a:pt x="1895" y="3713"/>
                                </a:lnTo>
                                <a:lnTo>
                                  <a:pt x="2002" y="3728"/>
                                </a:lnTo>
                                <a:lnTo>
                                  <a:pt x="2110" y="3740"/>
                                </a:lnTo>
                                <a:lnTo>
                                  <a:pt x="2214" y="3755"/>
                                </a:lnTo>
                                <a:lnTo>
                                  <a:pt x="2317" y="3768"/>
                                </a:lnTo>
                                <a:lnTo>
                                  <a:pt x="2419" y="3785"/>
                                </a:lnTo>
                                <a:lnTo>
                                  <a:pt x="2519" y="3802"/>
                                </a:lnTo>
                                <a:lnTo>
                                  <a:pt x="2618" y="3822"/>
                                </a:lnTo>
                                <a:lnTo>
                                  <a:pt x="2718" y="3845"/>
                                </a:lnTo>
                                <a:lnTo>
                                  <a:pt x="2818" y="3874"/>
                                </a:lnTo>
                                <a:lnTo>
                                  <a:pt x="2917" y="3907"/>
                                </a:lnTo>
                                <a:lnTo>
                                  <a:pt x="3015" y="3944"/>
                                </a:lnTo>
                                <a:lnTo>
                                  <a:pt x="3114" y="3988"/>
                                </a:lnTo>
                                <a:lnTo>
                                  <a:pt x="3217" y="4041"/>
                                </a:lnTo>
                                <a:lnTo>
                                  <a:pt x="3316" y="4100"/>
                                </a:lnTo>
                                <a:lnTo>
                                  <a:pt x="3419" y="4167"/>
                                </a:lnTo>
                                <a:lnTo>
                                  <a:pt x="3523" y="4241"/>
                                </a:lnTo>
                                <a:lnTo>
                                  <a:pt x="3631" y="4328"/>
                                </a:lnTo>
                                <a:lnTo>
                                  <a:pt x="3738" y="4425"/>
                                </a:lnTo>
                                <a:lnTo>
                                  <a:pt x="3758" y="4234"/>
                                </a:lnTo>
                                <a:lnTo>
                                  <a:pt x="3785" y="4048"/>
                                </a:lnTo>
                                <a:lnTo>
                                  <a:pt x="3818" y="3864"/>
                                </a:lnTo>
                                <a:lnTo>
                                  <a:pt x="3858" y="3686"/>
                                </a:lnTo>
                                <a:lnTo>
                                  <a:pt x="3902" y="3512"/>
                                </a:lnTo>
                                <a:lnTo>
                                  <a:pt x="3955" y="3341"/>
                                </a:lnTo>
                                <a:lnTo>
                                  <a:pt x="4015" y="3175"/>
                                </a:lnTo>
                                <a:lnTo>
                                  <a:pt x="4082" y="3014"/>
                                </a:lnTo>
                                <a:lnTo>
                                  <a:pt x="4154" y="2855"/>
                                </a:lnTo>
                                <a:lnTo>
                                  <a:pt x="4232" y="2701"/>
                                </a:lnTo>
                                <a:lnTo>
                                  <a:pt x="4319" y="2552"/>
                                </a:lnTo>
                                <a:lnTo>
                                  <a:pt x="4411" y="2408"/>
                                </a:lnTo>
                                <a:lnTo>
                                  <a:pt x="4508" y="2270"/>
                                </a:lnTo>
                                <a:lnTo>
                                  <a:pt x="4613" y="2133"/>
                                </a:lnTo>
                                <a:lnTo>
                                  <a:pt x="4725" y="2004"/>
                                </a:lnTo>
                                <a:lnTo>
                                  <a:pt x="4845" y="1878"/>
                                </a:lnTo>
                                <a:lnTo>
                                  <a:pt x="4745" y="1754"/>
                                </a:lnTo>
                                <a:lnTo>
                                  <a:pt x="4643" y="1644"/>
                                </a:lnTo>
                                <a:lnTo>
                                  <a:pt x="4543" y="1548"/>
                                </a:lnTo>
                                <a:lnTo>
                                  <a:pt x="4444" y="1461"/>
                                </a:lnTo>
                                <a:lnTo>
                                  <a:pt x="4344" y="1384"/>
                                </a:lnTo>
                                <a:lnTo>
                                  <a:pt x="4244" y="1317"/>
                                </a:lnTo>
                                <a:lnTo>
                                  <a:pt x="4144" y="1258"/>
                                </a:lnTo>
                                <a:lnTo>
                                  <a:pt x="4042" y="1208"/>
                                </a:lnTo>
                                <a:lnTo>
                                  <a:pt x="3942" y="1163"/>
                                </a:lnTo>
                                <a:lnTo>
                                  <a:pt x="3840" y="1126"/>
                                </a:lnTo>
                                <a:lnTo>
                                  <a:pt x="3740" y="1094"/>
                                </a:lnTo>
                                <a:lnTo>
                                  <a:pt x="3636" y="1064"/>
                                </a:lnTo>
                                <a:lnTo>
                                  <a:pt x="3533" y="1039"/>
                                </a:lnTo>
                                <a:lnTo>
                                  <a:pt x="3429" y="1014"/>
                                </a:lnTo>
                                <a:lnTo>
                                  <a:pt x="3324" y="992"/>
                                </a:lnTo>
                                <a:lnTo>
                                  <a:pt x="3219" y="972"/>
                                </a:lnTo>
                                <a:lnTo>
                                  <a:pt x="3112" y="950"/>
                                </a:lnTo>
                                <a:lnTo>
                                  <a:pt x="3005" y="928"/>
                                </a:lnTo>
                                <a:lnTo>
                                  <a:pt x="2895" y="903"/>
                                </a:lnTo>
                                <a:lnTo>
                                  <a:pt x="2783" y="876"/>
                                </a:lnTo>
                                <a:lnTo>
                                  <a:pt x="2671" y="846"/>
                                </a:lnTo>
                                <a:lnTo>
                                  <a:pt x="2558" y="809"/>
                                </a:lnTo>
                                <a:lnTo>
                                  <a:pt x="2441" y="769"/>
                                </a:lnTo>
                                <a:lnTo>
                                  <a:pt x="2324" y="719"/>
                                </a:lnTo>
                                <a:lnTo>
                                  <a:pt x="2207" y="665"/>
                                </a:lnTo>
                                <a:lnTo>
                                  <a:pt x="2085" y="603"/>
                                </a:lnTo>
                                <a:lnTo>
                                  <a:pt x="1962" y="528"/>
                                </a:lnTo>
                                <a:lnTo>
                                  <a:pt x="1838" y="446"/>
                                </a:lnTo>
                                <a:lnTo>
                                  <a:pt x="1711" y="355"/>
                                </a:lnTo>
                                <a:lnTo>
                                  <a:pt x="1581" y="248"/>
                                </a:lnTo>
                                <a:lnTo>
                                  <a:pt x="1449" y="131"/>
                                </a:lnTo>
                                <a:lnTo>
                                  <a:pt x="1314" y="0"/>
                                </a:lnTo>
                                <a:close/>
                              </a:path>
                            </a:pathLst>
                          </a:custGeom>
                          <a:solidFill>
                            <a:srgbClr val="1F497D"/>
                          </a:solidFill>
                          <a:ln>
                            <a:noFill/>
                          </a:ln>
                          <a:effectLst/>
                          <a:scene3d>
                            <a:camera prst="legacyObliqueTopRight"/>
                            <a:lightRig rig="legacyFlat4" dir="b"/>
                          </a:scene3d>
                          <a:sp3d extrusionH="430200" prstMaterial="legacyMatte">
                            <a:bevelT w="13500" h="13500" prst="angle"/>
                            <a:bevelB w="13500" h="13500" prst="angle"/>
                            <a:extrusionClr>
                              <a:srgbClr val="4F81BD"/>
                            </a:extrusionClr>
                          </a:sp3d>
                          <a:extLst>
                            <a:ext uri="{91240B29-F687-4F45-9708-019B960494DF}">
                              <a14:hiddenLine xmlns:a14="http://schemas.microsoft.com/office/drawing/2010/main" w="9525">
                                <a:noFill/>
                                <a:round/>
                                <a:headEnd/>
                                <a:tailEnd/>
                              </a14:hiddenLine>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rot="0" vert="horz" wrap="square" lIns="91440" tIns="45720" rIns="91440" bIns="45720" anchor="t" anchorCtr="0" upright="1">
                          <a:noAutofit/>
                        </wps:bodyPr>
                      </wps:wsp>
                      <wps:wsp>
                        <wps:cNvPr id="56" name="Freeform 168"/>
                        <wps:cNvSpPr>
                          <a:spLocks/>
                        </wps:cNvSpPr>
                        <wps:spPr bwMode="auto">
                          <a:xfrm>
                            <a:off x="3692700" y="3900339"/>
                            <a:ext cx="1092368" cy="904868"/>
                          </a:xfrm>
                          <a:custGeom>
                            <a:avLst/>
                            <a:gdLst>
                              <a:gd name="T0" fmla="*/ 1464 w 1716"/>
                              <a:gd name="T1" fmla="*/ 251 h 1421"/>
                              <a:gd name="T2" fmla="*/ 1434 w 1716"/>
                              <a:gd name="T3" fmla="*/ 221 h 1421"/>
                              <a:gd name="T4" fmla="*/ 1402 w 1716"/>
                              <a:gd name="T5" fmla="*/ 194 h 1421"/>
                              <a:gd name="T6" fmla="*/ 1367 w 1716"/>
                              <a:gd name="T7" fmla="*/ 169 h 1421"/>
                              <a:gd name="T8" fmla="*/ 1334 w 1716"/>
                              <a:gd name="T9" fmla="*/ 144 h 1421"/>
                              <a:gd name="T10" fmla="*/ 1297 w 1716"/>
                              <a:gd name="T11" fmla="*/ 122 h 1421"/>
                              <a:gd name="T12" fmla="*/ 1262 w 1716"/>
                              <a:gd name="T13" fmla="*/ 99 h 1421"/>
                              <a:gd name="T14" fmla="*/ 1224 w 1716"/>
                              <a:gd name="T15" fmla="*/ 82 h 1421"/>
                              <a:gd name="T16" fmla="*/ 1187 w 1716"/>
                              <a:gd name="T17" fmla="*/ 65 h 1421"/>
                              <a:gd name="T18" fmla="*/ 1147 w 1716"/>
                              <a:gd name="T19" fmla="*/ 50 h 1421"/>
                              <a:gd name="T20" fmla="*/ 1107 w 1716"/>
                              <a:gd name="T21" fmla="*/ 37 h 1421"/>
                              <a:gd name="T22" fmla="*/ 1067 w 1716"/>
                              <a:gd name="T23" fmla="*/ 25 h 1421"/>
                              <a:gd name="T24" fmla="*/ 1027 w 1716"/>
                              <a:gd name="T25" fmla="*/ 18 h 1421"/>
                              <a:gd name="T26" fmla="*/ 988 w 1716"/>
                              <a:gd name="T27" fmla="*/ 10 h 1421"/>
                              <a:gd name="T28" fmla="*/ 945 w 1716"/>
                              <a:gd name="T29" fmla="*/ 5 h 1421"/>
                              <a:gd name="T30" fmla="*/ 903 w 1716"/>
                              <a:gd name="T31" fmla="*/ 0 h 1421"/>
                              <a:gd name="T32" fmla="*/ 860 w 1716"/>
                              <a:gd name="T33" fmla="*/ 0 h 1421"/>
                              <a:gd name="T34" fmla="*/ 773 w 1716"/>
                              <a:gd name="T35" fmla="*/ 5 h 1421"/>
                              <a:gd name="T36" fmla="*/ 686 w 1716"/>
                              <a:gd name="T37" fmla="*/ 18 h 1421"/>
                              <a:gd name="T38" fmla="*/ 604 w 1716"/>
                              <a:gd name="T39" fmla="*/ 40 h 1421"/>
                              <a:gd name="T40" fmla="*/ 526 w 1716"/>
                              <a:gd name="T41" fmla="*/ 67 h 1421"/>
                              <a:gd name="T42" fmla="*/ 449 w 1716"/>
                              <a:gd name="T43" fmla="*/ 104 h 1421"/>
                              <a:gd name="T44" fmla="*/ 379 w 1716"/>
                              <a:gd name="T45" fmla="*/ 147 h 1421"/>
                              <a:gd name="T46" fmla="*/ 312 w 1716"/>
                              <a:gd name="T47" fmla="*/ 196 h 1421"/>
                              <a:gd name="T48" fmla="*/ 252 w 1716"/>
                              <a:gd name="T49" fmla="*/ 251 h 1421"/>
                              <a:gd name="T50" fmla="*/ 197 w 1716"/>
                              <a:gd name="T51" fmla="*/ 313 h 1421"/>
                              <a:gd name="T52" fmla="*/ 147 w 1716"/>
                              <a:gd name="T53" fmla="*/ 377 h 1421"/>
                              <a:gd name="T54" fmla="*/ 105 w 1716"/>
                              <a:gd name="T55" fmla="*/ 447 h 1421"/>
                              <a:gd name="T56" fmla="*/ 67 w 1716"/>
                              <a:gd name="T57" fmla="*/ 524 h 1421"/>
                              <a:gd name="T58" fmla="*/ 38 w 1716"/>
                              <a:gd name="T59" fmla="*/ 600 h 1421"/>
                              <a:gd name="T60" fmla="*/ 18 w 1716"/>
                              <a:gd name="T61" fmla="*/ 682 h 1421"/>
                              <a:gd name="T62" fmla="*/ 5 w 1716"/>
                              <a:gd name="T63" fmla="*/ 767 h 1421"/>
                              <a:gd name="T64" fmla="*/ 0 w 1716"/>
                              <a:gd name="T65" fmla="*/ 853 h 1421"/>
                              <a:gd name="T66" fmla="*/ 0 w 1716"/>
                              <a:gd name="T67" fmla="*/ 1421 h 1421"/>
                              <a:gd name="T68" fmla="*/ 1716 w 1716"/>
                              <a:gd name="T69" fmla="*/ 1421 h 1421"/>
                              <a:gd name="T70" fmla="*/ 1716 w 1716"/>
                              <a:gd name="T71" fmla="*/ 853 h 1421"/>
                              <a:gd name="T72" fmla="*/ 1711 w 1716"/>
                              <a:gd name="T73" fmla="*/ 769 h 1421"/>
                              <a:gd name="T74" fmla="*/ 1698 w 1716"/>
                              <a:gd name="T75" fmla="*/ 685 h 1421"/>
                              <a:gd name="T76" fmla="*/ 1678 w 1716"/>
                              <a:gd name="T77" fmla="*/ 605 h 1421"/>
                              <a:gd name="T78" fmla="*/ 1651 w 1716"/>
                              <a:gd name="T79" fmla="*/ 529 h 1421"/>
                              <a:gd name="T80" fmla="*/ 1616 w 1716"/>
                              <a:gd name="T81" fmla="*/ 454 h 1421"/>
                              <a:gd name="T82" fmla="*/ 1571 w 1716"/>
                              <a:gd name="T83" fmla="*/ 382 h 1421"/>
                              <a:gd name="T84" fmla="*/ 1521 w 1716"/>
                              <a:gd name="T85" fmla="*/ 315 h 1421"/>
                              <a:gd name="T86" fmla="*/ 1464 w 1716"/>
                              <a:gd name="T87" fmla="*/ 251 h 1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716" h="1421">
                                <a:moveTo>
                                  <a:pt x="1464" y="251"/>
                                </a:moveTo>
                                <a:lnTo>
                                  <a:pt x="1434" y="221"/>
                                </a:lnTo>
                                <a:lnTo>
                                  <a:pt x="1402" y="194"/>
                                </a:lnTo>
                                <a:lnTo>
                                  <a:pt x="1367" y="169"/>
                                </a:lnTo>
                                <a:lnTo>
                                  <a:pt x="1334" y="144"/>
                                </a:lnTo>
                                <a:lnTo>
                                  <a:pt x="1297" y="122"/>
                                </a:lnTo>
                                <a:lnTo>
                                  <a:pt x="1262" y="99"/>
                                </a:lnTo>
                                <a:lnTo>
                                  <a:pt x="1224" y="82"/>
                                </a:lnTo>
                                <a:lnTo>
                                  <a:pt x="1187" y="65"/>
                                </a:lnTo>
                                <a:lnTo>
                                  <a:pt x="1147" y="50"/>
                                </a:lnTo>
                                <a:lnTo>
                                  <a:pt x="1107" y="37"/>
                                </a:lnTo>
                                <a:lnTo>
                                  <a:pt x="1067" y="25"/>
                                </a:lnTo>
                                <a:lnTo>
                                  <a:pt x="1027" y="18"/>
                                </a:lnTo>
                                <a:lnTo>
                                  <a:pt x="988" y="10"/>
                                </a:lnTo>
                                <a:lnTo>
                                  <a:pt x="945" y="5"/>
                                </a:lnTo>
                                <a:lnTo>
                                  <a:pt x="903" y="0"/>
                                </a:lnTo>
                                <a:lnTo>
                                  <a:pt x="860" y="0"/>
                                </a:lnTo>
                                <a:lnTo>
                                  <a:pt x="773" y="5"/>
                                </a:lnTo>
                                <a:lnTo>
                                  <a:pt x="686" y="18"/>
                                </a:lnTo>
                                <a:lnTo>
                                  <a:pt x="604" y="40"/>
                                </a:lnTo>
                                <a:lnTo>
                                  <a:pt x="526" y="67"/>
                                </a:lnTo>
                                <a:lnTo>
                                  <a:pt x="449" y="104"/>
                                </a:lnTo>
                                <a:lnTo>
                                  <a:pt x="379" y="147"/>
                                </a:lnTo>
                                <a:lnTo>
                                  <a:pt x="312" y="196"/>
                                </a:lnTo>
                                <a:lnTo>
                                  <a:pt x="252" y="251"/>
                                </a:lnTo>
                                <a:lnTo>
                                  <a:pt x="197" y="313"/>
                                </a:lnTo>
                                <a:lnTo>
                                  <a:pt x="147" y="377"/>
                                </a:lnTo>
                                <a:lnTo>
                                  <a:pt x="105" y="447"/>
                                </a:lnTo>
                                <a:lnTo>
                                  <a:pt x="67" y="524"/>
                                </a:lnTo>
                                <a:lnTo>
                                  <a:pt x="38" y="600"/>
                                </a:lnTo>
                                <a:lnTo>
                                  <a:pt x="18" y="682"/>
                                </a:lnTo>
                                <a:lnTo>
                                  <a:pt x="5" y="767"/>
                                </a:lnTo>
                                <a:lnTo>
                                  <a:pt x="0" y="853"/>
                                </a:lnTo>
                                <a:lnTo>
                                  <a:pt x="0" y="1421"/>
                                </a:lnTo>
                                <a:lnTo>
                                  <a:pt x="1716" y="1421"/>
                                </a:lnTo>
                                <a:lnTo>
                                  <a:pt x="1716" y="853"/>
                                </a:lnTo>
                                <a:lnTo>
                                  <a:pt x="1711" y="769"/>
                                </a:lnTo>
                                <a:lnTo>
                                  <a:pt x="1698" y="685"/>
                                </a:lnTo>
                                <a:lnTo>
                                  <a:pt x="1678" y="605"/>
                                </a:lnTo>
                                <a:lnTo>
                                  <a:pt x="1651" y="529"/>
                                </a:lnTo>
                                <a:lnTo>
                                  <a:pt x="1616" y="454"/>
                                </a:lnTo>
                                <a:lnTo>
                                  <a:pt x="1571" y="382"/>
                                </a:lnTo>
                                <a:lnTo>
                                  <a:pt x="1521" y="315"/>
                                </a:lnTo>
                                <a:lnTo>
                                  <a:pt x="1464" y="2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69"/>
                        <wps:cNvSpPr>
                          <a:spLocks/>
                        </wps:cNvSpPr>
                        <wps:spPr bwMode="auto">
                          <a:xfrm>
                            <a:off x="3988192" y="4024250"/>
                            <a:ext cx="742861" cy="727580"/>
                          </a:xfrm>
                          <a:custGeom>
                            <a:avLst/>
                            <a:gdLst>
                              <a:gd name="T0" fmla="*/ 1167 w 1167"/>
                              <a:gd name="T1" fmla="*/ 659 h 1143"/>
                              <a:gd name="T2" fmla="*/ 1167 w 1167"/>
                              <a:gd name="T3" fmla="*/ 1143 h 1143"/>
                              <a:gd name="T4" fmla="*/ 272 w 1167"/>
                              <a:gd name="T5" fmla="*/ 1141 h 1143"/>
                              <a:gd name="T6" fmla="*/ 0 w 1167"/>
                              <a:gd name="T7" fmla="*/ 139 h 1143"/>
                              <a:gd name="T8" fmla="*/ 20 w 1167"/>
                              <a:gd name="T9" fmla="*/ 144 h 1143"/>
                              <a:gd name="T10" fmla="*/ 42 w 1167"/>
                              <a:gd name="T11" fmla="*/ 146 h 1143"/>
                              <a:gd name="T12" fmla="*/ 65 w 1167"/>
                              <a:gd name="T13" fmla="*/ 151 h 1143"/>
                              <a:gd name="T14" fmla="*/ 90 w 1167"/>
                              <a:gd name="T15" fmla="*/ 156 h 1143"/>
                              <a:gd name="T16" fmla="*/ 117 w 1167"/>
                              <a:gd name="T17" fmla="*/ 158 h 1143"/>
                              <a:gd name="T18" fmla="*/ 147 w 1167"/>
                              <a:gd name="T19" fmla="*/ 161 h 1143"/>
                              <a:gd name="T20" fmla="*/ 177 w 1167"/>
                              <a:gd name="T21" fmla="*/ 163 h 1143"/>
                              <a:gd name="T22" fmla="*/ 207 w 1167"/>
                              <a:gd name="T23" fmla="*/ 166 h 1143"/>
                              <a:gd name="T24" fmla="*/ 239 w 1167"/>
                              <a:gd name="T25" fmla="*/ 168 h 1143"/>
                              <a:gd name="T26" fmla="*/ 274 w 1167"/>
                              <a:gd name="T27" fmla="*/ 168 h 1143"/>
                              <a:gd name="T28" fmla="*/ 307 w 1167"/>
                              <a:gd name="T29" fmla="*/ 166 h 1143"/>
                              <a:gd name="T30" fmla="*/ 344 w 1167"/>
                              <a:gd name="T31" fmla="*/ 166 h 1143"/>
                              <a:gd name="T32" fmla="*/ 379 w 1167"/>
                              <a:gd name="T33" fmla="*/ 161 h 1143"/>
                              <a:gd name="T34" fmla="*/ 416 w 1167"/>
                              <a:gd name="T35" fmla="*/ 156 h 1143"/>
                              <a:gd name="T36" fmla="*/ 454 w 1167"/>
                              <a:gd name="T37" fmla="*/ 151 h 1143"/>
                              <a:gd name="T38" fmla="*/ 491 w 1167"/>
                              <a:gd name="T39" fmla="*/ 144 h 1143"/>
                              <a:gd name="T40" fmla="*/ 549 w 1167"/>
                              <a:gd name="T41" fmla="*/ 129 h 1143"/>
                              <a:gd name="T42" fmla="*/ 598 w 1167"/>
                              <a:gd name="T43" fmla="*/ 111 h 1143"/>
                              <a:gd name="T44" fmla="*/ 643 w 1167"/>
                              <a:gd name="T45" fmla="*/ 91 h 1143"/>
                              <a:gd name="T46" fmla="*/ 683 w 1167"/>
                              <a:gd name="T47" fmla="*/ 72 h 1143"/>
                              <a:gd name="T48" fmla="*/ 716 w 1167"/>
                              <a:gd name="T49" fmla="*/ 52 h 1143"/>
                              <a:gd name="T50" fmla="*/ 743 w 1167"/>
                              <a:gd name="T51" fmla="*/ 32 h 1143"/>
                              <a:gd name="T52" fmla="*/ 765 w 1167"/>
                              <a:gd name="T53" fmla="*/ 15 h 1143"/>
                              <a:gd name="T54" fmla="*/ 783 w 1167"/>
                              <a:gd name="T55" fmla="*/ 0 h 1143"/>
                              <a:gd name="T56" fmla="*/ 805 w 1167"/>
                              <a:gd name="T57" fmla="*/ 12 h 1143"/>
                              <a:gd name="T58" fmla="*/ 825 w 1167"/>
                              <a:gd name="T59" fmla="*/ 24 h 1143"/>
                              <a:gd name="T60" fmla="*/ 845 w 1167"/>
                              <a:gd name="T61" fmla="*/ 39 h 1143"/>
                              <a:gd name="T62" fmla="*/ 865 w 1167"/>
                              <a:gd name="T63" fmla="*/ 54 h 1143"/>
                              <a:gd name="T64" fmla="*/ 885 w 1167"/>
                              <a:gd name="T65" fmla="*/ 69 h 1143"/>
                              <a:gd name="T66" fmla="*/ 903 w 1167"/>
                              <a:gd name="T67" fmla="*/ 84 h 1143"/>
                              <a:gd name="T68" fmla="*/ 923 w 1167"/>
                              <a:gd name="T69" fmla="*/ 101 h 1143"/>
                              <a:gd name="T70" fmla="*/ 940 w 1167"/>
                              <a:gd name="T71" fmla="*/ 119 h 1143"/>
                              <a:gd name="T72" fmla="*/ 992 w 1167"/>
                              <a:gd name="T73" fmla="*/ 176 h 1143"/>
                              <a:gd name="T74" fmla="*/ 1037 w 1167"/>
                              <a:gd name="T75" fmla="*/ 235 h 1143"/>
                              <a:gd name="T76" fmla="*/ 1075 w 1167"/>
                              <a:gd name="T77" fmla="*/ 300 h 1143"/>
                              <a:gd name="T78" fmla="*/ 1107 w 1167"/>
                              <a:gd name="T79" fmla="*/ 367 h 1143"/>
                              <a:gd name="T80" fmla="*/ 1135 w 1167"/>
                              <a:gd name="T81" fmla="*/ 436 h 1143"/>
                              <a:gd name="T82" fmla="*/ 1152 w 1167"/>
                              <a:gd name="T83" fmla="*/ 508 h 1143"/>
                              <a:gd name="T84" fmla="*/ 1162 w 1167"/>
                              <a:gd name="T85" fmla="*/ 583 h 1143"/>
                              <a:gd name="T86" fmla="*/ 1167 w 1167"/>
                              <a:gd name="T87" fmla="*/ 659 h 1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167" h="1143">
                                <a:moveTo>
                                  <a:pt x="1167" y="659"/>
                                </a:moveTo>
                                <a:lnTo>
                                  <a:pt x="1167" y="1143"/>
                                </a:lnTo>
                                <a:lnTo>
                                  <a:pt x="272" y="1141"/>
                                </a:lnTo>
                                <a:lnTo>
                                  <a:pt x="0" y="139"/>
                                </a:lnTo>
                                <a:lnTo>
                                  <a:pt x="20" y="144"/>
                                </a:lnTo>
                                <a:lnTo>
                                  <a:pt x="42" y="146"/>
                                </a:lnTo>
                                <a:lnTo>
                                  <a:pt x="65" y="151"/>
                                </a:lnTo>
                                <a:lnTo>
                                  <a:pt x="90" y="156"/>
                                </a:lnTo>
                                <a:lnTo>
                                  <a:pt x="117" y="158"/>
                                </a:lnTo>
                                <a:lnTo>
                                  <a:pt x="147" y="161"/>
                                </a:lnTo>
                                <a:lnTo>
                                  <a:pt x="177" y="163"/>
                                </a:lnTo>
                                <a:lnTo>
                                  <a:pt x="207" y="166"/>
                                </a:lnTo>
                                <a:lnTo>
                                  <a:pt x="239" y="168"/>
                                </a:lnTo>
                                <a:lnTo>
                                  <a:pt x="274" y="168"/>
                                </a:lnTo>
                                <a:lnTo>
                                  <a:pt x="307" y="166"/>
                                </a:lnTo>
                                <a:lnTo>
                                  <a:pt x="344" y="166"/>
                                </a:lnTo>
                                <a:lnTo>
                                  <a:pt x="379" y="161"/>
                                </a:lnTo>
                                <a:lnTo>
                                  <a:pt x="416" y="156"/>
                                </a:lnTo>
                                <a:lnTo>
                                  <a:pt x="454" y="151"/>
                                </a:lnTo>
                                <a:lnTo>
                                  <a:pt x="491" y="144"/>
                                </a:lnTo>
                                <a:lnTo>
                                  <a:pt x="549" y="129"/>
                                </a:lnTo>
                                <a:lnTo>
                                  <a:pt x="598" y="111"/>
                                </a:lnTo>
                                <a:lnTo>
                                  <a:pt x="643" y="91"/>
                                </a:lnTo>
                                <a:lnTo>
                                  <a:pt x="683" y="72"/>
                                </a:lnTo>
                                <a:lnTo>
                                  <a:pt x="716" y="52"/>
                                </a:lnTo>
                                <a:lnTo>
                                  <a:pt x="743" y="32"/>
                                </a:lnTo>
                                <a:lnTo>
                                  <a:pt x="765" y="15"/>
                                </a:lnTo>
                                <a:lnTo>
                                  <a:pt x="783" y="0"/>
                                </a:lnTo>
                                <a:lnTo>
                                  <a:pt x="805" y="12"/>
                                </a:lnTo>
                                <a:lnTo>
                                  <a:pt x="825" y="24"/>
                                </a:lnTo>
                                <a:lnTo>
                                  <a:pt x="845" y="39"/>
                                </a:lnTo>
                                <a:lnTo>
                                  <a:pt x="865" y="54"/>
                                </a:lnTo>
                                <a:lnTo>
                                  <a:pt x="885" y="69"/>
                                </a:lnTo>
                                <a:lnTo>
                                  <a:pt x="903" y="84"/>
                                </a:lnTo>
                                <a:lnTo>
                                  <a:pt x="923" y="101"/>
                                </a:lnTo>
                                <a:lnTo>
                                  <a:pt x="940" y="119"/>
                                </a:lnTo>
                                <a:lnTo>
                                  <a:pt x="992" y="176"/>
                                </a:lnTo>
                                <a:lnTo>
                                  <a:pt x="1037" y="235"/>
                                </a:lnTo>
                                <a:lnTo>
                                  <a:pt x="1075" y="300"/>
                                </a:lnTo>
                                <a:lnTo>
                                  <a:pt x="1107" y="367"/>
                                </a:lnTo>
                                <a:lnTo>
                                  <a:pt x="1135" y="436"/>
                                </a:lnTo>
                                <a:lnTo>
                                  <a:pt x="1152" y="508"/>
                                </a:lnTo>
                                <a:lnTo>
                                  <a:pt x="1162" y="583"/>
                                </a:lnTo>
                                <a:lnTo>
                                  <a:pt x="1167" y="6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170"/>
                        <wps:cNvSpPr>
                          <a:spLocks/>
                        </wps:cNvSpPr>
                        <wps:spPr bwMode="auto">
                          <a:xfrm>
                            <a:off x="3955148" y="3956257"/>
                            <a:ext cx="479142" cy="118192"/>
                          </a:xfrm>
                          <a:custGeom>
                            <a:avLst/>
                            <a:gdLst>
                              <a:gd name="T0" fmla="*/ 753 w 753"/>
                              <a:gd name="T1" fmla="*/ 65 h 186"/>
                              <a:gd name="T2" fmla="*/ 735 w 753"/>
                              <a:gd name="T3" fmla="*/ 77 h 186"/>
                              <a:gd name="T4" fmla="*/ 715 w 753"/>
                              <a:gd name="T5" fmla="*/ 89 h 186"/>
                              <a:gd name="T6" fmla="*/ 693 w 753"/>
                              <a:gd name="T7" fmla="*/ 104 h 186"/>
                              <a:gd name="T8" fmla="*/ 665 w 753"/>
                              <a:gd name="T9" fmla="*/ 117 h 186"/>
                              <a:gd name="T10" fmla="*/ 635 w 753"/>
                              <a:gd name="T11" fmla="*/ 131 h 186"/>
                              <a:gd name="T12" fmla="*/ 603 w 753"/>
                              <a:gd name="T13" fmla="*/ 144 h 186"/>
                              <a:gd name="T14" fmla="*/ 566 w 753"/>
                              <a:gd name="T15" fmla="*/ 156 h 186"/>
                              <a:gd name="T16" fmla="*/ 526 w 753"/>
                              <a:gd name="T17" fmla="*/ 166 h 186"/>
                              <a:gd name="T18" fmla="*/ 476 w 753"/>
                              <a:gd name="T19" fmla="*/ 176 h 186"/>
                              <a:gd name="T20" fmla="*/ 426 w 753"/>
                              <a:gd name="T21" fmla="*/ 181 h 186"/>
                              <a:gd name="T22" fmla="*/ 379 w 753"/>
                              <a:gd name="T23" fmla="*/ 186 h 186"/>
                              <a:gd name="T24" fmla="*/ 331 w 753"/>
                              <a:gd name="T25" fmla="*/ 186 h 186"/>
                              <a:gd name="T26" fmla="*/ 286 w 753"/>
                              <a:gd name="T27" fmla="*/ 186 h 186"/>
                              <a:gd name="T28" fmla="*/ 244 w 753"/>
                              <a:gd name="T29" fmla="*/ 186 h 186"/>
                              <a:gd name="T30" fmla="*/ 202 w 753"/>
                              <a:gd name="T31" fmla="*/ 181 h 186"/>
                              <a:gd name="T32" fmla="*/ 164 w 753"/>
                              <a:gd name="T33" fmla="*/ 176 h 186"/>
                              <a:gd name="T34" fmla="*/ 132 w 753"/>
                              <a:gd name="T35" fmla="*/ 174 h 186"/>
                              <a:gd name="T36" fmla="*/ 99 w 753"/>
                              <a:gd name="T37" fmla="*/ 166 h 186"/>
                              <a:gd name="T38" fmla="*/ 72 w 753"/>
                              <a:gd name="T39" fmla="*/ 161 h 186"/>
                              <a:gd name="T40" fmla="*/ 49 w 753"/>
                              <a:gd name="T41" fmla="*/ 156 h 186"/>
                              <a:gd name="T42" fmla="*/ 29 w 753"/>
                              <a:gd name="T43" fmla="*/ 151 h 186"/>
                              <a:gd name="T44" fmla="*/ 17 w 753"/>
                              <a:gd name="T45" fmla="*/ 149 h 186"/>
                              <a:gd name="T46" fmla="*/ 7 w 753"/>
                              <a:gd name="T47" fmla="*/ 146 h 186"/>
                              <a:gd name="T48" fmla="*/ 5 w 753"/>
                              <a:gd name="T49" fmla="*/ 144 h 186"/>
                              <a:gd name="T50" fmla="*/ 0 w 753"/>
                              <a:gd name="T51" fmla="*/ 144 h 186"/>
                              <a:gd name="T52" fmla="*/ 25 w 753"/>
                              <a:gd name="T53" fmla="*/ 127 h 186"/>
                              <a:gd name="T54" fmla="*/ 49 w 753"/>
                              <a:gd name="T55" fmla="*/ 112 h 186"/>
                              <a:gd name="T56" fmla="*/ 74 w 753"/>
                              <a:gd name="T57" fmla="*/ 97 h 186"/>
                              <a:gd name="T58" fmla="*/ 102 w 753"/>
                              <a:gd name="T59" fmla="*/ 82 h 186"/>
                              <a:gd name="T60" fmla="*/ 127 w 753"/>
                              <a:gd name="T61" fmla="*/ 69 h 186"/>
                              <a:gd name="T62" fmla="*/ 154 w 753"/>
                              <a:gd name="T63" fmla="*/ 57 h 186"/>
                              <a:gd name="T64" fmla="*/ 182 w 753"/>
                              <a:gd name="T65" fmla="*/ 47 h 186"/>
                              <a:gd name="T66" fmla="*/ 212 w 753"/>
                              <a:gd name="T67" fmla="*/ 37 h 186"/>
                              <a:gd name="T68" fmla="*/ 239 w 753"/>
                              <a:gd name="T69" fmla="*/ 30 h 186"/>
                              <a:gd name="T70" fmla="*/ 269 w 753"/>
                              <a:gd name="T71" fmla="*/ 22 h 186"/>
                              <a:gd name="T72" fmla="*/ 296 w 753"/>
                              <a:gd name="T73" fmla="*/ 15 h 186"/>
                              <a:gd name="T74" fmla="*/ 326 w 753"/>
                              <a:gd name="T75" fmla="*/ 10 h 186"/>
                              <a:gd name="T76" fmla="*/ 356 w 753"/>
                              <a:gd name="T77" fmla="*/ 5 h 186"/>
                              <a:gd name="T78" fmla="*/ 386 w 753"/>
                              <a:gd name="T79" fmla="*/ 2 h 186"/>
                              <a:gd name="T80" fmla="*/ 418 w 753"/>
                              <a:gd name="T81" fmla="*/ 0 h 186"/>
                              <a:gd name="T82" fmla="*/ 448 w 753"/>
                              <a:gd name="T83" fmla="*/ 0 h 186"/>
                              <a:gd name="T84" fmla="*/ 488 w 753"/>
                              <a:gd name="T85" fmla="*/ 0 h 186"/>
                              <a:gd name="T86" fmla="*/ 526 w 753"/>
                              <a:gd name="T87" fmla="*/ 5 h 186"/>
                              <a:gd name="T88" fmla="*/ 566 w 753"/>
                              <a:gd name="T89" fmla="*/ 10 h 186"/>
                              <a:gd name="T90" fmla="*/ 603 w 753"/>
                              <a:gd name="T91" fmla="*/ 17 h 186"/>
                              <a:gd name="T92" fmla="*/ 640 w 753"/>
                              <a:gd name="T93" fmla="*/ 25 h 186"/>
                              <a:gd name="T94" fmla="*/ 678 w 753"/>
                              <a:gd name="T95" fmla="*/ 37 h 186"/>
                              <a:gd name="T96" fmla="*/ 715 w 753"/>
                              <a:gd name="T97" fmla="*/ 50 h 186"/>
                              <a:gd name="T98" fmla="*/ 753 w 753"/>
                              <a:gd name="T99" fmla="*/ 65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53" h="186">
                                <a:moveTo>
                                  <a:pt x="753" y="65"/>
                                </a:moveTo>
                                <a:lnTo>
                                  <a:pt x="735" y="77"/>
                                </a:lnTo>
                                <a:lnTo>
                                  <a:pt x="715" y="89"/>
                                </a:lnTo>
                                <a:lnTo>
                                  <a:pt x="693" y="104"/>
                                </a:lnTo>
                                <a:lnTo>
                                  <a:pt x="665" y="117"/>
                                </a:lnTo>
                                <a:lnTo>
                                  <a:pt x="635" y="131"/>
                                </a:lnTo>
                                <a:lnTo>
                                  <a:pt x="603" y="144"/>
                                </a:lnTo>
                                <a:lnTo>
                                  <a:pt x="566" y="156"/>
                                </a:lnTo>
                                <a:lnTo>
                                  <a:pt x="526" y="166"/>
                                </a:lnTo>
                                <a:lnTo>
                                  <a:pt x="476" y="176"/>
                                </a:lnTo>
                                <a:lnTo>
                                  <a:pt x="426" y="181"/>
                                </a:lnTo>
                                <a:lnTo>
                                  <a:pt x="379" y="186"/>
                                </a:lnTo>
                                <a:lnTo>
                                  <a:pt x="331" y="186"/>
                                </a:lnTo>
                                <a:lnTo>
                                  <a:pt x="286" y="186"/>
                                </a:lnTo>
                                <a:lnTo>
                                  <a:pt x="244" y="186"/>
                                </a:lnTo>
                                <a:lnTo>
                                  <a:pt x="202" y="181"/>
                                </a:lnTo>
                                <a:lnTo>
                                  <a:pt x="164" y="176"/>
                                </a:lnTo>
                                <a:lnTo>
                                  <a:pt x="132" y="174"/>
                                </a:lnTo>
                                <a:lnTo>
                                  <a:pt x="99" y="166"/>
                                </a:lnTo>
                                <a:lnTo>
                                  <a:pt x="72" y="161"/>
                                </a:lnTo>
                                <a:lnTo>
                                  <a:pt x="49" y="156"/>
                                </a:lnTo>
                                <a:lnTo>
                                  <a:pt x="29" y="151"/>
                                </a:lnTo>
                                <a:lnTo>
                                  <a:pt x="17" y="149"/>
                                </a:lnTo>
                                <a:lnTo>
                                  <a:pt x="7" y="146"/>
                                </a:lnTo>
                                <a:lnTo>
                                  <a:pt x="5" y="144"/>
                                </a:lnTo>
                                <a:lnTo>
                                  <a:pt x="0" y="144"/>
                                </a:lnTo>
                                <a:lnTo>
                                  <a:pt x="25" y="127"/>
                                </a:lnTo>
                                <a:lnTo>
                                  <a:pt x="49" y="112"/>
                                </a:lnTo>
                                <a:lnTo>
                                  <a:pt x="74" y="97"/>
                                </a:lnTo>
                                <a:lnTo>
                                  <a:pt x="102" y="82"/>
                                </a:lnTo>
                                <a:lnTo>
                                  <a:pt x="127" y="69"/>
                                </a:lnTo>
                                <a:lnTo>
                                  <a:pt x="154" y="57"/>
                                </a:lnTo>
                                <a:lnTo>
                                  <a:pt x="182" y="47"/>
                                </a:lnTo>
                                <a:lnTo>
                                  <a:pt x="212" y="37"/>
                                </a:lnTo>
                                <a:lnTo>
                                  <a:pt x="239" y="30"/>
                                </a:lnTo>
                                <a:lnTo>
                                  <a:pt x="269" y="22"/>
                                </a:lnTo>
                                <a:lnTo>
                                  <a:pt x="296" y="15"/>
                                </a:lnTo>
                                <a:lnTo>
                                  <a:pt x="326" y="10"/>
                                </a:lnTo>
                                <a:lnTo>
                                  <a:pt x="356" y="5"/>
                                </a:lnTo>
                                <a:lnTo>
                                  <a:pt x="386" y="2"/>
                                </a:lnTo>
                                <a:lnTo>
                                  <a:pt x="418" y="0"/>
                                </a:lnTo>
                                <a:lnTo>
                                  <a:pt x="448" y="0"/>
                                </a:lnTo>
                                <a:lnTo>
                                  <a:pt x="488" y="0"/>
                                </a:lnTo>
                                <a:lnTo>
                                  <a:pt x="526" y="5"/>
                                </a:lnTo>
                                <a:lnTo>
                                  <a:pt x="566" y="10"/>
                                </a:lnTo>
                                <a:lnTo>
                                  <a:pt x="603" y="17"/>
                                </a:lnTo>
                                <a:lnTo>
                                  <a:pt x="640" y="25"/>
                                </a:lnTo>
                                <a:lnTo>
                                  <a:pt x="678" y="37"/>
                                </a:lnTo>
                                <a:lnTo>
                                  <a:pt x="715" y="50"/>
                                </a:lnTo>
                                <a:lnTo>
                                  <a:pt x="753" y="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171"/>
                        <wps:cNvSpPr>
                          <a:spLocks/>
                        </wps:cNvSpPr>
                        <wps:spPr bwMode="auto">
                          <a:xfrm>
                            <a:off x="3747986" y="4073179"/>
                            <a:ext cx="355862" cy="677380"/>
                          </a:xfrm>
                          <a:custGeom>
                            <a:avLst/>
                            <a:gdLst>
                              <a:gd name="T0" fmla="*/ 225 w 559"/>
                              <a:gd name="T1" fmla="*/ 42 h 1064"/>
                              <a:gd name="T2" fmla="*/ 237 w 559"/>
                              <a:gd name="T3" fmla="*/ 32 h 1064"/>
                              <a:gd name="T4" fmla="*/ 247 w 559"/>
                              <a:gd name="T5" fmla="*/ 19 h 1064"/>
                              <a:gd name="T6" fmla="*/ 260 w 559"/>
                              <a:gd name="T7" fmla="*/ 9 h 1064"/>
                              <a:gd name="T8" fmla="*/ 272 w 559"/>
                              <a:gd name="T9" fmla="*/ 0 h 1064"/>
                              <a:gd name="T10" fmla="*/ 559 w 559"/>
                              <a:gd name="T11" fmla="*/ 1064 h 1064"/>
                              <a:gd name="T12" fmla="*/ 0 w 559"/>
                              <a:gd name="T13" fmla="*/ 1064 h 1064"/>
                              <a:gd name="T14" fmla="*/ 0 w 559"/>
                              <a:gd name="T15" fmla="*/ 582 h 1064"/>
                              <a:gd name="T16" fmla="*/ 3 w 559"/>
                              <a:gd name="T17" fmla="*/ 506 h 1064"/>
                              <a:gd name="T18" fmla="*/ 15 w 559"/>
                              <a:gd name="T19" fmla="*/ 431 h 1064"/>
                              <a:gd name="T20" fmla="*/ 33 w 559"/>
                              <a:gd name="T21" fmla="*/ 359 h 1064"/>
                              <a:gd name="T22" fmla="*/ 58 w 559"/>
                              <a:gd name="T23" fmla="*/ 290 h 1064"/>
                              <a:gd name="T24" fmla="*/ 90 w 559"/>
                              <a:gd name="T25" fmla="*/ 223 h 1064"/>
                              <a:gd name="T26" fmla="*/ 128 w 559"/>
                              <a:gd name="T27" fmla="*/ 158 h 1064"/>
                              <a:gd name="T28" fmla="*/ 172 w 559"/>
                              <a:gd name="T29" fmla="*/ 99 h 1064"/>
                              <a:gd name="T30" fmla="*/ 225 w 559"/>
                              <a:gd name="T31" fmla="*/ 42 h 10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59" h="1064">
                                <a:moveTo>
                                  <a:pt x="225" y="42"/>
                                </a:moveTo>
                                <a:lnTo>
                                  <a:pt x="237" y="32"/>
                                </a:lnTo>
                                <a:lnTo>
                                  <a:pt x="247" y="19"/>
                                </a:lnTo>
                                <a:lnTo>
                                  <a:pt x="260" y="9"/>
                                </a:lnTo>
                                <a:lnTo>
                                  <a:pt x="272" y="0"/>
                                </a:lnTo>
                                <a:lnTo>
                                  <a:pt x="559" y="1064"/>
                                </a:lnTo>
                                <a:lnTo>
                                  <a:pt x="0" y="1064"/>
                                </a:lnTo>
                                <a:lnTo>
                                  <a:pt x="0" y="582"/>
                                </a:lnTo>
                                <a:lnTo>
                                  <a:pt x="3" y="506"/>
                                </a:lnTo>
                                <a:lnTo>
                                  <a:pt x="15" y="431"/>
                                </a:lnTo>
                                <a:lnTo>
                                  <a:pt x="33" y="359"/>
                                </a:lnTo>
                                <a:lnTo>
                                  <a:pt x="58" y="290"/>
                                </a:lnTo>
                                <a:lnTo>
                                  <a:pt x="90" y="223"/>
                                </a:lnTo>
                                <a:lnTo>
                                  <a:pt x="128" y="158"/>
                                </a:lnTo>
                                <a:lnTo>
                                  <a:pt x="172" y="99"/>
                                </a:lnTo>
                                <a:lnTo>
                                  <a:pt x="225" y="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72"/>
                        <wps:cNvSpPr>
                          <a:spLocks/>
                        </wps:cNvSpPr>
                        <wps:spPr bwMode="auto">
                          <a:xfrm>
                            <a:off x="3948794" y="3233761"/>
                            <a:ext cx="611319" cy="627181"/>
                          </a:xfrm>
                          <a:custGeom>
                            <a:avLst/>
                            <a:gdLst>
                              <a:gd name="T0" fmla="*/ 927 w 960"/>
                              <a:gd name="T1" fmla="*/ 204 h 985"/>
                              <a:gd name="T2" fmla="*/ 870 w 960"/>
                              <a:gd name="T3" fmla="*/ 157 h 985"/>
                              <a:gd name="T4" fmla="*/ 812 w 960"/>
                              <a:gd name="T5" fmla="*/ 115 h 985"/>
                              <a:gd name="T6" fmla="*/ 755 w 960"/>
                              <a:gd name="T7" fmla="*/ 80 h 985"/>
                              <a:gd name="T8" fmla="*/ 698 w 960"/>
                              <a:gd name="T9" fmla="*/ 53 h 985"/>
                              <a:gd name="T10" fmla="*/ 640 w 960"/>
                              <a:gd name="T11" fmla="*/ 30 h 985"/>
                              <a:gd name="T12" fmla="*/ 586 w 960"/>
                              <a:gd name="T13" fmla="*/ 13 h 985"/>
                              <a:gd name="T14" fmla="*/ 531 w 960"/>
                              <a:gd name="T15" fmla="*/ 3 h 985"/>
                              <a:gd name="T16" fmla="*/ 476 w 960"/>
                              <a:gd name="T17" fmla="*/ 0 h 985"/>
                              <a:gd name="T18" fmla="*/ 423 w 960"/>
                              <a:gd name="T19" fmla="*/ 3 h 985"/>
                              <a:gd name="T20" fmla="*/ 369 w 960"/>
                              <a:gd name="T21" fmla="*/ 13 h 985"/>
                              <a:gd name="T22" fmla="*/ 314 w 960"/>
                              <a:gd name="T23" fmla="*/ 28 h 985"/>
                              <a:gd name="T24" fmla="*/ 259 w 960"/>
                              <a:gd name="T25" fmla="*/ 48 h 985"/>
                              <a:gd name="T26" fmla="*/ 204 w 960"/>
                              <a:gd name="T27" fmla="*/ 75 h 985"/>
                              <a:gd name="T28" fmla="*/ 147 w 960"/>
                              <a:gd name="T29" fmla="*/ 107 h 985"/>
                              <a:gd name="T30" fmla="*/ 89 w 960"/>
                              <a:gd name="T31" fmla="*/ 147 h 985"/>
                              <a:gd name="T32" fmla="*/ 32 w 960"/>
                              <a:gd name="T33" fmla="*/ 191 h 985"/>
                              <a:gd name="T34" fmla="*/ 162 w 960"/>
                              <a:gd name="T35" fmla="*/ 407 h 985"/>
                              <a:gd name="T36" fmla="*/ 117 w 960"/>
                              <a:gd name="T37" fmla="*/ 504 h 985"/>
                              <a:gd name="T38" fmla="*/ 99 w 960"/>
                              <a:gd name="T39" fmla="*/ 613 h 985"/>
                              <a:gd name="T40" fmla="*/ 107 w 960"/>
                              <a:gd name="T41" fmla="*/ 685 h 985"/>
                              <a:gd name="T42" fmla="*/ 127 w 960"/>
                              <a:gd name="T43" fmla="*/ 755 h 985"/>
                              <a:gd name="T44" fmla="*/ 162 w 960"/>
                              <a:gd name="T45" fmla="*/ 819 h 985"/>
                              <a:gd name="T46" fmla="*/ 209 w 960"/>
                              <a:gd name="T47" fmla="*/ 876 h 985"/>
                              <a:gd name="T48" fmla="*/ 266 w 960"/>
                              <a:gd name="T49" fmla="*/ 923 h 985"/>
                              <a:gd name="T50" fmla="*/ 331 w 960"/>
                              <a:gd name="T51" fmla="*/ 955 h 985"/>
                              <a:gd name="T52" fmla="*/ 401 w 960"/>
                              <a:gd name="T53" fmla="*/ 978 h 985"/>
                              <a:gd name="T54" fmla="*/ 473 w 960"/>
                              <a:gd name="T55" fmla="*/ 985 h 985"/>
                              <a:gd name="T56" fmla="*/ 548 w 960"/>
                              <a:gd name="T57" fmla="*/ 978 h 985"/>
                              <a:gd name="T58" fmla="*/ 618 w 960"/>
                              <a:gd name="T59" fmla="*/ 955 h 985"/>
                              <a:gd name="T60" fmla="*/ 680 w 960"/>
                              <a:gd name="T61" fmla="*/ 923 h 985"/>
                              <a:gd name="T62" fmla="*/ 738 w 960"/>
                              <a:gd name="T63" fmla="*/ 876 h 985"/>
                              <a:gd name="T64" fmla="*/ 785 w 960"/>
                              <a:gd name="T65" fmla="*/ 819 h 985"/>
                              <a:gd name="T66" fmla="*/ 820 w 960"/>
                              <a:gd name="T67" fmla="*/ 755 h 985"/>
                              <a:gd name="T68" fmla="*/ 840 w 960"/>
                              <a:gd name="T69" fmla="*/ 685 h 985"/>
                              <a:gd name="T70" fmla="*/ 847 w 960"/>
                              <a:gd name="T71" fmla="*/ 613 h 985"/>
                              <a:gd name="T72" fmla="*/ 835 w 960"/>
                              <a:gd name="T73" fmla="*/ 514 h 985"/>
                              <a:gd name="T74" fmla="*/ 795 w 960"/>
                              <a:gd name="T75" fmla="*/ 422 h 9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960" h="985">
                                <a:moveTo>
                                  <a:pt x="960" y="231"/>
                                </a:moveTo>
                                <a:lnTo>
                                  <a:pt x="927" y="204"/>
                                </a:lnTo>
                                <a:lnTo>
                                  <a:pt x="897" y="179"/>
                                </a:lnTo>
                                <a:lnTo>
                                  <a:pt x="870" y="157"/>
                                </a:lnTo>
                                <a:lnTo>
                                  <a:pt x="840" y="134"/>
                                </a:lnTo>
                                <a:lnTo>
                                  <a:pt x="812" y="115"/>
                                </a:lnTo>
                                <a:lnTo>
                                  <a:pt x="783" y="97"/>
                                </a:lnTo>
                                <a:lnTo>
                                  <a:pt x="755" y="80"/>
                                </a:lnTo>
                                <a:lnTo>
                                  <a:pt x="725" y="65"/>
                                </a:lnTo>
                                <a:lnTo>
                                  <a:pt x="698" y="53"/>
                                </a:lnTo>
                                <a:lnTo>
                                  <a:pt x="670" y="40"/>
                                </a:lnTo>
                                <a:lnTo>
                                  <a:pt x="640" y="30"/>
                                </a:lnTo>
                                <a:lnTo>
                                  <a:pt x="613" y="20"/>
                                </a:lnTo>
                                <a:lnTo>
                                  <a:pt x="586" y="13"/>
                                </a:lnTo>
                                <a:lnTo>
                                  <a:pt x="558" y="8"/>
                                </a:lnTo>
                                <a:lnTo>
                                  <a:pt x="531" y="3"/>
                                </a:lnTo>
                                <a:lnTo>
                                  <a:pt x="503" y="0"/>
                                </a:lnTo>
                                <a:lnTo>
                                  <a:pt x="476" y="0"/>
                                </a:lnTo>
                                <a:lnTo>
                                  <a:pt x="448" y="0"/>
                                </a:lnTo>
                                <a:lnTo>
                                  <a:pt x="423" y="3"/>
                                </a:lnTo>
                                <a:lnTo>
                                  <a:pt x="396" y="8"/>
                                </a:lnTo>
                                <a:lnTo>
                                  <a:pt x="369" y="13"/>
                                </a:lnTo>
                                <a:lnTo>
                                  <a:pt x="341" y="20"/>
                                </a:lnTo>
                                <a:lnTo>
                                  <a:pt x="314" y="28"/>
                                </a:lnTo>
                                <a:lnTo>
                                  <a:pt x="286" y="38"/>
                                </a:lnTo>
                                <a:lnTo>
                                  <a:pt x="259" y="48"/>
                                </a:lnTo>
                                <a:lnTo>
                                  <a:pt x="231" y="62"/>
                                </a:lnTo>
                                <a:lnTo>
                                  <a:pt x="204" y="75"/>
                                </a:lnTo>
                                <a:lnTo>
                                  <a:pt x="174" y="92"/>
                                </a:lnTo>
                                <a:lnTo>
                                  <a:pt x="147" y="107"/>
                                </a:lnTo>
                                <a:lnTo>
                                  <a:pt x="119" y="127"/>
                                </a:lnTo>
                                <a:lnTo>
                                  <a:pt x="89" y="147"/>
                                </a:lnTo>
                                <a:lnTo>
                                  <a:pt x="62" y="169"/>
                                </a:lnTo>
                                <a:lnTo>
                                  <a:pt x="32" y="191"/>
                                </a:lnTo>
                                <a:lnTo>
                                  <a:pt x="0" y="219"/>
                                </a:lnTo>
                                <a:lnTo>
                                  <a:pt x="162" y="407"/>
                                </a:lnTo>
                                <a:lnTo>
                                  <a:pt x="134" y="454"/>
                                </a:lnTo>
                                <a:lnTo>
                                  <a:pt x="117" y="504"/>
                                </a:lnTo>
                                <a:lnTo>
                                  <a:pt x="104" y="556"/>
                                </a:lnTo>
                                <a:lnTo>
                                  <a:pt x="99" y="613"/>
                                </a:lnTo>
                                <a:lnTo>
                                  <a:pt x="102" y="650"/>
                                </a:lnTo>
                                <a:lnTo>
                                  <a:pt x="107" y="685"/>
                                </a:lnTo>
                                <a:lnTo>
                                  <a:pt x="114" y="720"/>
                                </a:lnTo>
                                <a:lnTo>
                                  <a:pt x="127" y="755"/>
                                </a:lnTo>
                                <a:lnTo>
                                  <a:pt x="142" y="787"/>
                                </a:lnTo>
                                <a:lnTo>
                                  <a:pt x="162" y="819"/>
                                </a:lnTo>
                                <a:lnTo>
                                  <a:pt x="184" y="849"/>
                                </a:lnTo>
                                <a:lnTo>
                                  <a:pt x="209" y="876"/>
                                </a:lnTo>
                                <a:lnTo>
                                  <a:pt x="236" y="901"/>
                                </a:lnTo>
                                <a:lnTo>
                                  <a:pt x="266" y="923"/>
                                </a:lnTo>
                                <a:lnTo>
                                  <a:pt x="296" y="941"/>
                                </a:lnTo>
                                <a:lnTo>
                                  <a:pt x="331" y="955"/>
                                </a:lnTo>
                                <a:lnTo>
                                  <a:pt x="364" y="968"/>
                                </a:lnTo>
                                <a:lnTo>
                                  <a:pt x="401" y="978"/>
                                </a:lnTo>
                                <a:lnTo>
                                  <a:pt x="436" y="983"/>
                                </a:lnTo>
                                <a:lnTo>
                                  <a:pt x="473" y="985"/>
                                </a:lnTo>
                                <a:lnTo>
                                  <a:pt x="511" y="983"/>
                                </a:lnTo>
                                <a:lnTo>
                                  <a:pt x="548" y="978"/>
                                </a:lnTo>
                                <a:lnTo>
                                  <a:pt x="583" y="968"/>
                                </a:lnTo>
                                <a:lnTo>
                                  <a:pt x="618" y="955"/>
                                </a:lnTo>
                                <a:lnTo>
                                  <a:pt x="650" y="941"/>
                                </a:lnTo>
                                <a:lnTo>
                                  <a:pt x="680" y="923"/>
                                </a:lnTo>
                                <a:lnTo>
                                  <a:pt x="710" y="901"/>
                                </a:lnTo>
                                <a:lnTo>
                                  <a:pt x="738" y="876"/>
                                </a:lnTo>
                                <a:lnTo>
                                  <a:pt x="763" y="849"/>
                                </a:lnTo>
                                <a:lnTo>
                                  <a:pt x="785" y="819"/>
                                </a:lnTo>
                                <a:lnTo>
                                  <a:pt x="805" y="787"/>
                                </a:lnTo>
                                <a:lnTo>
                                  <a:pt x="820" y="755"/>
                                </a:lnTo>
                                <a:lnTo>
                                  <a:pt x="832" y="720"/>
                                </a:lnTo>
                                <a:lnTo>
                                  <a:pt x="840" y="685"/>
                                </a:lnTo>
                                <a:lnTo>
                                  <a:pt x="845" y="650"/>
                                </a:lnTo>
                                <a:lnTo>
                                  <a:pt x="847" y="613"/>
                                </a:lnTo>
                                <a:lnTo>
                                  <a:pt x="845" y="561"/>
                                </a:lnTo>
                                <a:lnTo>
                                  <a:pt x="835" y="514"/>
                                </a:lnTo>
                                <a:lnTo>
                                  <a:pt x="817" y="467"/>
                                </a:lnTo>
                                <a:lnTo>
                                  <a:pt x="795" y="422"/>
                                </a:lnTo>
                                <a:lnTo>
                                  <a:pt x="960" y="2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73"/>
                        <wps:cNvSpPr>
                          <a:spLocks/>
                        </wps:cNvSpPr>
                        <wps:spPr bwMode="auto">
                          <a:xfrm>
                            <a:off x="4065719" y="3468238"/>
                            <a:ext cx="368571" cy="337419"/>
                          </a:xfrm>
                          <a:custGeom>
                            <a:avLst/>
                            <a:gdLst>
                              <a:gd name="T0" fmla="*/ 289 w 579"/>
                              <a:gd name="T1" fmla="*/ 530 h 530"/>
                              <a:gd name="T2" fmla="*/ 259 w 579"/>
                              <a:gd name="T3" fmla="*/ 528 h 530"/>
                              <a:gd name="T4" fmla="*/ 232 w 579"/>
                              <a:gd name="T5" fmla="*/ 525 h 530"/>
                              <a:gd name="T6" fmla="*/ 205 w 579"/>
                              <a:gd name="T7" fmla="*/ 518 h 530"/>
                              <a:gd name="T8" fmla="*/ 180 w 579"/>
                              <a:gd name="T9" fmla="*/ 508 h 530"/>
                              <a:gd name="T10" fmla="*/ 152 w 579"/>
                              <a:gd name="T11" fmla="*/ 496 h 530"/>
                              <a:gd name="T12" fmla="*/ 130 w 579"/>
                              <a:gd name="T13" fmla="*/ 483 h 530"/>
                              <a:gd name="T14" fmla="*/ 107 w 579"/>
                              <a:gd name="T15" fmla="*/ 466 h 530"/>
                              <a:gd name="T16" fmla="*/ 85 w 579"/>
                              <a:gd name="T17" fmla="*/ 446 h 530"/>
                              <a:gd name="T18" fmla="*/ 65 w 579"/>
                              <a:gd name="T19" fmla="*/ 424 h 530"/>
                              <a:gd name="T20" fmla="*/ 47 w 579"/>
                              <a:gd name="T21" fmla="*/ 401 h 530"/>
                              <a:gd name="T22" fmla="*/ 35 w 579"/>
                              <a:gd name="T23" fmla="*/ 379 h 530"/>
                              <a:gd name="T24" fmla="*/ 23 w 579"/>
                              <a:gd name="T25" fmla="*/ 352 h 530"/>
                              <a:gd name="T26" fmla="*/ 13 w 579"/>
                              <a:gd name="T27" fmla="*/ 327 h 530"/>
                              <a:gd name="T28" fmla="*/ 5 w 579"/>
                              <a:gd name="T29" fmla="*/ 300 h 530"/>
                              <a:gd name="T30" fmla="*/ 3 w 579"/>
                              <a:gd name="T31" fmla="*/ 272 h 530"/>
                              <a:gd name="T32" fmla="*/ 0 w 579"/>
                              <a:gd name="T33" fmla="*/ 245 h 530"/>
                              <a:gd name="T34" fmla="*/ 3 w 579"/>
                              <a:gd name="T35" fmla="*/ 208 h 530"/>
                              <a:gd name="T36" fmla="*/ 10 w 579"/>
                              <a:gd name="T37" fmla="*/ 173 h 530"/>
                              <a:gd name="T38" fmla="*/ 20 w 579"/>
                              <a:gd name="T39" fmla="*/ 141 h 530"/>
                              <a:gd name="T40" fmla="*/ 35 w 579"/>
                              <a:gd name="T41" fmla="*/ 109 h 530"/>
                              <a:gd name="T42" fmla="*/ 67 w 579"/>
                              <a:gd name="T43" fmla="*/ 81 h 530"/>
                              <a:gd name="T44" fmla="*/ 92 w 579"/>
                              <a:gd name="T45" fmla="*/ 64 h 530"/>
                              <a:gd name="T46" fmla="*/ 120 w 579"/>
                              <a:gd name="T47" fmla="*/ 47 h 530"/>
                              <a:gd name="T48" fmla="*/ 147 w 579"/>
                              <a:gd name="T49" fmla="*/ 32 h 530"/>
                              <a:gd name="T50" fmla="*/ 177 w 579"/>
                              <a:gd name="T51" fmla="*/ 22 h 530"/>
                              <a:gd name="T52" fmla="*/ 205 w 579"/>
                              <a:gd name="T53" fmla="*/ 12 h 530"/>
                              <a:gd name="T54" fmla="*/ 237 w 579"/>
                              <a:gd name="T55" fmla="*/ 5 h 530"/>
                              <a:gd name="T56" fmla="*/ 267 w 579"/>
                              <a:gd name="T57" fmla="*/ 2 h 530"/>
                              <a:gd name="T58" fmla="*/ 299 w 579"/>
                              <a:gd name="T59" fmla="*/ 0 h 530"/>
                              <a:gd name="T60" fmla="*/ 329 w 579"/>
                              <a:gd name="T61" fmla="*/ 2 h 530"/>
                              <a:gd name="T62" fmla="*/ 359 w 579"/>
                              <a:gd name="T63" fmla="*/ 5 h 530"/>
                              <a:gd name="T64" fmla="*/ 389 w 579"/>
                              <a:gd name="T65" fmla="*/ 12 h 530"/>
                              <a:gd name="T66" fmla="*/ 419 w 579"/>
                              <a:gd name="T67" fmla="*/ 22 h 530"/>
                              <a:gd name="T68" fmla="*/ 446 w 579"/>
                              <a:gd name="T69" fmla="*/ 34 h 530"/>
                              <a:gd name="T70" fmla="*/ 474 w 579"/>
                              <a:gd name="T71" fmla="*/ 47 h 530"/>
                              <a:gd name="T72" fmla="*/ 501 w 579"/>
                              <a:gd name="T73" fmla="*/ 64 h 530"/>
                              <a:gd name="T74" fmla="*/ 526 w 579"/>
                              <a:gd name="T75" fmla="*/ 84 h 530"/>
                              <a:gd name="T76" fmla="*/ 549 w 579"/>
                              <a:gd name="T77" fmla="*/ 121 h 530"/>
                              <a:gd name="T78" fmla="*/ 564 w 579"/>
                              <a:gd name="T79" fmla="*/ 161 h 530"/>
                              <a:gd name="T80" fmla="*/ 576 w 579"/>
                              <a:gd name="T81" fmla="*/ 200 h 530"/>
                              <a:gd name="T82" fmla="*/ 579 w 579"/>
                              <a:gd name="T83" fmla="*/ 245 h 530"/>
                              <a:gd name="T84" fmla="*/ 574 w 579"/>
                              <a:gd name="T85" fmla="*/ 302 h 530"/>
                              <a:gd name="T86" fmla="*/ 556 w 579"/>
                              <a:gd name="T87" fmla="*/ 357 h 530"/>
                              <a:gd name="T88" fmla="*/ 529 w 579"/>
                              <a:gd name="T89" fmla="*/ 404 h 530"/>
                              <a:gd name="T90" fmla="*/ 494 w 579"/>
                              <a:gd name="T91" fmla="*/ 446 h 530"/>
                              <a:gd name="T92" fmla="*/ 451 w 579"/>
                              <a:gd name="T93" fmla="*/ 481 h 530"/>
                              <a:gd name="T94" fmla="*/ 402 w 579"/>
                              <a:gd name="T95" fmla="*/ 508 h 530"/>
                              <a:gd name="T96" fmla="*/ 347 w 579"/>
                              <a:gd name="T97" fmla="*/ 525 h 530"/>
                              <a:gd name="T98" fmla="*/ 289 w 579"/>
                              <a:gd name="T99" fmla="*/ 53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79" h="530">
                                <a:moveTo>
                                  <a:pt x="289" y="530"/>
                                </a:moveTo>
                                <a:lnTo>
                                  <a:pt x="259" y="528"/>
                                </a:lnTo>
                                <a:lnTo>
                                  <a:pt x="232" y="525"/>
                                </a:lnTo>
                                <a:lnTo>
                                  <a:pt x="205" y="518"/>
                                </a:lnTo>
                                <a:lnTo>
                                  <a:pt x="180" y="508"/>
                                </a:lnTo>
                                <a:lnTo>
                                  <a:pt x="152" y="496"/>
                                </a:lnTo>
                                <a:lnTo>
                                  <a:pt x="130" y="483"/>
                                </a:lnTo>
                                <a:lnTo>
                                  <a:pt x="107" y="466"/>
                                </a:lnTo>
                                <a:lnTo>
                                  <a:pt x="85" y="446"/>
                                </a:lnTo>
                                <a:lnTo>
                                  <a:pt x="65" y="424"/>
                                </a:lnTo>
                                <a:lnTo>
                                  <a:pt x="47" y="401"/>
                                </a:lnTo>
                                <a:lnTo>
                                  <a:pt x="35" y="379"/>
                                </a:lnTo>
                                <a:lnTo>
                                  <a:pt x="23" y="352"/>
                                </a:lnTo>
                                <a:lnTo>
                                  <a:pt x="13" y="327"/>
                                </a:lnTo>
                                <a:lnTo>
                                  <a:pt x="5" y="300"/>
                                </a:lnTo>
                                <a:lnTo>
                                  <a:pt x="3" y="272"/>
                                </a:lnTo>
                                <a:lnTo>
                                  <a:pt x="0" y="245"/>
                                </a:lnTo>
                                <a:lnTo>
                                  <a:pt x="3" y="208"/>
                                </a:lnTo>
                                <a:lnTo>
                                  <a:pt x="10" y="173"/>
                                </a:lnTo>
                                <a:lnTo>
                                  <a:pt x="20" y="141"/>
                                </a:lnTo>
                                <a:lnTo>
                                  <a:pt x="35" y="109"/>
                                </a:lnTo>
                                <a:lnTo>
                                  <a:pt x="67" y="81"/>
                                </a:lnTo>
                                <a:lnTo>
                                  <a:pt x="92" y="64"/>
                                </a:lnTo>
                                <a:lnTo>
                                  <a:pt x="120" y="47"/>
                                </a:lnTo>
                                <a:lnTo>
                                  <a:pt x="147" y="32"/>
                                </a:lnTo>
                                <a:lnTo>
                                  <a:pt x="177" y="22"/>
                                </a:lnTo>
                                <a:lnTo>
                                  <a:pt x="205" y="12"/>
                                </a:lnTo>
                                <a:lnTo>
                                  <a:pt x="237" y="5"/>
                                </a:lnTo>
                                <a:lnTo>
                                  <a:pt x="267" y="2"/>
                                </a:lnTo>
                                <a:lnTo>
                                  <a:pt x="299" y="0"/>
                                </a:lnTo>
                                <a:lnTo>
                                  <a:pt x="329" y="2"/>
                                </a:lnTo>
                                <a:lnTo>
                                  <a:pt x="359" y="5"/>
                                </a:lnTo>
                                <a:lnTo>
                                  <a:pt x="389" y="12"/>
                                </a:lnTo>
                                <a:lnTo>
                                  <a:pt x="419" y="22"/>
                                </a:lnTo>
                                <a:lnTo>
                                  <a:pt x="446" y="34"/>
                                </a:lnTo>
                                <a:lnTo>
                                  <a:pt x="474" y="47"/>
                                </a:lnTo>
                                <a:lnTo>
                                  <a:pt x="501" y="64"/>
                                </a:lnTo>
                                <a:lnTo>
                                  <a:pt x="526" y="84"/>
                                </a:lnTo>
                                <a:lnTo>
                                  <a:pt x="549" y="121"/>
                                </a:lnTo>
                                <a:lnTo>
                                  <a:pt x="564" y="161"/>
                                </a:lnTo>
                                <a:lnTo>
                                  <a:pt x="576" y="200"/>
                                </a:lnTo>
                                <a:lnTo>
                                  <a:pt x="579" y="245"/>
                                </a:lnTo>
                                <a:lnTo>
                                  <a:pt x="574" y="302"/>
                                </a:lnTo>
                                <a:lnTo>
                                  <a:pt x="556" y="357"/>
                                </a:lnTo>
                                <a:lnTo>
                                  <a:pt x="529" y="404"/>
                                </a:lnTo>
                                <a:lnTo>
                                  <a:pt x="494" y="446"/>
                                </a:lnTo>
                                <a:lnTo>
                                  <a:pt x="451" y="481"/>
                                </a:lnTo>
                                <a:lnTo>
                                  <a:pt x="402" y="508"/>
                                </a:lnTo>
                                <a:lnTo>
                                  <a:pt x="347" y="525"/>
                                </a:lnTo>
                                <a:lnTo>
                                  <a:pt x="289" y="5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74"/>
                        <wps:cNvSpPr>
                          <a:spLocks/>
                        </wps:cNvSpPr>
                        <wps:spPr bwMode="auto">
                          <a:xfrm>
                            <a:off x="4026321" y="3289044"/>
                            <a:ext cx="454995" cy="174111"/>
                          </a:xfrm>
                          <a:custGeom>
                            <a:avLst/>
                            <a:gdLst>
                              <a:gd name="T0" fmla="*/ 613 w 715"/>
                              <a:gd name="T1" fmla="*/ 273 h 273"/>
                              <a:gd name="T2" fmla="*/ 583 w 715"/>
                              <a:gd name="T3" fmla="*/ 256 h 273"/>
                              <a:gd name="T4" fmla="*/ 553 w 715"/>
                              <a:gd name="T5" fmla="*/ 241 h 273"/>
                              <a:gd name="T6" fmla="*/ 523 w 715"/>
                              <a:gd name="T7" fmla="*/ 226 h 273"/>
                              <a:gd name="T8" fmla="*/ 491 w 715"/>
                              <a:gd name="T9" fmla="*/ 214 h 273"/>
                              <a:gd name="T10" fmla="*/ 459 w 715"/>
                              <a:gd name="T11" fmla="*/ 206 h 273"/>
                              <a:gd name="T12" fmla="*/ 426 w 715"/>
                              <a:gd name="T13" fmla="*/ 199 h 273"/>
                              <a:gd name="T14" fmla="*/ 394 w 715"/>
                              <a:gd name="T15" fmla="*/ 196 h 273"/>
                              <a:gd name="T16" fmla="*/ 361 w 715"/>
                              <a:gd name="T17" fmla="*/ 194 h 273"/>
                              <a:gd name="T18" fmla="*/ 329 w 715"/>
                              <a:gd name="T19" fmla="*/ 196 h 273"/>
                              <a:gd name="T20" fmla="*/ 294 w 715"/>
                              <a:gd name="T21" fmla="*/ 199 h 273"/>
                              <a:gd name="T22" fmla="*/ 262 w 715"/>
                              <a:gd name="T23" fmla="*/ 206 h 273"/>
                              <a:gd name="T24" fmla="*/ 229 w 715"/>
                              <a:gd name="T25" fmla="*/ 214 h 273"/>
                              <a:gd name="T26" fmla="*/ 197 w 715"/>
                              <a:gd name="T27" fmla="*/ 224 h 273"/>
                              <a:gd name="T28" fmla="*/ 167 w 715"/>
                              <a:gd name="T29" fmla="*/ 238 h 273"/>
                              <a:gd name="T30" fmla="*/ 137 w 715"/>
                              <a:gd name="T31" fmla="*/ 253 h 273"/>
                              <a:gd name="T32" fmla="*/ 109 w 715"/>
                              <a:gd name="T33" fmla="*/ 271 h 273"/>
                              <a:gd name="T34" fmla="*/ 0 w 715"/>
                              <a:gd name="T35" fmla="*/ 144 h 273"/>
                              <a:gd name="T36" fmla="*/ 47 w 715"/>
                              <a:gd name="T37" fmla="*/ 112 h 273"/>
                              <a:gd name="T38" fmla="*/ 92 w 715"/>
                              <a:gd name="T39" fmla="*/ 82 h 273"/>
                              <a:gd name="T40" fmla="*/ 137 w 715"/>
                              <a:gd name="T41" fmla="*/ 57 h 273"/>
                              <a:gd name="T42" fmla="*/ 182 w 715"/>
                              <a:gd name="T43" fmla="*/ 37 h 273"/>
                              <a:gd name="T44" fmla="*/ 227 w 715"/>
                              <a:gd name="T45" fmla="*/ 20 h 273"/>
                              <a:gd name="T46" fmla="*/ 269 w 715"/>
                              <a:gd name="T47" fmla="*/ 10 h 273"/>
                              <a:gd name="T48" fmla="*/ 311 w 715"/>
                              <a:gd name="T49" fmla="*/ 3 h 273"/>
                              <a:gd name="T50" fmla="*/ 354 w 715"/>
                              <a:gd name="T51" fmla="*/ 0 h 273"/>
                              <a:gd name="T52" fmla="*/ 396 w 715"/>
                              <a:gd name="T53" fmla="*/ 3 h 273"/>
                              <a:gd name="T54" fmla="*/ 439 w 715"/>
                              <a:gd name="T55" fmla="*/ 10 h 273"/>
                              <a:gd name="T56" fmla="*/ 484 w 715"/>
                              <a:gd name="T57" fmla="*/ 23 h 273"/>
                              <a:gd name="T58" fmla="*/ 528 w 715"/>
                              <a:gd name="T59" fmla="*/ 40 h 273"/>
                              <a:gd name="T60" fmla="*/ 576 w 715"/>
                              <a:gd name="T61" fmla="*/ 60 h 273"/>
                              <a:gd name="T62" fmla="*/ 621 w 715"/>
                              <a:gd name="T63" fmla="*/ 87 h 273"/>
                              <a:gd name="T64" fmla="*/ 668 w 715"/>
                              <a:gd name="T65" fmla="*/ 119 h 273"/>
                              <a:gd name="T66" fmla="*/ 715 w 715"/>
                              <a:gd name="T67" fmla="*/ 154 h 273"/>
                              <a:gd name="T68" fmla="*/ 613 w 715"/>
                              <a:gd name="T69" fmla="*/ 273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715" h="273">
                                <a:moveTo>
                                  <a:pt x="613" y="273"/>
                                </a:moveTo>
                                <a:lnTo>
                                  <a:pt x="583" y="256"/>
                                </a:lnTo>
                                <a:lnTo>
                                  <a:pt x="553" y="241"/>
                                </a:lnTo>
                                <a:lnTo>
                                  <a:pt x="523" y="226"/>
                                </a:lnTo>
                                <a:lnTo>
                                  <a:pt x="491" y="214"/>
                                </a:lnTo>
                                <a:lnTo>
                                  <a:pt x="459" y="206"/>
                                </a:lnTo>
                                <a:lnTo>
                                  <a:pt x="426" y="199"/>
                                </a:lnTo>
                                <a:lnTo>
                                  <a:pt x="394" y="196"/>
                                </a:lnTo>
                                <a:lnTo>
                                  <a:pt x="361" y="194"/>
                                </a:lnTo>
                                <a:lnTo>
                                  <a:pt x="329" y="196"/>
                                </a:lnTo>
                                <a:lnTo>
                                  <a:pt x="294" y="199"/>
                                </a:lnTo>
                                <a:lnTo>
                                  <a:pt x="262" y="206"/>
                                </a:lnTo>
                                <a:lnTo>
                                  <a:pt x="229" y="214"/>
                                </a:lnTo>
                                <a:lnTo>
                                  <a:pt x="197" y="224"/>
                                </a:lnTo>
                                <a:lnTo>
                                  <a:pt x="167" y="238"/>
                                </a:lnTo>
                                <a:lnTo>
                                  <a:pt x="137" y="253"/>
                                </a:lnTo>
                                <a:lnTo>
                                  <a:pt x="109" y="271"/>
                                </a:lnTo>
                                <a:lnTo>
                                  <a:pt x="0" y="144"/>
                                </a:lnTo>
                                <a:lnTo>
                                  <a:pt x="47" y="112"/>
                                </a:lnTo>
                                <a:lnTo>
                                  <a:pt x="92" y="82"/>
                                </a:lnTo>
                                <a:lnTo>
                                  <a:pt x="137" y="57"/>
                                </a:lnTo>
                                <a:lnTo>
                                  <a:pt x="182" y="37"/>
                                </a:lnTo>
                                <a:lnTo>
                                  <a:pt x="227" y="20"/>
                                </a:lnTo>
                                <a:lnTo>
                                  <a:pt x="269" y="10"/>
                                </a:lnTo>
                                <a:lnTo>
                                  <a:pt x="311" y="3"/>
                                </a:lnTo>
                                <a:lnTo>
                                  <a:pt x="354" y="0"/>
                                </a:lnTo>
                                <a:lnTo>
                                  <a:pt x="396" y="3"/>
                                </a:lnTo>
                                <a:lnTo>
                                  <a:pt x="439" y="10"/>
                                </a:lnTo>
                                <a:lnTo>
                                  <a:pt x="484" y="23"/>
                                </a:lnTo>
                                <a:lnTo>
                                  <a:pt x="528" y="40"/>
                                </a:lnTo>
                                <a:lnTo>
                                  <a:pt x="576" y="60"/>
                                </a:lnTo>
                                <a:lnTo>
                                  <a:pt x="621" y="87"/>
                                </a:lnTo>
                                <a:lnTo>
                                  <a:pt x="668" y="119"/>
                                </a:lnTo>
                                <a:lnTo>
                                  <a:pt x="715" y="154"/>
                                </a:lnTo>
                                <a:lnTo>
                                  <a:pt x="613" y="2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75"/>
                        <wps:cNvSpPr>
                          <a:spLocks/>
                        </wps:cNvSpPr>
                        <wps:spPr bwMode="auto">
                          <a:xfrm>
                            <a:off x="4525162" y="3562284"/>
                            <a:ext cx="657073" cy="983028"/>
                          </a:xfrm>
                          <a:custGeom>
                            <a:avLst/>
                            <a:gdLst>
                              <a:gd name="T0" fmla="*/ 987 w 1032"/>
                              <a:gd name="T1" fmla="*/ 263 h 1543"/>
                              <a:gd name="T2" fmla="*/ 967 w 1032"/>
                              <a:gd name="T3" fmla="*/ 251 h 1543"/>
                              <a:gd name="T4" fmla="*/ 945 w 1032"/>
                              <a:gd name="T5" fmla="*/ 241 h 1543"/>
                              <a:gd name="T6" fmla="*/ 922 w 1032"/>
                              <a:gd name="T7" fmla="*/ 236 h 1543"/>
                              <a:gd name="T8" fmla="*/ 730 w 1032"/>
                              <a:gd name="T9" fmla="*/ 236 h 1543"/>
                              <a:gd name="T10" fmla="*/ 708 w 1032"/>
                              <a:gd name="T11" fmla="*/ 201 h 1543"/>
                              <a:gd name="T12" fmla="*/ 678 w 1032"/>
                              <a:gd name="T13" fmla="*/ 172 h 1543"/>
                              <a:gd name="T14" fmla="*/ 646 w 1032"/>
                              <a:gd name="T15" fmla="*/ 147 h 1543"/>
                              <a:gd name="T16" fmla="*/ 608 w 1032"/>
                              <a:gd name="T17" fmla="*/ 127 h 1543"/>
                              <a:gd name="T18" fmla="*/ 611 w 1032"/>
                              <a:gd name="T19" fmla="*/ 114 h 1543"/>
                              <a:gd name="T20" fmla="*/ 613 w 1032"/>
                              <a:gd name="T21" fmla="*/ 100 h 1543"/>
                              <a:gd name="T22" fmla="*/ 606 w 1032"/>
                              <a:gd name="T23" fmla="*/ 60 h 1543"/>
                              <a:gd name="T24" fmla="*/ 583 w 1032"/>
                              <a:gd name="T25" fmla="*/ 30 h 1543"/>
                              <a:gd name="T26" fmla="*/ 551 w 1032"/>
                              <a:gd name="T27" fmla="*/ 8 h 1543"/>
                              <a:gd name="T28" fmla="*/ 511 w 1032"/>
                              <a:gd name="T29" fmla="*/ 0 h 1543"/>
                              <a:gd name="T30" fmla="*/ 471 w 1032"/>
                              <a:gd name="T31" fmla="*/ 8 h 1543"/>
                              <a:gd name="T32" fmla="*/ 441 w 1032"/>
                              <a:gd name="T33" fmla="*/ 30 h 1543"/>
                              <a:gd name="T34" fmla="*/ 419 w 1032"/>
                              <a:gd name="T35" fmla="*/ 60 h 1543"/>
                              <a:gd name="T36" fmla="*/ 411 w 1032"/>
                              <a:gd name="T37" fmla="*/ 100 h 1543"/>
                              <a:gd name="T38" fmla="*/ 411 w 1032"/>
                              <a:gd name="T39" fmla="*/ 112 h 1543"/>
                              <a:gd name="T40" fmla="*/ 414 w 1032"/>
                              <a:gd name="T41" fmla="*/ 124 h 1543"/>
                              <a:gd name="T42" fmla="*/ 374 w 1032"/>
                              <a:gd name="T43" fmla="*/ 142 h 1543"/>
                              <a:gd name="T44" fmla="*/ 336 w 1032"/>
                              <a:gd name="T45" fmla="*/ 169 h 1543"/>
                              <a:gd name="T46" fmla="*/ 306 w 1032"/>
                              <a:gd name="T47" fmla="*/ 199 h 1543"/>
                              <a:gd name="T48" fmla="*/ 282 w 1032"/>
                              <a:gd name="T49" fmla="*/ 236 h 1543"/>
                              <a:gd name="T50" fmla="*/ 97 w 1032"/>
                              <a:gd name="T51" fmla="*/ 239 h 1543"/>
                              <a:gd name="T52" fmla="*/ 55 w 1032"/>
                              <a:gd name="T53" fmla="*/ 256 h 1543"/>
                              <a:gd name="T54" fmla="*/ 20 w 1032"/>
                              <a:gd name="T55" fmla="*/ 288 h 1543"/>
                              <a:gd name="T56" fmla="*/ 2 w 1032"/>
                              <a:gd name="T57" fmla="*/ 330 h 1543"/>
                              <a:gd name="T58" fmla="*/ 0 w 1032"/>
                              <a:gd name="T59" fmla="*/ 1424 h 1543"/>
                              <a:gd name="T60" fmla="*/ 10 w 1032"/>
                              <a:gd name="T61" fmla="*/ 1469 h 1543"/>
                              <a:gd name="T62" fmla="*/ 37 w 1032"/>
                              <a:gd name="T63" fmla="*/ 1508 h 1543"/>
                              <a:gd name="T64" fmla="*/ 55 w 1032"/>
                              <a:gd name="T65" fmla="*/ 1523 h 1543"/>
                              <a:gd name="T66" fmla="*/ 77 w 1032"/>
                              <a:gd name="T67" fmla="*/ 1533 h 1543"/>
                              <a:gd name="T68" fmla="*/ 97 w 1032"/>
                              <a:gd name="T69" fmla="*/ 1541 h 1543"/>
                              <a:gd name="T70" fmla="*/ 122 w 1032"/>
                              <a:gd name="T71" fmla="*/ 1543 h 1543"/>
                              <a:gd name="T72" fmla="*/ 922 w 1032"/>
                              <a:gd name="T73" fmla="*/ 1543 h 1543"/>
                              <a:gd name="T74" fmla="*/ 945 w 1032"/>
                              <a:gd name="T75" fmla="*/ 1538 h 1543"/>
                              <a:gd name="T76" fmla="*/ 967 w 1032"/>
                              <a:gd name="T77" fmla="*/ 1528 h 1543"/>
                              <a:gd name="T78" fmla="*/ 987 w 1032"/>
                              <a:gd name="T79" fmla="*/ 1516 h 1543"/>
                              <a:gd name="T80" fmla="*/ 1012 w 1032"/>
                              <a:gd name="T81" fmla="*/ 1491 h 1543"/>
                              <a:gd name="T82" fmla="*/ 1030 w 1032"/>
                              <a:gd name="T83" fmla="*/ 1449 h 1543"/>
                              <a:gd name="T84" fmla="*/ 1032 w 1032"/>
                              <a:gd name="T85" fmla="*/ 355 h 1543"/>
                              <a:gd name="T86" fmla="*/ 1022 w 1032"/>
                              <a:gd name="T87" fmla="*/ 308 h 1543"/>
                              <a:gd name="T88" fmla="*/ 997 w 1032"/>
                              <a:gd name="T89" fmla="*/ 271 h 15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032" h="1543">
                                <a:moveTo>
                                  <a:pt x="997" y="271"/>
                                </a:moveTo>
                                <a:lnTo>
                                  <a:pt x="987" y="263"/>
                                </a:lnTo>
                                <a:lnTo>
                                  <a:pt x="977" y="256"/>
                                </a:lnTo>
                                <a:lnTo>
                                  <a:pt x="967" y="251"/>
                                </a:lnTo>
                                <a:lnTo>
                                  <a:pt x="957" y="246"/>
                                </a:lnTo>
                                <a:lnTo>
                                  <a:pt x="945" y="241"/>
                                </a:lnTo>
                                <a:lnTo>
                                  <a:pt x="935" y="239"/>
                                </a:lnTo>
                                <a:lnTo>
                                  <a:pt x="922" y="236"/>
                                </a:lnTo>
                                <a:lnTo>
                                  <a:pt x="910" y="236"/>
                                </a:lnTo>
                                <a:lnTo>
                                  <a:pt x="730" y="236"/>
                                </a:lnTo>
                                <a:lnTo>
                                  <a:pt x="720" y="219"/>
                                </a:lnTo>
                                <a:lnTo>
                                  <a:pt x="708" y="201"/>
                                </a:lnTo>
                                <a:lnTo>
                                  <a:pt x="693" y="186"/>
                                </a:lnTo>
                                <a:lnTo>
                                  <a:pt x="678" y="172"/>
                                </a:lnTo>
                                <a:lnTo>
                                  <a:pt x="663" y="159"/>
                                </a:lnTo>
                                <a:lnTo>
                                  <a:pt x="646" y="147"/>
                                </a:lnTo>
                                <a:lnTo>
                                  <a:pt x="628" y="137"/>
                                </a:lnTo>
                                <a:lnTo>
                                  <a:pt x="608" y="127"/>
                                </a:lnTo>
                                <a:lnTo>
                                  <a:pt x="611" y="122"/>
                                </a:lnTo>
                                <a:lnTo>
                                  <a:pt x="611" y="114"/>
                                </a:lnTo>
                                <a:lnTo>
                                  <a:pt x="613" y="107"/>
                                </a:lnTo>
                                <a:lnTo>
                                  <a:pt x="613" y="100"/>
                                </a:lnTo>
                                <a:lnTo>
                                  <a:pt x="611" y="80"/>
                                </a:lnTo>
                                <a:lnTo>
                                  <a:pt x="606" y="60"/>
                                </a:lnTo>
                                <a:lnTo>
                                  <a:pt x="596" y="45"/>
                                </a:lnTo>
                                <a:lnTo>
                                  <a:pt x="583" y="30"/>
                                </a:lnTo>
                                <a:lnTo>
                                  <a:pt x="568" y="18"/>
                                </a:lnTo>
                                <a:lnTo>
                                  <a:pt x="551" y="8"/>
                                </a:lnTo>
                                <a:lnTo>
                                  <a:pt x="531" y="3"/>
                                </a:lnTo>
                                <a:lnTo>
                                  <a:pt x="511" y="0"/>
                                </a:lnTo>
                                <a:lnTo>
                                  <a:pt x="491" y="3"/>
                                </a:lnTo>
                                <a:lnTo>
                                  <a:pt x="471" y="8"/>
                                </a:lnTo>
                                <a:lnTo>
                                  <a:pt x="456" y="18"/>
                                </a:lnTo>
                                <a:lnTo>
                                  <a:pt x="441" y="30"/>
                                </a:lnTo>
                                <a:lnTo>
                                  <a:pt x="429" y="45"/>
                                </a:lnTo>
                                <a:lnTo>
                                  <a:pt x="419" y="60"/>
                                </a:lnTo>
                                <a:lnTo>
                                  <a:pt x="414" y="80"/>
                                </a:lnTo>
                                <a:lnTo>
                                  <a:pt x="411" y="100"/>
                                </a:lnTo>
                                <a:lnTo>
                                  <a:pt x="411" y="107"/>
                                </a:lnTo>
                                <a:lnTo>
                                  <a:pt x="411" y="112"/>
                                </a:lnTo>
                                <a:lnTo>
                                  <a:pt x="411" y="119"/>
                                </a:lnTo>
                                <a:lnTo>
                                  <a:pt x="414" y="124"/>
                                </a:lnTo>
                                <a:lnTo>
                                  <a:pt x="394" y="132"/>
                                </a:lnTo>
                                <a:lnTo>
                                  <a:pt x="374" y="142"/>
                                </a:lnTo>
                                <a:lnTo>
                                  <a:pt x="354" y="154"/>
                                </a:lnTo>
                                <a:lnTo>
                                  <a:pt x="336" y="169"/>
                                </a:lnTo>
                                <a:lnTo>
                                  <a:pt x="321" y="184"/>
                                </a:lnTo>
                                <a:lnTo>
                                  <a:pt x="306" y="199"/>
                                </a:lnTo>
                                <a:lnTo>
                                  <a:pt x="294" y="216"/>
                                </a:lnTo>
                                <a:lnTo>
                                  <a:pt x="282" y="236"/>
                                </a:lnTo>
                                <a:lnTo>
                                  <a:pt x="122" y="236"/>
                                </a:lnTo>
                                <a:lnTo>
                                  <a:pt x="97" y="239"/>
                                </a:lnTo>
                                <a:lnTo>
                                  <a:pt x="75" y="246"/>
                                </a:lnTo>
                                <a:lnTo>
                                  <a:pt x="55" y="256"/>
                                </a:lnTo>
                                <a:lnTo>
                                  <a:pt x="35" y="271"/>
                                </a:lnTo>
                                <a:lnTo>
                                  <a:pt x="20" y="288"/>
                                </a:lnTo>
                                <a:lnTo>
                                  <a:pt x="10" y="308"/>
                                </a:lnTo>
                                <a:lnTo>
                                  <a:pt x="2" y="330"/>
                                </a:lnTo>
                                <a:lnTo>
                                  <a:pt x="0" y="355"/>
                                </a:lnTo>
                                <a:lnTo>
                                  <a:pt x="0" y="1424"/>
                                </a:lnTo>
                                <a:lnTo>
                                  <a:pt x="2" y="1449"/>
                                </a:lnTo>
                                <a:lnTo>
                                  <a:pt x="10" y="1469"/>
                                </a:lnTo>
                                <a:lnTo>
                                  <a:pt x="20" y="1491"/>
                                </a:lnTo>
                                <a:lnTo>
                                  <a:pt x="37" y="1508"/>
                                </a:lnTo>
                                <a:lnTo>
                                  <a:pt x="47" y="1516"/>
                                </a:lnTo>
                                <a:lnTo>
                                  <a:pt x="55" y="1523"/>
                                </a:lnTo>
                                <a:lnTo>
                                  <a:pt x="65" y="1528"/>
                                </a:lnTo>
                                <a:lnTo>
                                  <a:pt x="77" y="1533"/>
                                </a:lnTo>
                                <a:lnTo>
                                  <a:pt x="87" y="1538"/>
                                </a:lnTo>
                                <a:lnTo>
                                  <a:pt x="97" y="1541"/>
                                </a:lnTo>
                                <a:lnTo>
                                  <a:pt x="109" y="1543"/>
                                </a:lnTo>
                                <a:lnTo>
                                  <a:pt x="122" y="1543"/>
                                </a:lnTo>
                                <a:lnTo>
                                  <a:pt x="910" y="1543"/>
                                </a:lnTo>
                                <a:lnTo>
                                  <a:pt x="922" y="1543"/>
                                </a:lnTo>
                                <a:lnTo>
                                  <a:pt x="935" y="1541"/>
                                </a:lnTo>
                                <a:lnTo>
                                  <a:pt x="945" y="1538"/>
                                </a:lnTo>
                                <a:lnTo>
                                  <a:pt x="957" y="1533"/>
                                </a:lnTo>
                                <a:lnTo>
                                  <a:pt x="967" y="1528"/>
                                </a:lnTo>
                                <a:lnTo>
                                  <a:pt x="977" y="1523"/>
                                </a:lnTo>
                                <a:lnTo>
                                  <a:pt x="987" y="1516"/>
                                </a:lnTo>
                                <a:lnTo>
                                  <a:pt x="997" y="1508"/>
                                </a:lnTo>
                                <a:lnTo>
                                  <a:pt x="1012" y="1491"/>
                                </a:lnTo>
                                <a:lnTo>
                                  <a:pt x="1022" y="1469"/>
                                </a:lnTo>
                                <a:lnTo>
                                  <a:pt x="1030" y="1449"/>
                                </a:lnTo>
                                <a:lnTo>
                                  <a:pt x="1032" y="1424"/>
                                </a:lnTo>
                                <a:lnTo>
                                  <a:pt x="1032" y="355"/>
                                </a:lnTo>
                                <a:lnTo>
                                  <a:pt x="1030" y="330"/>
                                </a:lnTo>
                                <a:lnTo>
                                  <a:pt x="1022" y="308"/>
                                </a:lnTo>
                                <a:lnTo>
                                  <a:pt x="1012" y="288"/>
                                </a:lnTo>
                                <a:lnTo>
                                  <a:pt x="997" y="2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76"/>
                        <wps:cNvSpPr>
                          <a:spLocks/>
                        </wps:cNvSpPr>
                        <wps:spPr bwMode="auto">
                          <a:xfrm>
                            <a:off x="4580448" y="3766260"/>
                            <a:ext cx="545866" cy="723132"/>
                          </a:xfrm>
                          <a:custGeom>
                            <a:avLst/>
                            <a:gdLst>
                              <a:gd name="T0" fmla="*/ 858 w 858"/>
                              <a:gd name="T1" fmla="*/ 1104 h 1136"/>
                              <a:gd name="T2" fmla="*/ 855 w 858"/>
                              <a:gd name="T3" fmla="*/ 1117 h 1136"/>
                              <a:gd name="T4" fmla="*/ 848 w 858"/>
                              <a:gd name="T5" fmla="*/ 1126 h 1136"/>
                              <a:gd name="T6" fmla="*/ 838 w 858"/>
                              <a:gd name="T7" fmla="*/ 1134 h 1136"/>
                              <a:gd name="T8" fmla="*/ 823 w 858"/>
                              <a:gd name="T9" fmla="*/ 1136 h 1136"/>
                              <a:gd name="T10" fmla="*/ 35 w 858"/>
                              <a:gd name="T11" fmla="*/ 1136 h 1136"/>
                              <a:gd name="T12" fmla="*/ 22 w 858"/>
                              <a:gd name="T13" fmla="*/ 1134 h 1136"/>
                              <a:gd name="T14" fmla="*/ 10 w 858"/>
                              <a:gd name="T15" fmla="*/ 1126 h 1136"/>
                              <a:gd name="T16" fmla="*/ 3 w 858"/>
                              <a:gd name="T17" fmla="*/ 1117 h 1136"/>
                              <a:gd name="T18" fmla="*/ 0 w 858"/>
                              <a:gd name="T19" fmla="*/ 1104 h 1136"/>
                              <a:gd name="T20" fmla="*/ 0 w 858"/>
                              <a:gd name="T21" fmla="*/ 35 h 1136"/>
                              <a:gd name="T22" fmla="*/ 3 w 858"/>
                              <a:gd name="T23" fmla="*/ 23 h 1136"/>
                              <a:gd name="T24" fmla="*/ 10 w 858"/>
                              <a:gd name="T25" fmla="*/ 10 h 1136"/>
                              <a:gd name="T26" fmla="*/ 22 w 858"/>
                              <a:gd name="T27" fmla="*/ 3 h 1136"/>
                              <a:gd name="T28" fmla="*/ 35 w 858"/>
                              <a:gd name="T29" fmla="*/ 0 h 1136"/>
                              <a:gd name="T30" fmla="*/ 162 w 858"/>
                              <a:gd name="T31" fmla="*/ 0 h 1136"/>
                              <a:gd name="T32" fmla="*/ 160 w 858"/>
                              <a:gd name="T33" fmla="*/ 13 h 1136"/>
                              <a:gd name="T34" fmla="*/ 160 w 858"/>
                              <a:gd name="T35" fmla="*/ 25 h 1136"/>
                              <a:gd name="T36" fmla="*/ 157 w 858"/>
                              <a:gd name="T37" fmla="*/ 35 h 1136"/>
                              <a:gd name="T38" fmla="*/ 157 w 858"/>
                              <a:gd name="T39" fmla="*/ 47 h 1136"/>
                              <a:gd name="T40" fmla="*/ 157 w 858"/>
                              <a:gd name="T41" fmla="*/ 72 h 1136"/>
                              <a:gd name="T42" fmla="*/ 162 w 858"/>
                              <a:gd name="T43" fmla="*/ 95 h 1136"/>
                              <a:gd name="T44" fmla="*/ 165 w 858"/>
                              <a:gd name="T45" fmla="*/ 117 h 1136"/>
                              <a:gd name="T46" fmla="*/ 172 w 858"/>
                              <a:gd name="T47" fmla="*/ 137 h 1136"/>
                              <a:gd name="T48" fmla="*/ 666 w 858"/>
                              <a:gd name="T49" fmla="*/ 137 h 1136"/>
                              <a:gd name="T50" fmla="*/ 673 w 858"/>
                              <a:gd name="T51" fmla="*/ 117 h 1136"/>
                              <a:gd name="T52" fmla="*/ 678 w 858"/>
                              <a:gd name="T53" fmla="*/ 95 h 1136"/>
                              <a:gd name="T54" fmla="*/ 681 w 858"/>
                              <a:gd name="T55" fmla="*/ 72 h 1136"/>
                              <a:gd name="T56" fmla="*/ 681 w 858"/>
                              <a:gd name="T57" fmla="*/ 47 h 1136"/>
                              <a:gd name="T58" fmla="*/ 681 w 858"/>
                              <a:gd name="T59" fmla="*/ 35 h 1136"/>
                              <a:gd name="T60" fmla="*/ 678 w 858"/>
                              <a:gd name="T61" fmla="*/ 25 h 1136"/>
                              <a:gd name="T62" fmla="*/ 678 w 858"/>
                              <a:gd name="T63" fmla="*/ 13 h 1136"/>
                              <a:gd name="T64" fmla="*/ 676 w 858"/>
                              <a:gd name="T65" fmla="*/ 0 h 1136"/>
                              <a:gd name="T66" fmla="*/ 823 w 858"/>
                              <a:gd name="T67" fmla="*/ 0 h 1136"/>
                              <a:gd name="T68" fmla="*/ 838 w 858"/>
                              <a:gd name="T69" fmla="*/ 3 h 1136"/>
                              <a:gd name="T70" fmla="*/ 848 w 858"/>
                              <a:gd name="T71" fmla="*/ 10 h 1136"/>
                              <a:gd name="T72" fmla="*/ 855 w 858"/>
                              <a:gd name="T73" fmla="*/ 23 h 1136"/>
                              <a:gd name="T74" fmla="*/ 858 w 858"/>
                              <a:gd name="T75" fmla="*/ 35 h 1136"/>
                              <a:gd name="T76" fmla="*/ 858 w 858"/>
                              <a:gd name="T77" fmla="*/ 1104 h 1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858" h="1136">
                                <a:moveTo>
                                  <a:pt x="858" y="1104"/>
                                </a:moveTo>
                                <a:lnTo>
                                  <a:pt x="855" y="1117"/>
                                </a:lnTo>
                                <a:lnTo>
                                  <a:pt x="848" y="1126"/>
                                </a:lnTo>
                                <a:lnTo>
                                  <a:pt x="838" y="1134"/>
                                </a:lnTo>
                                <a:lnTo>
                                  <a:pt x="823" y="1136"/>
                                </a:lnTo>
                                <a:lnTo>
                                  <a:pt x="35" y="1136"/>
                                </a:lnTo>
                                <a:lnTo>
                                  <a:pt x="22" y="1134"/>
                                </a:lnTo>
                                <a:lnTo>
                                  <a:pt x="10" y="1126"/>
                                </a:lnTo>
                                <a:lnTo>
                                  <a:pt x="3" y="1117"/>
                                </a:lnTo>
                                <a:lnTo>
                                  <a:pt x="0" y="1104"/>
                                </a:lnTo>
                                <a:lnTo>
                                  <a:pt x="0" y="35"/>
                                </a:lnTo>
                                <a:lnTo>
                                  <a:pt x="3" y="23"/>
                                </a:lnTo>
                                <a:lnTo>
                                  <a:pt x="10" y="10"/>
                                </a:lnTo>
                                <a:lnTo>
                                  <a:pt x="22" y="3"/>
                                </a:lnTo>
                                <a:lnTo>
                                  <a:pt x="35" y="0"/>
                                </a:lnTo>
                                <a:lnTo>
                                  <a:pt x="162" y="0"/>
                                </a:lnTo>
                                <a:lnTo>
                                  <a:pt x="160" y="13"/>
                                </a:lnTo>
                                <a:lnTo>
                                  <a:pt x="160" y="25"/>
                                </a:lnTo>
                                <a:lnTo>
                                  <a:pt x="157" y="35"/>
                                </a:lnTo>
                                <a:lnTo>
                                  <a:pt x="157" y="47"/>
                                </a:lnTo>
                                <a:lnTo>
                                  <a:pt x="157" y="72"/>
                                </a:lnTo>
                                <a:lnTo>
                                  <a:pt x="162" y="95"/>
                                </a:lnTo>
                                <a:lnTo>
                                  <a:pt x="165" y="117"/>
                                </a:lnTo>
                                <a:lnTo>
                                  <a:pt x="172" y="137"/>
                                </a:lnTo>
                                <a:lnTo>
                                  <a:pt x="666" y="137"/>
                                </a:lnTo>
                                <a:lnTo>
                                  <a:pt x="673" y="117"/>
                                </a:lnTo>
                                <a:lnTo>
                                  <a:pt x="678" y="95"/>
                                </a:lnTo>
                                <a:lnTo>
                                  <a:pt x="681" y="72"/>
                                </a:lnTo>
                                <a:lnTo>
                                  <a:pt x="681" y="47"/>
                                </a:lnTo>
                                <a:lnTo>
                                  <a:pt x="681" y="35"/>
                                </a:lnTo>
                                <a:lnTo>
                                  <a:pt x="678" y="25"/>
                                </a:lnTo>
                                <a:lnTo>
                                  <a:pt x="678" y="13"/>
                                </a:lnTo>
                                <a:lnTo>
                                  <a:pt x="676" y="0"/>
                                </a:lnTo>
                                <a:lnTo>
                                  <a:pt x="823" y="0"/>
                                </a:lnTo>
                                <a:lnTo>
                                  <a:pt x="838" y="3"/>
                                </a:lnTo>
                                <a:lnTo>
                                  <a:pt x="848" y="10"/>
                                </a:lnTo>
                                <a:lnTo>
                                  <a:pt x="855" y="23"/>
                                </a:lnTo>
                                <a:lnTo>
                                  <a:pt x="858" y="35"/>
                                </a:lnTo>
                                <a:lnTo>
                                  <a:pt x="858" y="11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Rectangle 177"/>
                        <wps:cNvSpPr>
                          <a:spLocks noChangeArrowheads="1"/>
                        </wps:cNvSpPr>
                        <wps:spPr bwMode="auto">
                          <a:xfrm rot="16200000">
                            <a:off x="4660523" y="4202807"/>
                            <a:ext cx="290397" cy="908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Rectangle 178"/>
                        <wps:cNvSpPr>
                          <a:spLocks noChangeArrowheads="1"/>
                        </wps:cNvSpPr>
                        <wps:spPr bwMode="auto">
                          <a:xfrm rot="16200000">
                            <a:off x="4736780" y="4166587"/>
                            <a:ext cx="369827" cy="8388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Rectangle 179"/>
                        <wps:cNvSpPr>
                          <a:spLocks noChangeArrowheads="1"/>
                        </wps:cNvSpPr>
                        <wps:spPr bwMode="auto">
                          <a:xfrm rot="16200000">
                            <a:off x="4588713" y="4251736"/>
                            <a:ext cx="184913" cy="991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Rectangle 180"/>
                        <wps:cNvSpPr>
                          <a:spLocks noChangeArrowheads="1"/>
                        </wps:cNvSpPr>
                        <wps:spPr bwMode="auto">
                          <a:xfrm rot="16200000">
                            <a:off x="4785714" y="4103678"/>
                            <a:ext cx="498186" cy="807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Freeform 181"/>
                        <wps:cNvSpPr>
                          <a:spLocks/>
                        </wps:cNvSpPr>
                        <wps:spPr bwMode="auto">
                          <a:xfrm>
                            <a:off x="4133714" y="3657600"/>
                            <a:ext cx="230675" cy="90233"/>
                          </a:xfrm>
                          <a:custGeom>
                            <a:avLst/>
                            <a:gdLst>
                              <a:gd name="T0" fmla="*/ 300 w 362"/>
                              <a:gd name="T1" fmla="*/ 0 h 142"/>
                              <a:gd name="T2" fmla="*/ 287 w 362"/>
                              <a:gd name="T3" fmla="*/ 13 h 142"/>
                              <a:gd name="T4" fmla="*/ 272 w 362"/>
                              <a:gd name="T5" fmla="*/ 25 h 142"/>
                              <a:gd name="T6" fmla="*/ 257 w 362"/>
                              <a:gd name="T7" fmla="*/ 35 h 142"/>
                              <a:gd name="T8" fmla="*/ 245 w 362"/>
                              <a:gd name="T9" fmla="*/ 42 h 142"/>
                              <a:gd name="T10" fmla="*/ 227 w 362"/>
                              <a:gd name="T11" fmla="*/ 47 h 142"/>
                              <a:gd name="T12" fmla="*/ 212 w 362"/>
                              <a:gd name="T13" fmla="*/ 52 h 142"/>
                              <a:gd name="T14" fmla="*/ 197 w 362"/>
                              <a:gd name="T15" fmla="*/ 55 h 142"/>
                              <a:gd name="T16" fmla="*/ 180 w 362"/>
                              <a:gd name="T17" fmla="*/ 55 h 142"/>
                              <a:gd name="T18" fmla="*/ 165 w 362"/>
                              <a:gd name="T19" fmla="*/ 55 h 142"/>
                              <a:gd name="T20" fmla="*/ 147 w 362"/>
                              <a:gd name="T21" fmla="*/ 52 h 142"/>
                              <a:gd name="T22" fmla="*/ 132 w 362"/>
                              <a:gd name="T23" fmla="*/ 47 h 142"/>
                              <a:gd name="T24" fmla="*/ 118 w 362"/>
                              <a:gd name="T25" fmla="*/ 42 h 142"/>
                              <a:gd name="T26" fmla="*/ 103 w 362"/>
                              <a:gd name="T27" fmla="*/ 35 h 142"/>
                              <a:gd name="T28" fmla="*/ 88 w 362"/>
                              <a:gd name="T29" fmla="*/ 25 h 142"/>
                              <a:gd name="T30" fmla="*/ 75 w 362"/>
                              <a:gd name="T31" fmla="*/ 15 h 142"/>
                              <a:gd name="T32" fmla="*/ 60 w 362"/>
                              <a:gd name="T33" fmla="*/ 3 h 142"/>
                              <a:gd name="T34" fmla="*/ 0 w 362"/>
                              <a:gd name="T35" fmla="*/ 65 h 142"/>
                              <a:gd name="T36" fmla="*/ 20 w 362"/>
                              <a:gd name="T37" fmla="*/ 82 h 142"/>
                              <a:gd name="T38" fmla="*/ 40 w 362"/>
                              <a:gd name="T39" fmla="*/ 97 h 142"/>
                              <a:gd name="T40" fmla="*/ 63 w 362"/>
                              <a:gd name="T41" fmla="*/ 112 h 142"/>
                              <a:gd name="T42" fmla="*/ 85 w 362"/>
                              <a:gd name="T43" fmla="*/ 122 h 142"/>
                              <a:gd name="T44" fmla="*/ 108 w 362"/>
                              <a:gd name="T45" fmla="*/ 129 h 142"/>
                              <a:gd name="T46" fmla="*/ 132 w 362"/>
                              <a:gd name="T47" fmla="*/ 137 h 142"/>
                              <a:gd name="T48" fmla="*/ 155 w 362"/>
                              <a:gd name="T49" fmla="*/ 139 h 142"/>
                              <a:gd name="T50" fmla="*/ 180 w 362"/>
                              <a:gd name="T51" fmla="*/ 142 h 142"/>
                              <a:gd name="T52" fmla="*/ 205 w 362"/>
                              <a:gd name="T53" fmla="*/ 139 h 142"/>
                              <a:gd name="T54" fmla="*/ 230 w 362"/>
                              <a:gd name="T55" fmla="*/ 137 h 142"/>
                              <a:gd name="T56" fmla="*/ 252 w 362"/>
                              <a:gd name="T57" fmla="*/ 129 h 142"/>
                              <a:gd name="T58" fmla="*/ 277 w 362"/>
                              <a:gd name="T59" fmla="*/ 122 h 142"/>
                              <a:gd name="T60" fmla="*/ 300 w 362"/>
                              <a:gd name="T61" fmla="*/ 109 h 142"/>
                              <a:gd name="T62" fmla="*/ 322 w 362"/>
                              <a:gd name="T63" fmla="*/ 97 h 142"/>
                              <a:gd name="T64" fmla="*/ 342 w 362"/>
                              <a:gd name="T65" fmla="*/ 80 h 142"/>
                              <a:gd name="T66" fmla="*/ 362 w 362"/>
                              <a:gd name="T67" fmla="*/ 62 h 142"/>
                              <a:gd name="T68" fmla="*/ 300 w 362"/>
                              <a:gd name="T69" fmla="*/ 0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62" h="142">
                                <a:moveTo>
                                  <a:pt x="300" y="0"/>
                                </a:moveTo>
                                <a:lnTo>
                                  <a:pt x="287" y="13"/>
                                </a:lnTo>
                                <a:lnTo>
                                  <a:pt x="272" y="25"/>
                                </a:lnTo>
                                <a:lnTo>
                                  <a:pt x="257" y="35"/>
                                </a:lnTo>
                                <a:lnTo>
                                  <a:pt x="245" y="42"/>
                                </a:lnTo>
                                <a:lnTo>
                                  <a:pt x="227" y="47"/>
                                </a:lnTo>
                                <a:lnTo>
                                  <a:pt x="212" y="52"/>
                                </a:lnTo>
                                <a:lnTo>
                                  <a:pt x="197" y="55"/>
                                </a:lnTo>
                                <a:lnTo>
                                  <a:pt x="180" y="55"/>
                                </a:lnTo>
                                <a:lnTo>
                                  <a:pt x="165" y="55"/>
                                </a:lnTo>
                                <a:lnTo>
                                  <a:pt x="147" y="52"/>
                                </a:lnTo>
                                <a:lnTo>
                                  <a:pt x="132" y="47"/>
                                </a:lnTo>
                                <a:lnTo>
                                  <a:pt x="118" y="42"/>
                                </a:lnTo>
                                <a:lnTo>
                                  <a:pt x="103" y="35"/>
                                </a:lnTo>
                                <a:lnTo>
                                  <a:pt x="88" y="25"/>
                                </a:lnTo>
                                <a:lnTo>
                                  <a:pt x="75" y="15"/>
                                </a:lnTo>
                                <a:lnTo>
                                  <a:pt x="60" y="3"/>
                                </a:lnTo>
                                <a:lnTo>
                                  <a:pt x="0" y="65"/>
                                </a:lnTo>
                                <a:lnTo>
                                  <a:pt x="20" y="82"/>
                                </a:lnTo>
                                <a:lnTo>
                                  <a:pt x="40" y="97"/>
                                </a:lnTo>
                                <a:lnTo>
                                  <a:pt x="63" y="112"/>
                                </a:lnTo>
                                <a:lnTo>
                                  <a:pt x="85" y="122"/>
                                </a:lnTo>
                                <a:lnTo>
                                  <a:pt x="108" y="129"/>
                                </a:lnTo>
                                <a:lnTo>
                                  <a:pt x="132" y="137"/>
                                </a:lnTo>
                                <a:lnTo>
                                  <a:pt x="155" y="139"/>
                                </a:lnTo>
                                <a:lnTo>
                                  <a:pt x="180" y="142"/>
                                </a:lnTo>
                                <a:lnTo>
                                  <a:pt x="205" y="139"/>
                                </a:lnTo>
                                <a:lnTo>
                                  <a:pt x="230" y="137"/>
                                </a:lnTo>
                                <a:lnTo>
                                  <a:pt x="252" y="129"/>
                                </a:lnTo>
                                <a:lnTo>
                                  <a:pt x="277" y="122"/>
                                </a:lnTo>
                                <a:lnTo>
                                  <a:pt x="300" y="109"/>
                                </a:lnTo>
                                <a:lnTo>
                                  <a:pt x="322" y="97"/>
                                </a:lnTo>
                                <a:lnTo>
                                  <a:pt x="342" y="80"/>
                                </a:lnTo>
                                <a:lnTo>
                                  <a:pt x="362" y="62"/>
                                </a:lnTo>
                                <a:lnTo>
                                  <a:pt x="3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AutoShape 183"/>
                        <wps:cNvCnPr>
                          <a:cxnSpLocks noChangeShapeType="1"/>
                        </wps:cNvCnPr>
                        <wps:spPr bwMode="auto">
                          <a:xfrm flipV="1">
                            <a:off x="4652891" y="4010905"/>
                            <a:ext cx="412418" cy="290397"/>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166" o:spid="_x0000_s1026" editas="canvas" style="position:absolute;margin-left:-55.05pt;margin-top:-57.6pt;width:612pt;height:11in;z-index:-251655680" coordsize="7772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7724;height:100584;visibility:visible;mso-wrap-style:square" filled="t">
                  <v:fill color2="#8db3e2" o:detectmouseclick="t" focus="50%" type="gradient"/>
                  <v:path o:connecttype="none"/>
                </v:shape>
                <v:shape id="Freeform 167" o:spid="_x0000_s1028" style="position:absolute;left:22298;top:23733;width:34636;height:28370;visibility:visible;mso-wrap-style:square;v-text-anchor:top" coordsize="4845,4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MbvMUA&#10;AADbAAAADwAAAGRycy9kb3ducmV2LnhtbESPQWvCQBSE7wX/w/KE3urGgG2IboIWLIVC0ejB4yP7&#10;moRm38bs1qT++m5B8DjMzDfMKh9NKy7Uu8aygvksAkFcWt1wpeB42D4lIJxH1thaJgW/5CDPJg8r&#10;TLUdeE+XwlciQNilqKD2vkuldGVNBt3MdsTB+7K9QR9kX0nd4xDgppVxFD1Lgw2HhRo7eq2p/C5+&#10;jIIhdgkNyW73ud287c9tfP14OV2VepyO6yUIT6O/h2/td61gsYD/L+EH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Mxu8xQAAANsAAAAPAAAAAAAAAAAAAAAAAJgCAABkcnMv&#10;ZG93bnJldi54bWxQSwUGAAAAAAQABAD1AAAAigMAAAAA&#10;" path="m1314,r-2,10l1309,17r-2,8l1304,35r90,99l1484,226r87,84l1656,387r85,72l1825,526r83,62l1987,642r83,53l2147,744r80,42l2304,826r77,40l2459,900r77,33l2611,962r-83,-17l2446,925r-85,-22l2279,878r-85,-27l2110,821r-85,-35l1940,749r-87,-40l1765,665r-89,-47l1586,566r-90,-58l1404,446r-92,-64l1217,310r-3,7l1212,325r-3,7l1207,342r90,87l1381,508r88,75l1553,652r83,65l1718,776r82,57l1880,885r80,48l2037,977r80,42l2194,1059r75,37l2346,1129r75,34l2496,1193r-82,-17l2334,1156r-82,-22l2167,1109r-82,-25l2002,1057r-84,-33l1833,992r-88,-37l1658,915r-87,-42l1484,828r-90,-49l1302,724r-93,-57l1117,608r-2,7l1112,623r-2,7l1107,637r87,77l1277,784r80,64l1431,908r75,57l1578,1014r70,50l1718,1109r67,42l1853,1188r67,37l1990,1260r67,35l2127,1327r72,30l2272,1389r-80,-17l2115,1352r-78,-18l1962,1312r-72,-20l1815,1267r-72,-24l1668,1215r-75,-29l1519,1153r-78,-34l1361,1081r-82,-42l1197,995r-87,-50l1017,893r-2,7l1012,908r-5,7l1005,923r82,67l1162,1049r70,52l1292,1148r57,43l1401,1228r48,35l1496,1295r48,27l1591,1349r47,25l1688,1401r55,25l1800,1451r65,30l1935,1511r-77,-18l1788,1478r-65,-12l1666,1454r-58,-13l1553,1429r-52,-13l1451,1404r-55,-17l1342,1369r-58,-22l1222,1322r-67,-30l1082,1258r-80,-40l913,1171r-3,7l908,1186r-5,7l900,1201r87,62l1072,1322r85,57l1242,1431r82,52l1404,1530r80,48l1563,1620r78,42l1718,1702r77,37l1873,1776r74,35l2022,1845r75,33l2172,1910r-80,-17l2010,1873r-80,-20l1848,1831r-83,-23l1683,1786r-82,-27l1516,1731r-85,-27l1344,1672r-87,-32l1169,1605r-89,-37l990,1528r-92,-42l803,1441r-3,8l798,1456r-3,7l793,1468r87,60l965,1585r85,52l1135,1689r82,50l1299,1786r80,42l1459,1870r77,42l1616,1950r77,37l1768,2024r77,35l1920,2091r75,32l2070,2155r-80,-17l1910,2118r-82,-17l1745,2079r-82,-20l1581,2036r-85,-24l1411,1984r-84,-27l1239,1927r-87,-30l1062,1863r-90,-35l880,1791r-95,-42l691,1707r-3,7l686,1719r-5,7l678,1734r90,57l855,1845r85,55l1025,1950r85,47l1192,2041r82,45l1354,2128r80,40l1511,2205r80,37l1668,2279r75,33l1820,2346r75,30l1970,2408r-80,-17l1808,2374r-80,-18l1646,2337r-85,-20l1479,2294r-85,-24l1309,2245r-87,-28l1132,2188r-90,-30l953,2123r-93,-35l766,2051r-98,-42l571,1967r-2,7l566,1982r-5,7l559,1994r92,57l741,2108r87,52l915,2210r85,50l1085,2304r82,45l1249,2389r83,39l1411,2468r78,35l1568,2537r78,35l1723,2604r77,30l1875,2664r-82,-15l1713,2634r-82,-17l1546,2597r-82,-17l1376,2557r-84,-22l1204,2510r-89,-27l1025,2453r-92,-30l840,2389r-97,-35l646,2314r-97,-42l446,2227r-2,5l439,2240r-3,7l431,2252r95,60l618,2369r93,54l800,2475r90,50l975,2570r87,44l1145,2656r84,40l1309,2733r82,38l1471,2805r80,33l1628,2870r78,30l1783,2929r-82,-15l1618,2900r-84,-15l1449,2867r-85,-20l1277,2828r-88,-23l1100,2781r-93,-28l915,2723r-95,-29l723,2656,623,2619,521,2580,419,2532,312,2485r-3,5l307,2498r-5,7l299,2510r100,65l496,2634r95,57l683,2746r92,49l865,2845r88,45l1040,2932r85,39l1209,3011r83,35l1374,3081r82,32l1536,3143r80,29l1693,3200r-85,-13l1526,3175r-87,-15l1354,3145r-87,-17l1177,3108r-92,-22l992,3061r-92,-27l803,3001,703,2969,603,2932,499,2890,394,2845,284,2795,172,2741r-2,7l165,2753r-3,8l157,2768r105,70l364,2902r100,62l564,3021r94,55l753,3125r92,47l935,3217r90,40l1112,3296r85,35l1282,3366r82,30l1446,3425r83,28l1608,3477r-84,-9l1436,3458r-87,-13l1259,3430r-90,-17l1077,3396r-95,-23l888,3349,788,3319,688,3289,586,3252,479,3212,369,3167,257,3118,142,3061,22,3001r-5,10l12,3019r-7,7l,3036r167,99l327,3222r154,79l631,3371r144,62l915,3485r135,45l1182,3569r127,35l1431,3634r122,25l1668,3678r115,18l1895,3713r107,15l2110,3740r104,15l2317,3768r102,17l2519,3802r99,20l2718,3845r100,29l2917,3907r98,37l3114,3988r103,53l3316,4100r103,67l3523,4241r108,87l3738,4425r20,-191l3785,4048r33,-184l3858,3686r44,-174l3955,3341r60,-166l4082,3014r72,-159l4232,2701r87,-149l4411,2408r97,-138l4613,2133r112,-129l4845,1878,4745,1754,4643,1644r-100,-96l4444,1461r-100,-77l4244,1317r-100,-59l4042,1208r-100,-45l3840,1126r-100,-32l3636,1064r-103,-25l3429,1014,3324,992,3219,972,3112,950,3005,928,2895,903,2783,876,2671,846,2558,809,2441,769,2324,719,2207,665,2085,603,1962,528,1838,446,1711,355,1581,248,1449,131,1314,xe" fillcolor="#1f497d">
                  <v:shadow type="perspective" opacity=".5" origin=",.5" offset="0,0" matrix=",-56756f,,.5"/>
                  <o:extrusion v:ext="view" color="#4f81bd" on="t" lightposition=",-50000"/>
                  <v:path arrowok="t" o:connecttype="custom" o:connectlocs="1123072,198749;1592031,503925;1687825,578937;1198134,396216;864286,212854;1286779,534058;1730717,745629;1371134,656513;864286,427631;970088,543675;1372564,785379;1456204,855262;1030138,717420;719881,586630;1035857,809742;1333246,949507;1073030,907834;716307,780891;827113,884113;1283204,1114918;1379713,1188006;898600,1051446;568327,937967;985815,1171978;1426180,1361110;1069456,1289945;561178,1121329;671984,1218139;1137369,1437404;1235307,1510493;744902,1383550;401046,1275199;834261,1506005;1286779,1688726;923621,1625254;392467,1456638;508278,1553448;994394,1776560;1096621,1849648;586199,1727193;215893,1606020;681278,1852854;1155241,2033651;775642,1978514;203025,1791947;331703,1900297;855708,2135590;964369,2208679;418918,2084941;3574,1940047;750621,2263174;1431184,2390117;2014523,2483722;2595718,2774793;2870231,2035575;3377794,1284816;2962450,806536;2376251,635997;1745015,493026;1035857,83987" o:connectangles="0,0,0,0,0,0,0,0,0,0,0,0,0,0,0,0,0,0,0,0,0,0,0,0,0,0,0,0,0,0,0,0,0,0,0,0,0,0,0,0,0,0,0,0,0,0,0,0,0,0,0,0,0,0,0,0,0,0,0,0"/>
                </v:shape>
                <v:shape id="Freeform 168" o:spid="_x0000_s1029" style="position:absolute;left:36927;top:39003;width:10923;height:9049;visibility:visible;mso-wrap-style:square;v-text-anchor:top" coordsize="1716,1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y9osIA&#10;AADbAAAADwAAAGRycy9kb3ducmV2LnhtbESPQYvCMBSE78L+h/AWvGmqaFmrUURQPIigu+z50Tyb&#10;7jYvtYla/70RBI/DzHzDzBatrcSVGl86VjDoJyCIc6dLLhT8fK97XyB8QNZYOSYFd/KwmH90Zphp&#10;d+MDXY+hEBHCPkMFJoQ6k9Lnhiz6vquJo3dyjcUQZVNI3eAtwm0lh0mSSoslxwWDNa0M5f/Hi1XA&#10;f2Zi96PJJh2c/V363e+BVkOlup/tcgoiUBve4Vd7qxWMU3h+iT9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nL2iwgAAANsAAAAPAAAAAAAAAAAAAAAAAJgCAABkcnMvZG93&#10;bnJldi54bWxQSwUGAAAAAAQABAD1AAAAhwMAAAAA&#10;" path="m1464,251r-30,-30l1402,194r-35,-25l1334,144r-37,-22l1262,99,1224,82,1187,65,1147,50,1107,37,1067,25r-40,-7l988,10,945,5,903,,860,,773,5,686,18,604,40,526,67r-77,37l379,147r-67,49l252,251r-55,62l147,377r-42,70l67,524,38,600,18,682,5,767,,853r,568l1716,1421r,-568l1711,769r-13,-84l1678,605r-27,-76l1616,454r-45,-72l1521,315r-57,-64xe" fillcolor="black" stroked="f">
                  <v:path arrowok="t" o:connecttype="custom" o:connectlocs="931950,159832;912853,140729;892482,123536;870202,107616;849195,91697;825642,77687;803362,63041;779172,52216;755618,41391;730155,31839;704692,23561;679229,15920;653766,11462;628939,6368;601566,3184;574830,0;547457,0;492075,3184;436693,11462;384493,25471;334840,42664;285824,66225;241263,93607;198612,124809;160418,159832;125406,199313;93577,240067;66841,284642;42651,333674;24190,382070;11458,434286;3183,488412;0,543176;0,904868;1092368,904868;1092368,543176;1089185,489686;1080910,436196;1068178,385253;1050990,336858;1028710,289099;1000064,243251;968235,200587;931950,159832" o:connectangles="0,0,0,0,0,0,0,0,0,0,0,0,0,0,0,0,0,0,0,0,0,0,0,0,0,0,0,0,0,0,0,0,0,0,0,0,0,0,0,0,0,0,0,0"/>
                </v:shape>
                <v:shape id="Freeform 169" o:spid="_x0000_s1030" style="position:absolute;left:39881;top:40242;width:7429;height:7276;visibility:visible;mso-wrap-style:square;v-text-anchor:top" coordsize="1167,1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nsMMcA&#10;AADbAAAADwAAAGRycy9kb3ducmV2LnhtbESPQWvCQBSE7wX/w/KEXopuYqlK6iqiFFrqxZiD3h7Z&#10;1ySYfRuyW5P013cLBY/DzHzDrDa9qcWNWldZVhBPIxDEudUVFwqy09tkCcJ5ZI21ZVIwkIPNevSw&#10;wkTbjo90S30hAoRdggpK75tESpeXZNBNbUMcvC/bGvRBtoXULXYBbmo5i6K5NFhxWCixoV1J+TX9&#10;NgoO58spK87Z0274WB7jn/2CnuNPpR7H/fYVhKfe38P/7Xet4GUBf1/CD5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57DDHAAAA2wAAAA8AAAAAAAAAAAAAAAAAmAIAAGRy&#10;cy9kb3ducmV2LnhtbFBLBQYAAAAABAAEAPUAAACMAwAAAAA=&#10;" path="m1167,659r,484l272,1141,,139r20,5l42,146r23,5l90,156r27,2l147,161r30,2l207,166r32,2l274,168r33,-2l344,166r35,-5l416,156r38,-5l491,144r58,-15l598,111,643,91,683,72,716,52,743,32,765,15,783,r22,12l825,24r20,15l865,54r20,15l903,84r20,17l940,119r52,57l1037,235r38,65l1107,367r28,69l1152,508r10,75l1167,659xe" stroked="f">
                  <v:path arrowok="t" o:connecttype="custom" o:connectlocs="742861,419488;742861,727580;173143,726307;0,88481;12731,91664;26735,92937;41376,96119;57290,99302;74477,100575;93574,102485;112670,103758;131767,105668;152137,106941;174416,106941;195423,105668;218975,105668;241255,102485;264807,99302;288996,96119;312549,91664;349469,82115;380661,70657;409306,57926;434768,45832;455774,33101;472961,20370;486965,9548;498423,0;512428,7639;525159,15277;537890,24826;550621,34374;563352,43922;574810,53470;587541,64292;598363,75750;631464,112033;660109,149590;684298,190966;704668,233615;722491,277537;733313,323369;739678,371110;742861,419488" o:connectangles="0,0,0,0,0,0,0,0,0,0,0,0,0,0,0,0,0,0,0,0,0,0,0,0,0,0,0,0,0,0,0,0,0,0,0,0,0,0,0,0,0,0,0,0"/>
                </v:shape>
                <v:shape id="Freeform 170" o:spid="_x0000_s1031" style="position:absolute;left:39551;top:39562;width:4791;height:1182;visibility:visible;mso-wrap-style:square;v-text-anchor:top" coordsize="753,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osBMIA&#10;AADbAAAADwAAAGRycy9kb3ducmV2LnhtbERPW2vCMBR+H+w/hDPY20wX6C6dUYYg+DLEKuLeDs2x&#10;LTYnNYm1/vvlQdjjx3efzkfbiYF8aB1reJ1kIIgrZ1quNey2y5cPECEiG+wck4YbBZjPHh+mWBh3&#10;5Q0NZaxFCuFQoIYmxr6QMlQNWQwT1xMn7ui8xZigr6XxeE3htpMqy96kxZZTQ4M9LRqqTuXFatiq&#10;brF+79Wh/Dyr3P7S/vCzV1o/P43fXyAijfFffHevjIY8jU1f0g+Q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SiwEwgAAANsAAAAPAAAAAAAAAAAAAAAAAJgCAABkcnMvZG93&#10;bnJldi54bWxQSwUGAAAAAAQABAD1AAAAhwMAAAAA&#10;" path="m753,65l735,77,715,89r-22,15l665,117r-30,14l603,144r-37,12l526,166r-50,10l426,181r-47,5l331,186r-45,l244,186r-42,-5l164,176r-32,-2l99,166,72,161,49,156,29,151,17,149,7,146,5,144r-5,l25,127,49,112,74,97,102,82,127,69,154,57,182,47,212,37r27,-7l269,22r27,-7l326,10,356,5,386,2,418,r30,l488,r38,5l566,10r37,7l640,25r38,12l715,50r38,15xe" stroked="f">
                  <v:path arrowok="t" o:connecttype="custom" o:connectlocs="479142,41304;467688,48929;454962,56554;440963,66086;423147,74347;404057,83243;383695,91503;360152,99129;334699,105483;302884,111838;271068,115015;241162,118192;210619,118192;181985,118192;155260,118192;128535,115015;104355,111838;83993,110567;62995,105483;45814,102306;31179,99129;18453,95952;10817,94681;4454,92774;3182,91503;0,91503;15908,80701;31179,71169;47087,61638;64904,52106;80811,43845;97992,36220;115809,29866;134898,23511;152078,19063;171168,13980;188348,9532;207437,6354;226527,3177;245616,1271;265978,0;285067,0;310520,0;334699,3177;360152,6354;383695,10802;407239,15886;431419,23511;454962,31772;479142,41304" o:connectangles="0,0,0,0,0,0,0,0,0,0,0,0,0,0,0,0,0,0,0,0,0,0,0,0,0,0,0,0,0,0,0,0,0,0,0,0,0,0,0,0,0,0,0,0,0,0,0,0,0,0"/>
                </v:shape>
                <v:shape id="Freeform 171" o:spid="_x0000_s1032" style="position:absolute;left:37479;top:40731;width:3559;height:6774;visibility:visible;mso-wrap-style:square;v-text-anchor:top" coordsize="559,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E0+sEA&#10;AADbAAAADwAAAGRycy9kb3ducmV2LnhtbESPQYvCMBSE7wv+h/AEb2vqgrJWo0hB2Ku6LHt82zyb&#10;YPNSm7TWf28EYY/DzHzDrLeDq0VPbbCeFcymGQji0mvLlYLv0/79E0SIyBprz6TgTgG2m9HbGnPt&#10;b3yg/hgrkSAcclRgYmxyKUNpyGGY+oY4eWffOoxJtpXULd4S3NXyI8sW0qHltGCwocJQeTl2TgH9&#10;/XQm+uzQXe2ymPvf88IWvVKT8bBbgYg0xP/wq/2lFcyX8PySfo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RNPrBAAAA2wAAAA8AAAAAAAAAAAAAAAAAmAIAAGRycy9kb3du&#10;cmV2LnhtbFBLBQYAAAAABAAEAPUAAACGAwAAAAA=&#10;" path="m225,42l237,32,247,19,260,9,272,,559,1064,,1064,,582,3,506,15,431,33,359,58,290,90,223r38,-65l172,99,225,42xe" stroked="f">
                  <v:path arrowok="t" o:connecttype="custom" o:connectlocs="143236,26739;150875,20372;157241,12096;165517,5730;173156,0;355862,677380;0,677380;0,370522;1910,322137;9549,274390;21008,228552;36923,184624;57294,141970;81485,100588;109496,63027;143236,26739" o:connectangles="0,0,0,0,0,0,0,0,0,0,0,0,0,0,0,0"/>
                </v:shape>
                <v:shape id="Freeform 172" o:spid="_x0000_s1033" style="position:absolute;left:39487;top:32337;width:6114;height:6272;visibility:visible;mso-wrap-style:square;v-text-anchor:top" coordsize="960,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axsUA&#10;AADcAAAADwAAAGRycy9kb3ducmV2LnhtbESPQW/CMAyF75P2HyJP4jZSemBQCKgDbew6BhJHqzFt&#10;ReN0SQbdfv18mLSbrff83uflenCdulKIrWcDk3EGirjytuXawOHj5XEGKiZki51nMvBNEdar+7sl&#10;Ftbf+J2u+1QrCeFYoIEmpb7QOlYNOYxj3xOLdvbBYZI11NoGvEm463SeZVPtsGVpaLCnTUPVZf/l&#10;DOSf81O3+9mVfNk+z7NjHmbl65Mxo4ehXIBKNKR/89/1mxX8XGjlGZl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HxrGxQAAANwAAAAPAAAAAAAAAAAAAAAAAJgCAABkcnMv&#10;ZG93bnJldi54bWxQSwUGAAAAAAQABAD1AAAAigMAAAAA&#10;" path="m960,231l927,204,897,179,870,157,840,134,812,115,783,97,755,80,725,65,698,53,670,40,640,30,613,20,586,13,558,8,531,3,503,,476,,448,,423,3,396,8r-27,5l341,20r-27,8l286,38,259,48,231,62,204,75,174,92r-27,15l119,127,89,147,62,169,32,191,,219,162,407r-28,47l117,504r-13,52l99,613r3,37l107,685r7,35l127,755r15,32l162,819r22,30l209,876r27,25l266,923r30,18l331,955r33,13l401,978r35,5l473,985r38,-2l548,978r35,-10l618,955r32,-14l680,923r30,-22l738,876r25,-27l785,819r20,-32l820,755r12,-35l840,685r5,-35l847,613r-2,-52l835,514,817,467,795,422,960,231xe" fillcolor="black" stroked="f">
                  <v:path arrowok="t" o:connecttype="custom" o:connectlocs="590305,129893;554008,99967;517074,73224;480777,50939;444480,33747;407546,19102;373159,8278;338136,1910;303112,0;269362,1910;234976,8278;199952,17828;164929,30563;129905,47755;93608,68130;56674,93600;20377,121616;103160,259150;74505,320913;63042,390317;68137,436161;80872,480733;103160,521483;133089,557777;169386,587704;210778,608079;255353,622724;301202,627181;348961,622724;393537,608079;433018,587704;469951,557777;499881,521483;522168,480733;534904,436161;539362,390317;531720,327280;506249,268701" o:connectangles="0,0,0,0,0,0,0,0,0,0,0,0,0,0,0,0,0,0,0,0,0,0,0,0,0,0,0,0,0,0,0,0,0,0,0,0,0,0"/>
                </v:shape>
                <v:shape id="Freeform 173" o:spid="_x0000_s1034" style="position:absolute;left:40657;top:34682;width:3685;height:3374;visibility:visible;mso-wrap-style:square;v-text-anchor:top" coordsize="579,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xEIsQA&#10;AADcAAAADwAAAGRycy9kb3ducmV2LnhtbERP3WrCMBS+F/YO4Qx2p6nCxFVTkbFB62BM5wMcm2NT&#10;bE66Jmrd0xthsLvz8f2exbK3jThT52vHCsajBARx6XTNlYLd9/twBsIHZI2NY1JwJQ/L7GGwwFS7&#10;C2/ovA2ViCHsU1RgQmhTKX1pyKIfuZY4cgfXWQwRdpXUHV5iuG3kJEmm0mLNscFgS6+GyuP2ZBXk&#10;s+K5at/y/cfuuPn5/TKfxXpFSj099qs5iEB9+Bf/uXMd509e4P5MvEB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sRCLEAAAA3AAAAA8AAAAAAAAAAAAAAAAAmAIAAGRycy9k&#10;b3ducmV2LnhtbFBLBQYAAAAABAAEAPUAAACJAwAAAAA=&#10;" path="m289,530r-30,-2l232,525r-27,-7l180,508,152,496,130,483,107,466,85,446,65,424,47,401,35,379,23,352,13,327,5,300,3,272,,245,3,208r7,-35l20,141,35,109,67,81,92,64,120,47,147,32,177,22,205,12,237,5,267,2,299,r30,2l359,5r30,7l419,22r27,12l474,47r27,17l526,84r23,37l564,161r12,39l579,245r-5,57l556,357r-27,47l494,446r-43,35l402,508r-55,17l289,530xe" stroked="f">
                  <v:path arrowok="t" o:connecttype="custom" o:connectlocs="183967,337419;164870,336146;147683,334236;130496,329779;114582,323413;96758,315773;82753,307497;68112,296674;54108,283941;41377,269935;29919,255292;22280,241286;14641,224097;8275,208181;3183,190992;1910,173166;0,155977;1910,132421;6366,110139;12731,89766;22280,69394;42650,51568;58564,40745;76388,29922;93575,20372;112672,14006;130496,7640;150866,3183;169963,1273;190333,0;209430,1273;228527,3183;247624,7640;266721,14006;283908,21646;301732,29922;318919,40745;334833,53478;349474,77033;359023,102499;366661,127328;368571,155977;365388,192265;353930,227280;336743,257202;314463,283941;287091,306224;255899,323413;220888,334236;183967,337419" o:connectangles="0,0,0,0,0,0,0,0,0,0,0,0,0,0,0,0,0,0,0,0,0,0,0,0,0,0,0,0,0,0,0,0,0,0,0,0,0,0,0,0,0,0,0,0,0,0,0,0,0,0"/>
                </v:shape>
                <v:shape id="Freeform 174" o:spid="_x0000_s1035" style="position:absolute;left:40263;top:32890;width:4550;height:1741;visibility:visible;mso-wrap-style:square;v-text-anchor:top" coordsize="71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8omccA&#10;AADcAAAADwAAAGRycy9kb3ducmV2LnhtbESPQWvCQBCF74X+h2UK3uqmCiKpq5SWqiBYqgV7HLLT&#10;JDQ7G3dXE/31zqHQ2wzvzXvfzBa9a9SZQqw9G3gaZqCIC29rLg187d8fp6BiQrbYeCYDF4qwmN/f&#10;zTC3vuNPOu9SqSSEY44GqpTaXOtYVOQwDn1LLNqPDw6TrKHUNmAn4a7RoyybaIc1S0OFLb1WVPzu&#10;Ts7AenpYHrrrajPev20ux2s8he+PrTGDh/7lGVSiPv2b/67XVvDHgi/PyAR6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vKJnHAAAA3AAAAA8AAAAAAAAAAAAAAAAAmAIAAGRy&#10;cy9kb3ducmV2LnhtbFBLBQYAAAAABAAEAPUAAACMAwAAAAA=&#10;" path="m613,273l583,256,553,241,523,226,491,214r-32,-8l426,199r-32,-3l361,194r-32,2l294,199r-32,7l229,214r-32,10l167,238r-30,15l109,271,,144,47,112,92,82,137,57,182,37,227,20,269,10,311,3,354,r42,3l439,10r45,13l528,40r48,20l621,87r47,32l715,154,613,273xe" stroked="f">
                  <v:path arrowok="t" o:connecttype="custom" o:connectlocs="390087,174111;370996,163269;351905,153702;332815,144136;312451,136483;292088,131380;271088,126916;250725,125003;229725,123727;209361,125003;187089,126916;166725,131380;145726,136483;125362,142860;106272,151789;87181,161356;69363,172835;0,91839;29909,71430;58545,52297;87181,36353;115817,23597;144453,12755;171180,6378;197907,1913;225270,0;251997,1913;279361,6378;307997,14669;335996,25511;366541,38266;395177,55486;425086,75895;454995,98216;390087,174111" o:connectangles="0,0,0,0,0,0,0,0,0,0,0,0,0,0,0,0,0,0,0,0,0,0,0,0,0,0,0,0,0,0,0,0,0,0,0"/>
                </v:shape>
                <v:shape id="Freeform 175" o:spid="_x0000_s1036" style="position:absolute;left:45251;top:35622;width:6571;height:9831;visibility:visible;mso-wrap-style:square;v-text-anchor:top" coordsize="1032,1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vlqcIA&#10;AADcAAAADwAAAGRycy9kb3ducmV2LnhtbERPTYvCMBC9C/sfwix4EU1VdKVrlFUQxYOgK3gdmrHt&#10;2ky6TdTqrzeC4G0e73PG09oU4kKVyy0r6HYiEMSJ1TmnCva/i/YIhPPIGgvLpOBGDqaTj8YYY22v&#10;vKXLzqcihLCLUUHmfRlL6ZKMDLqOLYkDd7SVQR9glUpd4TWEm0L2omgoDeYcGjIsaZ5RctqdjYIB&#10;56fWbH1H+X9cbv8OyJvoi5VqftY/3yA81f4tfrlXOszvd+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S+WpwgAAANwAAAAPAAAAAAAAAAAAAAAAAJgCAABkcnMvZG93&#10;bnJldi54bWxQSwUGAAAAAAQABAD1AAAAhwMAAAAA&#10;" path="m997,271r-10,-8l977,256r-10,-5l957,246r-12,-5l935,239r-13,-3l910,236r-180,l720,219,708,201,693,186,678,172,663,159,646,147,628,137,608,127r3,-5l611,114r2,-7l613,100,611,80,606,60,596,45,583,30,568,18,551,8,531,3,511,,491,3,471,8,456,18,441,30,429,45,419,60r-5,20l411,100r,7l411,112r,7l414,124r-20,8l374,142r-20,12l336,169r-15,15l306,199r-12,17l282,236r-160,l97,239r-22,7l55,256,35,271,20,288,10,308,2,330,,355,,1424r2,25l10,1469r10,22l37,1508r10,8l55,1523r10,5l77,1533r10,5l97,1541r12,2l122,1543r788,l922,1543r13,-2l945,1538r12,-5l967,1528r10,-5l987,1516r10,-8l1012,1491r10,-22l1030,1449r2,-25l1032,355r-2,-25l1022,308r-10,-20l997,271xe" fillcolor="black" stroked="f">
                  <v:path arrowok="t" o:connecttype="custom" o:connectlocs="628422,167554;615688,159909;601680,153538;587036,150353;464790,150353;450783,128055;431682,109579;411307,93652;387113,80910;389023,72628;390296,63709;385839,38225;371195,19113;350821,5097;325353,0;299885,5097;280784,19113;266777,38225;261683,63709;261683,71354;263593,78999;238125,90467;213931,107668;194830,126781;179549,150353;61760,152264;35018,163095;12734,183482;1273,210239;0,907214;6367,935883;23558,960730;35018,970286;49026,976657;61760,981754;77677,983028;587036,983028;601680,979843;615688,973472;628422,965827;644339,949899;655800,923142;657073,226167;650706,196223;634789,172651" o:connectangles="0,0,0,0,0,0,0,0,0,0,0,0,0,0,0,0,0,0,0,0,0,0,0,0,0,0,0,0,0,0,0,0,0,0,0,0,0,0,0,0,0,0,0,0,0"/>
                </v:shape>
                <v:shape id="Freeform 176" o:spid="_x0000_s1037" style="position:absolute;left:45804;top:37662;width:5459;height:7231;visibility:visible;mso-wrap-style:square;v-text-anchor:top" coordsize="858,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Suh8QA&#10;AADcAAAADwAAAGRycy9kb3ducmV2LnhtbERPTWsCMRC9F/wPYYTealYLolujiLZ2EXvQtuJx2Iyb&#10;xc1k2aSa/vumUOhtHu9zZotoG3GlzteOFQwHGQji0umaKwUf7y8PExA+IGtsHJOCb/KwmPfuZphr&#10;d+M9XQ+hEimEfY4KTAhtLqUvDVn0A9cSJ+7sOoshwa6SusNbCreNHGXZWFqsOTUYbGllqLwcvqyC&#10;3fC1eI5v2/hpppvdeF0cL/60Ueq+H5dPIALF8C/+cxc6zX8cwe8z6QI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ErofEAAAA3AAAAA8AAAAAAAAAAAAAAAAAmAIAAGRycy9k&#10;b3ducmV2LnhtbFBLBQYAAAAABAAEAPUAAACJAwAAAAA=&#10;" path="m858,1104r-3,13l848,1126r-10,8l823,1136r-788,l22,1134r-12,-8l3,1117,,1104,,35,3,23,10,10,22,3,35,,162,r-2,13l160,25r-3,10l157,47r,25l162,95r3,22l172,137r494,l673,117r5,-22l681,72r,-25l681,35,678,25r,-12l676,,823,r15,3l848,10r7,13l858,35r,1069xe" stroked="f">
                  <v:path arrowok="t" o:connecttype="custom" o:connectlocs="545866,702762;543957,711037;539504,716766;533142,721859;523599,723132;22267,723132;13997,721859;6362,716766;1909,711037;0,702762;0,22280;1909,14641;6362,6366;13997,1910;22267,0;103066,0;101793,8275;101793,15914;99885,22280;99885,29918;99885,45832;103066,60473;104974,74478;109428,87209;423714,87209;428168,74478;431349,60473;433257,45832;433257,29918;433257,22280;431349,15914;431349,8275;430076,0;523599,0;533142,1910;539504,6366;543957,14641;545866,22280;545866,702762" o:connectangles="0,0,0,0,0,0,0,0,0,0,0,0,0,0,0,0,0,0,0,0,0,0,0,0,0,0,0,0,0,0,0,0,0,0,0,0,0,0,0"/>
                </v:shape>
                <v:rect id="Rectangle 177" o:spid="_x0000_s1038" style="position:absolute;left:46605;top:42027;width:2904;height:90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KxMYA&#10;AADcAAAADwAAAGRycy9kb3ducmV2LnhtbESPQWsCMRCF74X+hzAFbzVbxSpbo4ggFKyHrkqv02S6&#10;u3QzWTZpduuvN4WCtxne+968Wa4H24hIna8dK3gaZyCItTM1lwpOx93jAoQPyAYbx6TglzysV/d3&#10;S8yN6/mdYhFKkULY56igCqHNpfS6Iot+7FripH25zmJIa1dK02Gfwm0jJ1n2LC3WnC5U2NK2Iv1d&#10;/NhUI+qPg46xfSvm596cLvP9Yvap1Ohh2LyACDSEm/mffjWJm07h75k0gV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BKxMYAAADcAAAADwAAAAAAAAAAAAAAAACYAgAAZHJz&#10;L2Rvd25yZXYueG1sUEsFBgAAAAAEAAQA9QAAAIsDAAAAAA==&#10;" fillcolor="black" stroked="f"/>
                <v:rect id="Rectangle 178" o:spid="_x0000_s1039" style="position:absolute;left:47368;top:41665;width:3698;height:83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nSsMcA&#10;AADcAAAADwAAAGRycy9kb3ducmV2LnhtbESPT0sDMRDF7wW/QxjBW5u12j+sTUsRBMF66FrxOibj&#10;7uJmsmxidttP3wiF3mZ47/fmzWoz2EZE6nztWMH9JANBrJ2puVRw+HgZL0H4gGywcUwKjuRhs74Z&#10;rTA3ruc9xSKUIoWwz1FBFUKbS+l1RRb9xLXESftxncWQ1q6UpsM+hdtGTrNsLi3WnC5U2NJzRfq3&#10;+LOpRtRf7zrGdlcsPntzOC3elrNvpe5uh+0TiEBDuJov9KtJ3MMj/D+TJpDr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Z0rDHAAAA3AAAAA8AAAAAAAAAAAAAAAAAmAIAAGRy&#10;cy9kb3ducmV2LnhtbFBLBQYAAAAABAAEAPUAAACMAwAAAAA=&#10;" fillcolor="black" stroked="f"/>
                <v:rect id="Rectangle 179" o:spid="_x0000_s1040" style="position:absolute;left:45887;top:42517;width:1849;height:99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V3K8YA&#10;AADcAAAADwAAAGRycy9kb3ducmV2LnhtbESPzWrDMBCE74W8g9hAb42clvzgRgkhUAi0PdRJ6HUr&#10;bW0Ta2UsRXb79FUhkNsuM9/s7Goz2EZE6nztWMF0koEg1s7UXCo4Hl4eliB8QDbYOCYFP+Rhsx7d&#10;rTA3rucPikUoRQphn6OCKoQ2l9Lriiz6iWuJk/btOoshrV0pTYd9CreNfMyyubRYc7pQYUu7ivS5&#10;uNhUI+rPdx1j+1YsTr05/i5el7Mvpe7Hw/YZRKAh3MxXem8S9zSD/2fSBH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V3K8YAAADcAAAADwAAAAAAAAAAAAAAAACYAgAAZHJz&#10;L2Rvd25yZXYueG1sUEsFBgAAAAAEAAQA9QAAAIsDAAAAAA==&#10;" fillcolor="black" stroked="f"/>
                <v:rect id="Rectangle 180" o:spid="_x0000_s1041" style="position:absolute;left:47857;top:41036;width:4982;height:80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fpXMYA&#10;AADcAAAADwAAAGRycy9kb3ducmV2LnhtbESPQWsCMRCF70L/Q5hCb5qtpSqrUUQQCm0P3Vq8jsm4&#10;u3QzWTZpduuvN4WCtxne+968WW0G24hIna8dK3icZCCItTM1lwoOn/vxAoQPyAYbx6Tglzxs1nej&#10;FebG9fxBsQilSCHsc1RQhdDmUnpdkUU/cS1x0s6usxjS2pXSdNincNvIaZbNpMWa04UKW9pVpL+L&#10;H5tqRH181zG2b8X8qzeHy/x18XxS6uF+2C5BBBrCzfxPv5jEPc3g75k0gV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4fpXMYAAADcAAAADwAAAAAAAAAAAAAAAACYAgAAZHJz&#10;L2Rvd25yZXYueG1sUEsFBgAAAAAEAAQA9QAAAIsDAAAAAA==&#10;" fillcolor="black" stroked="f"/>
                <v:shape id="Freeform 181" o:spid="_x0000_s1042" style="position:absolute;left:41337;top:36576;width:2306;height:902;visibility:visible;mso-wrap-style:square;v-text-anchor:top" coordsize="36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0/2MQA&#10;AADcAAAADwAAAGRycy9kb3ducmV2LnhtbERPS2vCQBC+C/0PywjedGMtKtFVxGqrxYsP8DpkxyQk&#10;O5tmV0399d1Cwdt8fM+ZzhtTihvVLresoN+LQBAnVuecKjgd190xCOeRNZaWScEPOZjPXlpTjLW9&#10;855uB5+KEMIuRgWZ91UspUsyMuh6tiIO3MXWBn2AdSp1jfcQbkr5GkVDaTDn0JBhRcuMkuJwNQqu&#10;57fPbbEqPhbfy91j9CjtO39tlOq0m8UEhKfGP8X/7o0O8wcj+HsmXC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dP9jEAAAA3AAAAA8AAAAAAAAAAAAAAAAAmAIAAGRycy9k&#10;b3ducmV2LnhtbFBLBQYAAAAABAAEAPUAAACJAwAAAAA=&#10;" path="m300,l287,13,272,25,257,35r-12,7l227,47r-15,5l197,55r-17,l165,55,147,52,132,47,118,42,103,35,88,25,75,15,60,3,,65,20,82,40,97r23,15l85,122r23,7l132,137r23,2l180,142r25,-3l230,137r22,-8l277,122r23,-13l322,97,342,80,362,62,300,xe" fillcolor="black" stroked="f">
                  <v:path arrowok="t" o:connecttype="custom" o:connectlocs="191167,0;182883,8261;173325,15886;163767,22241;156120,26689;144650,29866;135091,33043;125533,34949;114700,34949;105142,34949;93672,33043;84114,29866;75192,26689;65634,22241;56076,15886;47792,9532;38233,1906;0,41304;12744,52106;25489,61638;40145,71170;54164,77524;68820,81972;84114,87056;98770,88327;114700,90233;130631,88327;146561,87056;160580,81972;176511,77524;191167,69263;205186,61638;217931,50835;230675,39398;191167,0" o:connectangles="0,0,0,0,0,0,0,0,0,0,0,0,0,0,0,0,0,0,0,0,0,0,0,0,0,0,0,0,0,0,0,0,0,0,0"/>
                </v:shape>
                <v:shapetype id="_x0000_t32" coordsize="21600,21600" o:spt="32" o:oned="t" path="m,l21600,21600e" filled="f">
                  <v:path arrowok="t" fillok="f" o:connecttype="none"/>
                  <o:lock v:ext="edit" shapetype="t"/>
                </v:shapetype>
                <v:shape id="AutoShape 183" o:spid="_x0000_s1043" type="#_x0000_t32" style="position:absolute;left:46528;top:40109;width:4125;height:290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XasUAAADcAAAADwAAAGRycy9kb3ducmV2LnhtbESPQWvDMAyF74P9B6NBb6uzFrqS1S1h&#10;o6ywQ1nTw45arMVhsRxiL0n//XQo9Cbxnt77tNlNvlUD9bEJbOBpnoEiroJtuDZwLvePa1AxIVts&#10;A5OBC0XYbe/vNpjbMPInDadUKwnhmKMBl1KXax0rRx7jPHTEov2E3mOSta+17XGUcN/qRZattMeG&#10;pcFhR6+Oqt/TnzfwNVLh345lEcbSnb8P7x/LgZ+NmT1MxQuoRFO6ma/XByv4S6GVZ2QCvf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XasUAAADcAAAADwAAAAAAAAAA&#10;AAAAAAChAgAAZHJzL2Rvd25yZXYueG1sUEsFBgAAAAAEAAQA+QAAAJMDAAAAAA==&#10;" strokecolor="red" strokeweight="2pt"/>
              </v:group>
            </w:pict>
          </mc:Fallback>
        </mc:AlternateContent>
      </w:r>
      <w:r w:rsidR="00557F49" w:rsidRPr="002E4C3B">
        <w:rPr>
          <w:rFonts w:ascii="Cambria" w:hAnsi="Cambria"/>
          <w:b/>
          <w:color w:val="1F497D"/>
          <w:spacing w:val="10"/>
          <w:sz w:val="24"/>
          <w:szCs w:val="24"/>
          <w14:shadow w14:blurRad="50800" w14:dist="38100" w14:dir="2700000" w14:sx="100000" w14:sy="100000" w14:kx="0" w14:ky="0" w14:algn="tl">
            <w14:srgbClr w14:val="000000">
              <w14:alpha w14:val="60000"/>
            </w14:srgbClr>
          </w14:shadow>
        </w:rPr>
        <w:t>Government of the District of Columbia</w:t>
      </w:r>
    </w:p>
    <w:p w:rsidR="00B165C6" w:rsidRPr="002E4C3B" w:rsidRDefault="00557F49" w:rsidP="00B165C6">
      <w:pPr>
        <w:jc w:val="center"/>
        <w:rPr>
          <w:rFonts w:ascii="Cambria" w:hAnsi="Cambria"/>
          <w:b/>
          <w:color w:val="1F497D"/>
          <w:spacing w:val="10"/>
          <w:sz w:val="24"/>
          <w:szCs w:val="24"/>
          <w14:shadow w14:blurRad="50800" w14:dist="38100" w14:dir="2700000" w14:sx="100000" w14:sy="100000" w14:kx="0" w14:ky="0" w14:algn="tl">
            <w14:srgbClr w14:val="000000">
              <w14:alpha w14:val="60000"/>
            </w14:srgbClr>
          </w14:shadow>
        </w:rPr>
      </w:pPr>
      <w:r w:rsidRPr="002E4C3B">
        <w:rPr>
          <w:rFonts w:ascii="Cambria" w:hAnsi="Cambria"/>
          <w:b/>
          <w:color w:val="1F497D"/>
          <w:spacing w:val="10"/>
          <w:sz w:val="24"/>
          <w:szCs w:val="24"/>
          <w14:shadow w14:blurRad="50800" w14:dist="38100" w14:dir="2700000" w14:sx="100000" w14:sy="100000" w14:kx="0" w14:ky="0" w14:algn="tl">
            <w14:srgbClr w14:val="000000">
              <w14:alpha w14:val="60000"/>
            </w14:srgbClr>
          </w14:shadow>
        </w:rPr>
        <w:t xml:space="preserve">Department of </w:t>
      </w:r>
      <w:r w:rsidR="0063590D" w:rsidRPr="002E4C3B">
        <w:rPr>
          <w:rFonts w:ascii="Cambria" w:hAnsi="Cambria"/>
          <w:b/>
          <w:color w:val="1F497D"/>
          <w:spacing w:val="10"/>
          <w:sz w:val="24"/>
          <w:szCs w:val="24"/>
          <w14:shadow w14:blurRad="50800" w14:dist="38100" w14:dir="2700000" w14:sx="100000" w14:sy="100000" w14:kx="0" w14:ky="0" w14:algn="tl">
            <w14:srgbClr w14:val="000000">
              <w14:alpha w14:val="60000"/>
            </w14:srgbClr>
          </w14:shadow>
        </w:rPr>
        <w:t>Behavioral</w:t>
      </w:r>
      <w:r w:rsidRPr="002E4C3B">
        <w:rPr>
          <w:rFonts w:ascii="Cambria" w:hAnsi="Cambria"/>
          <w:b/>
          <w:color w:val="1F497D"/>
          <w:spacing w:val="10"/>
          <w:sz w:val="24"/>
          <w:szCs w:val="24"/>
          <w14:shadow w14:blurRad="50800" w14:dist="38100" w14:dir="2700000" w14:sx="100000" w14:sy="100000" w14:kx="0" w14:ky="0" w14:algn="tl">
            <w14:srgbClr w14:val="000000">
              <w14:alpha w14:val="60000"/>
            </w14:srgbClr>
          </w14:shadow>
        </w:rPr>
        <w:t xml:space="preserve"> Health (D</w:t>
      </w:r>
      <w:r w:rsidR="0063590D" w:rsidRPr="002E4C3B">
        <w:rPr>
          <w:rFonts w:ascii="Cambria" w:hAnsi="Cambria"/>
          <w:b/>
          <w:color w:val="1F497D"/>
          <w:spacing w:val="10"/>
          <w:sz w:val="24"/>
          <w:szCs w:val="24"/>
          <w14:shadow w14:blurRad="50800" w14:dist="38100" w14:dir="2700000" w14:sx="100000" w14:sy="100000" w14:kx="0" w14:ky="0" w14:algn="tl">
            <w14:srgbClr w14:val="000000">
              <w14:alpha w14:val="60000"/>
            </w14:srgbClr>
          </w14:shadow>
        </w:rPr>
        <w:t>B</w:t>
      </w:r>
      <w:r w:rsidRPr="002E4C3B">
        <w:rPr>
          <w:rFonts w:ascii="Cambria" w:hAnsi="Cambria"/>
          <w:b/>
          <w:color w:val="1F497D"/>
          <w:spacing w:val="10"/>
          <w:sz w:val="24"/>
          <w:szCs w:val="24"/>
          <w14:shadow w14:blurRad="50800" w14:dist="38100" w14:dir="2700000" w14:sx="100000" w14:sy="100000" w14:kx="0" w14:ky="0" w14:algn="tl">
            <w14:srgbClr w14:val="000000">
              <w14:alpha w14:val="60000"/>
            </w14:srgbClr>
          </w14:shadow>
        </w:rPr>
        <w:t>H)</w:t>
      </w:r>
    </w:p>
    <w:p w:rsidR="00BE4FF3" w:rsidRPr="002E4C3B" w:rsidRDefault="00BE4FF3" w:rsidP="00B165C6">
      <w:pPr>
        <w:jc w:val="center"/>
        <w:rPr>
          <w:b/>
          <w:color w:val="1F497D"/>
          <w:spacing w:val="10"/>
          <w:sz w:val="28"/>
          <w:szCs w:val="28"/>
          <w14:shadow w14:blurRad="50800" w14:dist="38100" w14:dir="2700000" w14:sx="100000" w14:sy="100000" w14:kx="0" w14:ky="0" w14:algn="tl">
            <w14:srgbClr w14:val="000000">
              <w14:alpha w14:val="60000"/>
            </w14:srgbClr>
          </w14:shadow>
        </w:rPr>
      </w:pPr>
    </w:p>
    <w:p w:rsidR="002A1357" w:rsidRPr="00692C6B" w:rsidRDefault="002A1357" w:rsidP="004050E6">
      <w:pPr>
        <w:spacing w:before="100" w:beforeAutospacing="1" w:after="100" w:afterAutospacing="1"/>
        <w:jc w:val="center"/>
        <w:rPr>
          <w:rFonts w:ascii="Impact" w:hAnsi="Impact"/>
          <w:smallCaps/>
          <w:color w:val="1F497D"/>
          <w:spacing w:val="30"/>
          <w:sz w:val="60"/>
          <w:szCs w:val="60"/>
          <w14:shadow w14:blurRad="50800" w14:dist="38100" w14:dir="2700000" w14:sx="100000" w14:sy="100000" w14:kx="0" w14:ky="0" w14:algn="tl">
            <w14:srgbClr w14:val="000000">
              <w14:alpha w14:val="60000"/>
            </w14:srgbClr>
          </w14:shadow>
        </w:rPr>
      </w:pPr>
      <w:r w:rsidRPr="00692C6B">
        <w:rPr>
          <w:rFonts w:ascii="Impact" w:hAnsi="Impact"/>
          <w:smallCaps/>
          <w:color w:val="1F497D"/>
          <w:spacing w:val="30"/>
          <w:sz w:val="60"/>
          <w:szCs w:val="60"/>
          <w14:shadow w14:blurRad="50800" w14:dist="38100" w14:dir="2700000" w14:sx="100000" w14:sy="100000" w14:kx="0" w14:ky="0" w14:algn="tl">
            <w14:srgbClr w14:val="000000">
              <w14:alpha w14:val="60000"/>
            </w14:srgbClr>
          </w14:shadow>
        </w:rPr>
        <w:t xml:space="preserve">Saint </w:t>
      </w:r>
      <w:proofErr w:type="spellStart"/>
      <w:r w:rsidRPr="00692C6B">
        <w:rPr>
          <w:rFonts w:ascii="Impact" w:hAnsi="Impact"/>
          <w:smallCaps/>
          <w:color w:val="1F497D"/>
          <w:spacing w:val="30"/>
          <w:sz w:val="60"/>
          <w:szCs w:val="60"/>
          <w14:shadow w14:blurRad="50800" w14:dist="38100" w14:dir="2700000" w14:sx="100000" w14:sy="100000" w14:kx="0" w14:ky="0" w14:algn="tl">
            <w14:srgbClr w14:val="000000">
              <w14:alpha w14:val="60000"/>
            </w14:srgbClr>
          </w14:shadow>
        </w:rPr>
        <w:t>Elizabeths</w:t>
      </w:r>
      <w:proofErr w:type="spellEnd"/>
      <w:r w:rsidRPr="00692C6B">
        <w:rPr>
          <w:rFonts w:ascii="Impact" w:hAnsi="Impact"/>
          <w:smallCaps/>
          <w:color w:val="1F497D"/>
          <w:spacing w:val="30"/>
          <w:sz w:val="60"/>
          <w:szCs w:val="60"/>
          <w14:shadow w14:blurRad="50800" w14:dist="38100" w14:dir="2700000" w14:sx="100000" w14:sy="100000" w14:kx="0" w14:ky="0" w14:algn="tl">
            <w14:srgbClr w14:val="000000">
              <w14:alpha w14:val="60000"/>
            </w14:srgbClr>
          </w14:shadow>
        </w:rPr>
        <w:t xml:space="preserve"> Hospital</w:t>
      </w:r>
    </w:p>
    <w:p w:rsidR="002A1357" w:rsidRPr="002E4C3B" w:rsidRDefault="002A1357" w:rsidP="00B165C6">
      <w:pPr>
        <w:jc w:val="center"/>
        <w:rPr>
          <w:b/>
          <w:color w:val="1F497D"/>
          <w:spacing w:val="10"/>
          <w:sz w:val="28"/>
          <w:szCs w:val="28"/>
          <w14:shadow w14:blurRad="50800" w14:dist="38100" w14:dir="2700000" w14:sx="100000" w14:sy="100000" w14:kx="0" w14:ky="0" w14:algn="tl">
            <w14:srgbClr w14:val="000000">
              <w14:alpha w14:val="60000"/>
            </w14:srgbClr>
          </w14:shadow>
        </w:rPr>
      </w:pPr>
    </w:p>
    <w:p w:rsidR="00826AF5" w:rsidRPr="002E4C3B" w:rsidRDefault="00826AF5" w:rsidP="002A1357">
      <w:pPr>
        <w:spacing w:before="100" w:beforeAutospacing="1" w:after="100" w:afterAutospacing="1"/>
        <w:rPr>
          <w:rFonts w:ascii="Impact" w:hAnsi="Impact"/>
          <w:color w:val="1F497D"/>
          <w:spacing w:val="80"/>
          <w:sz w:val="96"/>
          <w:szCs w:val="96"/>
          <w14:shadow w14:blurRad="50800" w14:dist="38100" w14:dir="2700000" w14:sx="100000" w14:sy="100000" w14:kx="0" w14:ky="0" w14:algn="tl">
            <w14:srgbClr w14:val="000000">
              <w14:alpha w14:val="60000"/>
            </w14:srgbClr>
          </w14:shadow>
        </w:rPr>
      </w:pPr>
    </w:p>
    <w:p w:rsidR="00826AF5" w:rsidRPr="002E4C3B" w:rsidRDefault="00826AF5" w:rsidP="002A1357">
      <w:pPr>
        <w:spacing w:before="100" w:beforeAutospacing="1" w:after="100" w:afterAutospacing="1"/>
        <w:rPr>
          <w:rFonts w:ascii="Impact" w:hAnsi="Impact"/>
          <w:color w:val="1F497D"/>
          <w:spacing w:val="80"/>
          <w:sz w:val="96"/>
          <w:szCs w:val="96"/>
          <w14:shadow w14:blurRad="50800" w14:dist="38100" w14:dir="2700000" w14:sx="100000" w14:sy="100000" w14:kx="0" w14:ky="0" w14:algn="tl">
            <w14:srgbClr w14:val="000000">
              <w14:alpha w14:val="60000"/>
            </w14:srgbClr>
          </w14:shadow>
        </w:rPr>
      </w:pPr>
    </w:p>
    <w:p w:rsidR="00826AF5" w:rsidRPr="006F1A2F" w:rsidRDefault="00826AF5" w:rsidP="002A1357">
      <w:pPr>
        <w:spacing w:before="100" w:beforeAutospacing="1" w:after="100" w:afterAutospacing="1"/>
        <w:rPr>
          <w:rFonts w:ascii="Impact" w:hAnsi="Impact"/>
          <w:color w:val="1F497D"/>
          <w:spacing w:val="80"/>
          <w:sz w:val="72"/>
          <w:szCs w:val="72"/>
          <w14:shadow w14:blurRad="50800" w14:dist="38100" w14:dir="2700000" w14:sx="100000" w14:sy="100000" w14:kx="0" w14:ky="0" w14:algn="tl">
            <w14:srgbClr w14:val="000000">
              <w14:alpha w14:val="60000"/>
            </w14:srgbClr>
          </w14:shadow>
        </w:rPr>
      </w:pPr>
    </w:p>
    <w:p w:rsidR="002C17BA" w:rsidRPr="00692C6B" w:rsidRDefault="00785496" w:rsidP="002C17BA">
      <w:pPr>
        <w:rPr>
          <w:rFonts w:ascii="Impact" w:hAnsi="Impact"/>
          <w:color w:val="1F497D"/>
          <w:spacing w:val="40"/>
          <w:sz w:val="96"/>
          <w:szCs w:val="96"/>
          <w14:shadow w14:blurRad="50800" w14:dist="38100" w14:dir="2700000" w14:sx="100000" w14:sy="100000" w14:kx="0" w14:ky="0" w14:algn="tl">
            <w14:srgbClr w14:val="000000">
              <w14:alpha w14:val="60000"/>
            </w14:srgbClr>
          </w14:shadow>
        </w:rPr>
      </w:pPr>
      <w:r w:rsidRPr="00692C6B">
        <w:rPr>
          <w:rFonts w:ascii="Impact" w:hAnsi="Impact"/>
          <w:color w:val="1F497D"/>
          <w:spacing w:val="40"/>
          <w:sz w:val="96"/>
          <w:szCs w:val="96"/>
          <w14:shadow w14:blurRad="50800" w14:dist="38100" w14:dir="2700000" w14:sx="100000" w14:sy="100000" w14:kx="0" w14:ky="0" w14:algn="tl">
            <w14:srgbClr w14:val="000000">
              <w14:alpha w14:val="60000"/>
            </w14:srgbClr>
          </w14:shadow>
        </w:rPr>
        <w:t>FY1</w:t>
      </w:r>
      <w:r w:rsidR="00064E3C" w:rsidRPr="00692C6B">
        <w:rPr>
          <w:rFonts w:ascii="Impact" w:hAnsi="Impact"/>
          <w:color w:val="1F497D"/>
          <w:spacing w:val="40"/>
          <w:sz w:val="96"/>
          <w:szCs w:val="96"/>
          <w14:shadow w14:blurRad="50800" w14:dist="38100" w14:dir="2700000" w14:sx="100000" w14:sy="100000" w14:kx="0" w14:ky="0" w14:algn="tl">
            <w14:srgbClr w14:val="000000">
              <w14:alpha w14:val="60000"/>
            </w14:srgbClr>
          </w14:shadow>
        </w:rPr>
        <w:t>4</w:t>
      </w:r>
      <w:r w:rsidR="002C17BA" w:rsidRPr="00692C6B">
        <w:rPr>
          <w:rFonts w:ascii="Impact" w:hAnsi="Impact"/>
          <w:color w:val="1F497D"/>
          <w:spacing w:val="40"/>
          <w:sz w:val="96"/>
          <w:szCs w:val="96"/>
          <w14:shadow w14:blurRad="50800" w14:dist="38100" w14:dir="2700000" w14:sx="100000" w14:sy="100000" w14:kx="0" w14:ky="0" w14:algn="tl">
            <w14:srgbClr w14:val="000000">
              <w14:alpha w14:val="60000"/>
            </w14:srgbClr>
          </w14:shadow>
        </w:rPr>
        <w:t xml:space="preserve"> </w:t>
      </w:r>
    </w:p>
    <w:p w:rsidR="00087CAF" w:rsidRPr="00692C6B" w:rsidRDefault="00087CAF" w:rsidP="002C17BA">
      <w:pPr>
        <w:rPr>
          <w:rFonts w:ascii="Impact" w:hAnsi="Impact"/>
          <w:color w:val="1F497D"/>
          <w:spacing w:val="40"/>
          <w:sz w:val="96"/>
          <w:szCs w:val="96"/>
          <w14:shadow w14:blurRad="50800" w14:dist="38100" w14:dir="2700000" w14:sx="100000" w14:sy="100000" w14:kx="0" w14:ky="0" w14:algn="tl">
            <w14:srgbClr w14:val="000000">
              <w14:alpha w14:val="60000"/>
            </w14:srgbClr>
          </w14:shadow>
        </w:rPr>
      </w:pPr>
      <w:r w:rsidRPr="00692C6B">
        <w:rPr>
          <w:rFonts w:ascii="Impact" w:hAnsi="Impact"/>
          <w:color w:val="1F497D"/>
          <w:spacing w:val="40"/>
          <w:sz w:val="96"/>
          <w:szCs w:val="96"/>
          <w14:shadow w14:blurRad="50800" w14:dist="38100" w14:dir="2700000" w14:sx="100000" w14:sy="100000" w14:kx="0" w14:ky="0" w14:algn="tl">
            <w14:srgbClr w14:val="000000">
              <w14:alpha w14:val="60000"/>
            </w14:srgbClr>
          </w14:shadow>
        </w:rPr>
        <w:t>TREND ANALYSIS</w:t>
      </w:r>
    </w:p>
    <w:p w:rsidR="002A1357" w:rsidRPr="00692C6B" w:rsidRDefault="002A1357" w:rsidP="002C17BA">
      <w:pPr>
        <w:rPr>
          <w:rFonts w:ascii="Impact" w:hAnsi="Impact"/>
          <w:i/>
          <w:color w:val="1F497D"/>
          <w:spacing w:val="40"/>
          <w:sz w:val="56"/>
          <w:szCs w:val="56"/>
          <w14:shadow w14:blurRad="50800" w14:dist="38100" w14:dir="2700000" w14:sx="100000" w14:sy="100000" w14:kx="0" w14:ky="0" w14:algn="tl">
            <w14:srgbClr w14:val="000000">
              <w14:alpha w14:val="60000"/>
            </w14:srgbClr>
          </w14:shadow>
        </w:rPr>
      </w:pPr>
      <w:r w:rsidRPr="00692C6B">
        <w:rPr>
          <w:rFonts w:ascii="Impact" w:hAnsi="Impact"/>
          <w:i/>
          <w:color w:val="1F497D"/>
          <w:spacing w:val="40"/>
          <w:sz w:val="56"/>
          <w:szCs w:val="56"/>
          <w14:shadow w14:blurRad="50800" w14:dist="38100" w14:dir="2700000" w14:sx="100000" w14:sy="100000" w14:kx="0" w14:ky="0" w14:algn="tl">
            <w14:srgbClr w14:val="000000">
              <w14:alpha w14:val="60000"/>
            </w14:srgbClr>
          </w14:shadow>
        </w:rPr>
        <w:t>Hospital Statistics</w:t>
      </w:r>
    </w:p>
    <w:p w:rsidR="000B0AD5" w:rsidRPr="002E4C3B" w:rsidRDefault="000B0AD5" w:rsidP="008065BC">
      <w:pPr>
        <w:spacing w:before="120"/>
        <w:jc w:val="right"/>
        <w:rPr>
          <w:rFonts w:ascii="Cambria" w:hAnsi="Cambria"/>
          <w:b/>
          <w:color w:val="1F497D"/>
          <w:spacing w:val="6"/>
          <w:sz w:val="32"/>
          <w:szCs w:val="32"/>
          <w14:shadow w14:blurRad="50800" w14:dist="38100" w14:dir="2700000" w14:sx="100000" w14:sy="100000" w14:kx="0" w14:ky="0" w14:algn="tl">
            <w14:srgbClr w14:val="000000">
              <w14:alpha w14:val="60000"/>
            </w14:srgbClr>
          </w14:shadow>
        </w:rPr>
      </w:pPr>
    </w:p>
    <w:p w:rsidR="001D507B" w:rsidRPr="00406DB2" w:rsidRDefault="00692AFE" w:rsidP="008065BC">
      <w:pPr>
        <w:spacing w:before="120"/>
        <w:jc w:val="right"/>
        <w:rPr>
          <w:rFonts w:ascii="Cambria" w:hAnsi="Cambria"/>
          <w:b/>
          <w:color w:val="C00000"/>
          <w:spacing w:val="6"/>
          <w:sz w:val="32"/>
          <w:szCs w:val="32"/>
          <w14:shadow w14:blurRad="50800" w14:dist="38100" w14:dir="2700000" w14:sx="100000" w14:sy="100000" w14:kx="0" w14:ky="0" w14:algn="tl">
            <w14:srgbClr w14:val="000000">
              <w14:alpha w14:val="60000"/>
            </w14:srgbClr>
          </w14:shadow>
        </w:rPr>
      </w:pPr>
      <w:r>
        <w:rPr>
          <w:rFonts w:ascii="Cambria" w:hAnsi="Cambria"/>
          <w:b/>
          <w:color w:val="C00000"/>
          <w:spacing w:val="6"/>
          <w:sz w:val="32"/>
          <w:szCs w:val="32"/>
          <w14:shadow w14:blurRad="50800" w14:dist="38100" w14:dir="2700000" w14:sx="100000" w14:sy="100000" w14:kx="0" w14:ky="0" w14:algn="tl">
            <w14:srgbClr w14:val="000000">
              <w14:alpha w14:val="60000"/>
            </w14:srgbClr>
          </w14:shadow>
        </w:rPr>
        <w:t xml:space="preserve">April </w:t>
      </w:r>
      <w:r w:rsidR="00973BCA">
        <w:rPr>
          <w:rFonts w:ascii="Cambria" w:hAnsi="Cambria"/>
          <w:b/>
          <w:color w:val="C00000"/>
          <w:spacing w:val="6"/>
          <w:sz w:val="32"/>
          <w:szCs w:val="32"/>
          <w14:shadow w14:blurRad="50800" w14:dist="38100" w14:dir="2700000" w14:sx="100000" w14:sy="100000" w14:kx="0" w14:ky="0" w14:algn="tl">
            <w14:srgbClr w14:val="000000">
              <w14:alpha w14:val="60000"/>
            </w14:srgbClr>
          </w14:shadow>
        </w:rPr>
        <w:t>1</w:t>
      </w:r>
      <w:r w:rsidR="0028346E">
        <w:rPr>
          <w:rFonts w:ascii="Cambria" w:hAnsi="Cambria"/>
          <w:b/>
          <w:color w:val="C00000"/>
          <w:spacing w:val="6"/>
          <w:sz w:val="32"/>
          <w:szCs w:val="32"/>
          <w14:shadow w14:blurRad="50800" w14:dist="38100" w14:dir="2700000" w14:sx="100000" w14:sy="100000" w14:kx="0" w14:ky="0" w14:algn="tl">
            <w14:srgbClr w14:val="000000">
              <w14:alpha w14:val="60000"/>
            </w14:srgbClr>
          </w14:shadow>
        </w:rPr>
        <w:t>3</w:t>
      </w:r>
      <w:r w:rsidR="001D507B" w:rsidRPr="00406DB2">
        <w:rPr>
          <w:rFonts w:ascii="Cambria" w:hAnsi="Cambria"/>
          <w:b/>
          <w:color w:val="C00000"/>
          <w:spacing w:val="6"/>
          <w:sz w:val="32"/>
          <w:szCs w:val="32"/>
          <w14:shadow w14:blurRad="50800" w14:dist="38100" w14:dir="2700000" w14:sx="100000" w14:sy="100000" w14:kx="0" w14:ky="0" w14:algn="tl">
            <w14:srgbClr w14:val="000000">
              <w14:alpha w14:val="60000"/>
            </w14:srgbClr>
          </w14:shadow>
        </w:rPr>
        <w:t>, 20</w:t>
      </w:r>
      <w:r w:rsidR="003C0A86" w:rsidRPr="00406DB2">
        <w:rPr>
          <w:rFonts w:ascii="Cambria" w:hAnsi="Cambria"/>
          <w:b/>
          <w:color w:val="C00000"/>
          <w:spacing w:val="6"/>
          <w:sz w:val="32"/>
          <w:szCs w:val="32"/>
          <w14:shadow w14:blurRad="50800" w14:dist="38100" w14:dir="2700000" w14:sx="100000" w14:sy="100000" w14:kx="0" w14:ky="0" w14:algn="tl">
            <w14:srgbClr w14:val="000000">
              <w14:alpha w14:val="60000"/>
            </w14:srgbClr>
          </w14:shadow>
        </w:rPr>
        <w:t>1</w:t>
      </w:r>
      <w:r w:rsidR="00064E3C" w:rsidRPr="00406DB2">
        <w:rPr>
          <w:rFonts w:ascii="Cambria" w:hAnsi="Cambria"/>
          <w:b/>
          <w:color w:val="C00000"/>
          <w:spacing w:val="6"/>
          <w:sz w:val="32"/>
          <w:szCs w:val="32"/>
          <w14:shadow w14:blurRad="50800" w14:dist="38100" w14:dir="2700000" w14:sx="100000" w14:sy="100000" w14:kx="0" w14:ky="0" w14:algn="tl">
            <w14:srgbClr w14:val="000000">
              <w14:alpha w14:val="60000"/>
            </w14:srgbClr>
          </w14:shadow>
        </w:rPr>
        <w:t>5</w:t>
      </w:r>
      <w:r w:rsidR="009D1AF6">
        <w:rPr>
          <w:rFonts w:ascii="Cambria" w:hAnsi="Cambria"/>
          <w:b/>
          <w:color w:val="C00000"/>
          <w:spacing w:val="6"/>
          <w:sz w:val="32"/>
          <w:szCs w:val="32"/>
          <w14:shadow w14:blurRad="50800" w14:dist="38100" w14:dir="2700000" w14:sx="100000" w14:sy="100000" w14:kx="0" w14:ky="0" w14:algn="tl">
            <w14:srgbClr w14:val="000000">
              <w14:alpha w14:val="60000"/>
            </w14:srgbClr>
          </w14:shadow>
        </w:rPr>
        <w:t xml:space="preserve"> (DRAFT)</w:t>
      </w:r>
    </w:p>
    <w:p w:rsidR="00E74A32" w:rsidRPr="002E4C3B" w:rsidRDefault="00E74A32" w:rsidP="001C6D0D">
      <w:pPr>
        <w:spacing w:before="120"/>
        <w:jc w:val="right"/>
        <w:rPr>
          <w:rFonts w:ascii="Cambria" w:hAnsi="Cambria"/>
          <w:b/>
          <w:color w:val="1F497D"/>
          <w:spacing w:val="6"/>
          <w:szCs w:val="22"/>
          <w14:shadow w14:blurRad="50800" w14:dist="38100" w14:dir="2700000" w14:sx="100000" w14:sy="100000" w14:kx="0" w14:ky="0" w14:algn="tl">
            <w14:srgbClr w14:val="000000">
              <w14:alpha w14:val="60000"/>
            </w14:srgbClr>
          </w14:shadow>
        </w:rPr>
      </w:pPr>
    </w:p>
    <w:p w:rsidR="001C6D0D" w:rsidRPr="002E4C3B" w:rsidRDefault="0041187C" w:rsidP="001C6D0D">
      <w:pPr>
        <w:spacing w:before="120"/>
        <w:jc w:val="right"/>
        <w:rPr>
          <w:rFonts w:ascii="Cambria" w:hAnsi="Cambria"/>
          <w:b/>
          <w:color w:val="1F497D"/>
          <w:spacing w:val="6"/>
          <w:szCs w:val="22"/>
          <w14:shadow w14:blurRad="50800" w14:dist="38100" w14:dir="2700000" w14:sx="100000" w14:sy="100000" w14:kx="0" w14:ky="0" w14:algn="tl">
            <w14:srgbClr w14:val="000000">
              <w14:alpha w14:val="60000"/>
            </w14:srgbClr>
          </w14:shadow>
        </w:rPr>
      </w:pPr>
      <w:r w:rsidRPr="002E4C3B">
        <w:rPr>
          <w:rFonts w:ascii="Cambria" w:hAnsi="Cambria"/>
          <w:b/>
          <w:color w:val="1F497D"/>
          <w:spacing w:val="6"/>
          <w:szCs w:val="22"/>
          <w14:shadow w14:blurRad="50800" w14:dist="38100" w14:dir="2700000" w14:sx="100000" w14:sy="100000" w14:kx="0" w14:ky="0" w14:algn="tl">
            <w14:srgbClr w14:val="000000">
              <w14:alpha w14:val="60000"/>
            </w14:srgbClr>
          </w14:shadow>
        </w:rPr>
        <w:t xml:space="preserve">Published by </w:t>
      </w:r>
      <w:r w:rsidR="001D507B" w:rsidRPr="002E4C3B">
        <w:rPr>
          <w:rFonts w:ascii="Cambria" w:hAnsi="Cambria"/>
          <w:b/>
          <w:color w:val="1F497D"/>
          <w:spacing w:val="6"/>
          <w:szCs w:val="22"/>
          <w14:shadow w14:blurRad="50800" w14:dist="38100" w14:dir="2700000" w14:sx="100000" w14:sy="100000" w14:kx="0" w14:ky="0" w14:algn="tl">
            <w14:srgbClr w14:val="000000">
              <w14:alpha w14:val="60000"/>
            </w14:srgbClr>
          </w14:shadow>
        </w:rPr>
        <w:t xml:space="preserve">Office of </w:t>
      </w:r>
      <w:r w:rsidR="002A1357" w:rsidRPr="002E4C3B">
        <w:rPr>
          <w:rFonts w:ascii="Cambria" w:hAnsi="Cambria"/>
          <w:b/>
          <w:color w:val="1F497D"/>
          <w:spacing w:val="6"/>
          <w:szCs w:val="22"/>
          <w14:shadow w14:blurRad="50800" w14:dist="38100" w14:dir="2700000" w14:sx="100000" w14:sy="100000" w14:kx="0" w14:ky="0" w14:algn="tl">
            <w14:srgbClr w14:val="000000">
              <w14:alpha w14:val="60000"/>
            </w14:srgbClr>
          </w14:shadow>
        </w:rPr>
        <w:t>Statistics and Reporting</w:t>
      </w:r>
      <w:r w:rsidR="00E74A32" w:rsidRPr="002E4C3B">
        <w:rPr>
          <w:rFonts w:ascii="Cambria" w:hAnsi="Cambria"/>
          <w:b/>
          <w:color w:val="1F497D"/>
          <w:spacing w:val="6"/>
          <w:szCs w:val="22"/>
          <w14:shadow w14:blurRad="50800" w14:dist="38100" w14:dir="2700000" w14:sx="100000" w14:sy="100000" w14:kx="0" w14:ky="0" w14:algn="tl">
            <w14:srgbClr w14:val="000000">
              <w14:alpha w14:val="60000"/>
            </w14:srgbClr>
          </w14:shadow>
        </w:rPr>
        <w:t xml:space="preserve">, </w:t>
      </w:r>
      <w:r w:rsidR="002A1357" w:rsidRPr="002E4C3B">
        <w:rPr>
          <w:rFonts w:ascii="Cambria" w:hAnsi="Cambria"/>
          <w:b/>
          <w:color w:val="1F497D"/>
          <w:spacing w:val="6"/>
          <w:szCs w:val="22"/>
          <w14:shadow w14:blurRad="50800" w14:dist="38100" w14:dir="2700000" w14:sx="100000" w14:sy="100000" w14:kx="0" w14:ky="0" w14:algn="tl">
            <w14:srgbClr w14:val="000000">
              <w14:alpha w14:val="60000"/>
            </w14:srgbClr>
          </w14:shadow>
        </w:rPr>
        <w:t xml:space="preserve">Saint </w:t>
      </w:r>
      <w:proofErr w:type="spellStart"/>
      <w:r w:rsidR="002A1357" w:rsidRPr="002E4C3B">
        <w:rPr>
          <w:rFonts w:ascii="Cambria" w:hAnsi="Cambria"/>
          <w:b/>
          <w:color w:val="1F497D"/>
          <w:spacing w:val="6"/>
          <w:szCs w:val="22"/>
          <w14:shadow w14:blurRad="50800" w14:dist="38100" w14:dir="2700000" w14:sx="100000" w14:sy="100000" w14:kx="0" w14:ky="0" w14:algn="tl">
            <w14:srgbClr w14:val="000000">
              <w14:alpha w14:val="60000"/>
            </w14:srgbClr>
          </w14:shadow>
        </w:rPr>
        <w:t>Elizabeths</w:t>
      </w:r>
      <w:proofErr w:type="spellEnd"/>
      <w:r w:rsidR="002A1357" w:rsidRPr="002E4C3B">
        <w:rPr>
          <w:rFonts w:ascii="Cambria" w:hAnsi="Cambria"/>
          <w:b/>
          <w:color w:val="1F497D"/>
          <w:spacing w:val="6"/>
          <w:szCs w:val="22"/>
          <w14:shadow w14:blurRad="50800" w14:dist="38100" w14:dir="2700000" w14:sx="100000" w14:sy="100000" w14:kx="0" w14:ky="0" w14:algn="tl">
            <w14:srgbClr w14:val="000000">
              <w14:alpha w14:val="60000"/>
            </w14:srgbClr>
          </w14:shadow>
        </w:rPr>
        <w:t xml:space="preserve"> Hospital</w:t>
      </w:r>
    </w:p>
    <w:p w:rsidR="001C6D0D" w:rsidRPr="002E4C3B" w:rsidRDefault="00351C20" w:rsidP="001C6D0D">
      <w:pPr>
        <w:spacing w:before="120"/>
        <w:jc w:val="right"/>
        <w:rPr>
          <w:rFonts w:ascii="Cambria" w:hAnsi="Cambria"/>
          <w:b/>
          <w:color w:val="1F497D"/>
          <w:spacing w:val="6"/>
          <w:szCs w:val="22"/>
          <w14:shadow w14:blurRad="50800" w14:dist="38100" w14:dir="2700000" w14:sx="100000" w14:sy="100000" w14:kx="0" w14:ky="0" w14:algn="tl">
            <w14:srgbClr w14:val="000000">
              <w14:alpha w14:val="60000"/>
            </w14:srgbClr>
          </w14:shadow>
        </w:rPr>
      </w:pPr>
      <w:r w:rsidRPr="002E4C3B">
        <w:rPr>
          <w:rFonts w:ascii="Cambria" w:hAnsi="Cambria"/>
          <w:b/>
          <w:color w:val="1F497D"/>
          <w:spacing w:val="6"/>
          <w:szCs w:val="22"/>
          <w14:shadow w14:blurRad="50800" w14:dist="38100" w14:dir="2700000" w14:sx="100000" w14:sy="100000" w14:kx="0" w14:ky="0" w14:algn="tl">
            <w14:srgbClr w14:val="000000">
              <w14:alpha w14:val="60000"/>
            </w14:srgbClr>
          </w14:shadow>
        </w:rPr>
        <w:t>1100 Alabama Ave., SE</w:t>
      </w:r>
      <w:r w:rsidR="0041187C" w:rsidRPr="002E4C3B">
        <w:rPr>
          <w:rFonts w:ascii="Cambria" w:hAnsi="Cambria"/>
          <w:b/>
          <w:color w:val="1F497D"/>
          <w:spacing w:val="6"/>
          <w:szCs w:val="22"/>
          <w14:shadow w14:blurRad="50800" w14:dist="38100" w14:dir="2700000" w14:sx="100000" w14:sy="100000" w14:kx="0" w14:ky="0" w14:algn="tl">
            <w14:srgbClr w14:val="000000">
              <w14:alpha w14:val="60000"/>
            </w14:srgbClr>
          </w14:shadow>
        </w:rPr>
        <w:t xml:space="preserve">, </w:t>
      </w:r>
      <w:r w:rsidRPr="002E4C3B">
        <w:rPr>
          <w:rFonts w:ascii="Cambria" w:hAnsi="Cambria"/>
          <w:b/>
          <w:color w:val="1F497D"/>
          <w:spacing w:val="6"/>
          <w:szCs w:val="22"/>
          <w14:shadow w14:blurRad="50800" w14:dist="38100" w14:dir="2700000" w14:sx="100000" w14:sy="100000" w14:kx="0" w14:ky="0" w14:algn="tl">
            <w14:srgbClr w14:val="000000">
              <w14:alpha w14:val="60000"/>
            </w14:srgbClr>
          </w14:shadow>
        </w:rPr>
        <w:t>Washington, DC 20032</w:t>
      </w:r>
    </w:p>
    <w:p w:rsidR="00351C20" w:rsidRPr="000300BF" w:rsidRDefault="002A1357" w:rsidP="001C6D0D">
      <w:pPr>
        <w:spacing w:before="120"/>
        <w:jc w:val="right"/>
        <w:rPr>
          <w:rFonts w:ascii="Cambria" w:hAnsi="Cambria"/>
          <w:b/>
          <w:szCs w:val="22"/>
        </w:rPr>
      </w:pPr>
      <w:r w:rsidRPr="002E4C3B">
        <w:rPr>
          <w:rFonts w:ascii="Cambria" w:hAnsi="Cambria"/>
          <w:b/>
          <w:color w:val="1F497D"/>
          <w:spacing w:val="6"/>
          <w:szCs w:val="22"/>
          <w14:shadow w14:blurRad="50800" w14:dist="38100" w14:dir="2700000" w14:sx="100000" w14:sy="100000" w14:kx="0" w14:ky="0" w14:algn="tl">
            <w14:srgbClr w14:val="000000">
              <w14:alpha w14:val="60000"/>
            </w14:srgbClr>
          </w14:shadow>
        </w:rPr>
        <w:sym w:font="Wingdings" w:char="F028"/>
      </w:r>
      <w:r w:rsidRPr="002E4C3B">
        <w:rPr>
          <w:rFonts w:ascii="Cambria" w:hAnsi="Cambria"/>
          <w:b/>
          <w:color w:val="1F497D"/>
          <w:spacing w:val="6"/>
          <w:szCs w:val="22"/>
          <w14:shadow w14:blurRad="50800" w14:dist="38100" w14:dir="2700000" w14:sx="100000" w14:sy="100000" w14:kx="0" w14:ky="0" w14:algn="tl">
            <w14:srgbClr w14:val="000000">
              <w14:alpha w14:val="60000"/>
            </w14:srgbClr>
          </w14:shadow>
        </w:rPr>
        <w:t xml:space="preserve"> (202)</w:t>
      </w:r>
      <w:r w:rsidR="00B06D9E" w:rsidRPr="002E4C3B">
        <w:rPr>
          <w:rFonts w:ascii="Cambria" w:hAnsi="Cambria"/>
          <w:b/>
          <w:color w:val="1F497D"/>
          <w:spacing w:val="6"/>
          <w:szCs w:val="22"/>
          <w14:shadow w14:blurRad="50800" w14:dist="38100" w14:dir="2700000" w14:sx="100000" w14:sy="100000" w14:kx="0" w14:ky="0" w14:algn="tl">
            <w14:srgbClr w14:val="000000">
              <w14:alpha w14:val="60000"/>
            </w14:srgbClr>
          </w14:shadow>
        </w:rPr>
        <w:t xml:space="preserve"> </w:t>
      </w:r>
      <w:r w:rsidRPr="002E4C3B">
        <w:rPr>
          <w:rFonts w:ascii="Cambria" w:hAnsi="Cambria"/>
          <w:b/>
          <w:color w:val="1F497D"/>
          <w:spacing w:val="6"/>
          <w:szCs w:val="22"/>
          <w14:shadow w14:blurRad="50800" w14:dist="38100" w14:dir="2700000" w14:sx="100000" w14:sy="100000" w14:kx="0" w14:ky="0" w14:algn="tl">
            <w14:srgbClr w14:val="000000">
              <w14:alpha w14:val="60000"/>
            </w14:srgbClr>
          </w14:shadow>
        </w:rPr>
        <w:t>299</w:t>
      </w:r>
      <w:r w:rsidR="00B06D9E" w:rsidRPr="002E4C3B">
        <w:rPr>
          <w:rFonts w:ascii="Cambria" w:hAnsi="Cambria"/>
          <w:b/>
          <w:color w:val="1F497D"/>
          <w:spacing w:val="6"/>
          <w:szCs w:val="22"/>
          <w14:shadow w14:blurRad="50800" w14:dist="38100" w14:dir="2700000" w14:sx="100000" w14:sy="100000" w14:kx="0" w14:ky="0" w14:algn="tl">
            <w14:srgbClr w14:val="000000">
              <w14:alpha w14:val="60000"/>
            </w14:srgbClr>
          </w14:shadow>
        </w:rPr>
        <w:t xml:space="preserve"> </w:t>
      </w:r>
      <w:r w:rsidRPr="002E4C3B">
        <w:rPr>
          <w:rFonts w:ascii="Cambria" w:hAnsi="Cambria"/>
          <w:b/>
          <w:color w:val="1F497D"/>
          <w:spacing w:val="6"/>
          <w:szCs w:val="22"/>
          <w14:shadow w14:blurRad="50800" w14:dist="38100" w14:dir="2700000" w14:sx="100000" w14:sy="100000" w14:kx="0" w14:ky="0" w14:algn="tl">
            <w14:srgbClr w14:val="000000">
              <w14:alpha w14:val="60000"/>
            </w14:srgbClr>
          </w14:shadow>
        </w:rPr>
        <w:t>-</w:t>
      </w:r>
      <w:r w:rsidR="00B06D9E" w:rsidRPr="002E4C3B">
        <w:rPr>
          <w:rFonts w:ascii="Cambria" w:hAnsi="Cambria"/>
          <w:b/>
          <w:color w:val="1F497D"/>
          <w:spacing w:val="6"/>
          <w:szCs w:val="22"/>
          <w14:shadow w14:blurRad="50800" w14:dist="38100" w14:dir="2700000" w14:sx="100000" w14:sy="100000" w14:kx="0" w14:ky="0" w14:algn="tl">
            <w14:srgbClr w14:val="000000">
              <w14:alpha w14:val="60000"/>
            </w14:srgbClr>
          </w14:shadow>
        </w:rPr>
        <w:t xml:space="preserve"> </w:t>
      </w:r>
      <w:r w:rsidRPr="002E4C3B">
        <w:rPr>
          <w:rFonts w:ascii="Cambria" w:hAnsi="Cambria"/>
          <w:b/>
          <w:color w:val="1F497D"/>
          <w:spacing w:val="6"/>
          <w:szCs w:val="22"/>
          <w14:shadow w14:blurRad="50800" w14:dist="38100" w14:dir="2700000" w14:sx="100000" w14:sy="100000" w14:kx="0" w14:ky="0" w14:algn="tl">
            <w14:srgbClr w14:val="000000">
              <w14:alpha w14:val="60000"/>
            </w14:srgbClr>
          </w14:shadow>
        </w:rPr>
        <w:t>5</w:t>
      </w:r>
      <w:r w:rsidR="00A80FA7" w:rsidRPr="002E4C3B">
        <w:rPr>
          <w:rFonts w:ascii="Cambria" w:hAnsi="Cambria"/>
          <w:b/>
          <w:color w:val="1F497D"/>
          <w:spacing w:val="6"/>
          <w:szCs w:val="22"/>
          <w14:shadow w14:blurRad="50800" w14:dist="38100" w14:dir="2700000" w14:sx="100000" w14:sy="100000" w14:kx="0" w14:ky="0" w14:algn="tl">
            <w14:srgbClr w14:val="000000">
              <w14:alpha w14:val="60000"/>
            </w14:srgbClr>
          </w14:shadow>
        </w:rPr>
        <w:t>430</w:t>
      </w:r>
    </w:p>
    <w:p w:rsidR="00031C1B" w:rsidRPr="0064391C" w:rsidRDefault="00087CAF" w:rsidP="00B22E89">
      <w:pPr>
        <w:pStyle w:val="Title"/>
      </w:pPr>
      <w:r>
        <w:br w:type="page"/>
      </w:r>
      <w:bookmarkStart w:id="1" w:name="_Toc348709493"/>
      <w:r w:rsidR="00922922" w:rsidRPr="00404DD2">
        <w:lastRenderedPageBreak/>
        <w:t xml:space="preserve">Table of </w:t>
      </w:r>
      <w:r w:rsidR="00922922" w:rsidRPr="00EB6637">
        <w:t>Contents</w:t>
      </w:r>
      <w:bookmarkEnd w:id="1"/>
    </w:p>
    <w:p w:rsidR="003A3105" w:rsidRDefault="003A3105" w:rsidP="0012461A">
      <w:pPr>
        <w:pStyle w:val="TOC1"/>
      </w:pPr>
      <w:r>
        <w:t>Executive Summary</w:t>
      </w:r>
      <w:r>
        <w:tab/>
        <w:t>6</w:t>
      </w:r>
    </w:p>
    <w:p w:rsidR="003A7C98" w:rsidRDefault="00F0373A">
      <w:pPr>
        <w:pStyle w:val="TOC1"/>
        <w:rPr>
          <w:rFonts w:asciiTheme="minorHAnsi" w:eastAsiaTheme="minorEastAsia" w:hAnsiTheme="minorHAnsi" w:cstheme="minorBidi"/>
          <w:b w:val="0"/>
          <w:color w:val="auto"/>
          <w:sz w:val="22"/>
          <w:szCs w:val="22"/>
        </w:rPr>
      </w:pPr>
      <w:r>
        <w:fldChar w:fldCharType="begin"/>
      </w:r>
      <w:r>
        <w:instrText xml:space="preserve"> TOC \o "2-3" \h \z \t "Heading 1,1,Temp,1" </w:instrText>
      </w:r>
      <w:r>
        <w:fldChar w:fldCharType="separate"/>
      </w:r>
      <w:hyperlink w:anchor="_Toc416357847" w:history="1">
        <w:r w:rsidR="003A7C98" w:rsidRPr="001869C3">
          <w:rPr>
            <w:rStyle w:val="Hyperlink"/>
          </w:rPr>
          <w:t>I.</w:t>
        </w:r>
        <w:r w:rsidR="003A7C98">
          <w:rPr>
            <w:rFonts w:asciiTheme="minorHAnsi" w:eastAsiaTheme="minorEastAsia" w:hAnsiTheme="minorHAnsi" w:cstheme="minorBidi"/>
            <w:b w:val="0"/>
            <w:color w:val="auto"/>
            <w:sz w:val="22"/>
            <w:szCs w:val="22"/>
          </w:rPr>
          <w:tab/>
        </w:r>
        <w:r w:rsidR="003A7C98" w:rsidRPr="001869C3">
          <w:rPr>
            <w:rStyle w:val="Hyperlink"/>
          </w:rPr>
          <w:t>Census, Admissions, Discharges, and Transfers</w:t>
        </w:r>
        <w:r w:rsidR="003A7C98">
          <w:rPr>
            <w:webHidden/>
          </w:rPr>
          <w:tab/>
        </w:r>
        <w:r w:rsidR="003A7C98">
          <w:rPr>
            <w:webHidden/>
          </w:rPr>
          <w:fldChar w:fldCharType="begin"/>
        </w:r>
        <w:r w:rsidR="003A7C98">
          <w:rPr>
            <w:webHidden/>
          </w:rPr>
          <w:instrText xml:space="preserve"> PAGEREF _Toc416357847 \h </w:instrText>
        </w:r>
        <w:r w:rsidR="003A7C98">
          <w:rPr>
            <w:webHidden/>
          </w:rPr>
        </w:r>
        <w:r w:rsidR="003A7C98">
          <w:rPr>
            <w:webHidden/>
          </w:rPr>
          <w:fldChar w:fldCharType="separate"/>
        </w:r>
        <w:r w:rsidR="007E3DB6">
          <w:rPr>
            <w:webHidden/>
          </w:rPr>
          <w:t>9</w:t>
        </w:r>
        <w:r w:rsidR="003A7C98">
          <w:rPr>
            <w:webHidden/>
          </w:rPr>
          <w:fldChar w:fldCharType="end"/>
        </w:r>
      </w:hyperlink>
    </w:p>
    <w:p w:rsidR="003A7C98" w:rsidRDefault="007A17C8">
      <w:pPr>
        <w:pStyle w:val="TOC2"/>
        <w:rPr>
          <w:rFonts w:asciiTheme="minorHAnsi" w:eastAsiaTheme="minorEastAsia" w:hAnsiTheme="minorHAnsi" w:cstheme="minorBidi"/>
          <w:b w:val="0"/>
          <w:szCs w:val="22"/>
        </w:rPr>
      </w:pPr>
      <w:hyperlink w:anchor="_Toc416357848" w:history="1">
        <w:r w:rsidR="003A7C98" w:rsidRPr="001869C3">
          <w:rPr>
            <w:rStyle w:val="Hyperlink"/>
          </w:rPr>
          <w:t>1.</w:t>
        </w:r>
        <w:r w:rsidR="003A7C98">
          <w:rPr>
            <w:rFonts w:asciiTheme="minorHAnsi" w:eastAsiaTheme="minorEastAsia" w:hAnsiTheme="minorHAnsi" w:cstheme="minorBidi"/>
            <w:b w:val="0"/>
            <w:szCs w:val="22"/>
          </w:rPr>
          <w:tab/>
        </w:r>
        <w:r w:rsidR="003A7C98" w:rsidRPr="001869C3">
          <w:rPr>
            <w:rStyle w:val="Hyperlink"/>
          </w:rPr>
          <w:t>Census and Patient Days</w:t>
        </w:r>
        <w:r w:rsidR="003A7C98">
          <w:rPr>
            <w:webHidden/>
          </w:rPr>
          <w:tab/>
        </w:r>
        <w:r w:rsidR="003A7C98">
          <w:rPr>
            <w:webHidden/>
          </w:rPr>
          <w:fldChar w:fldCharType="begin"/>
        </w:r>
        <w:r w:rsidR="003A7C98">
          <w:rPr>
            <w:webHidden/>
          </w:rPr>
          <w:instrText xml:space="preserve"> PAGEREF _Toc416357848 \h </w:instrText>
        </w:r>
        <w:r w:rsidR="003A7C98">
          <w:rPr>
            <w:webHidden/>
          </w:rPr>
        </w:r>
        <w:r w:rsidR="003A7C98">
          <w:rPr>
            <w:webHidden/>
          </w:rPr>
          <w:fldChar w:fldCharType="separate"/>
        </w:r>
        <w:r w:rsidR="007E3DB6">
          <w:rPr>
            <w:webHidden/>
          </w:rPr>
          <w:t>9</w:t>
        </w:r>
        <w:r w:rsidR="003A7C98">
          <w:rPr>
            <w:webHidden/>
          </w:rPr>
          <w:fldChar w:fldCharType="end"/>
        </w:r>
      </w:hyperlink>
    </w:p>
    <w:p w:rsidR="003A7C98" w:rsidRDefault="007A17C8">
      <w:pPr>
        <w:pStyle w:val="TOC2"/>
        <w:rPr>
          <w:rFonts w:asciiTheme="minorHAnsi" w:eastAsiaTheme="minorEastAsia" w:hAnsiTheme="minorHAnsi" w:cstheme="minorBidi"/>
          <w:b w:val="0"/>
          <w:szCs w:val="22"/>
        </w:rPr>
      </w:pPr>
      <w:hyperlink w:anchor="_Toc416357849" w:history="1">
        <w:r w:rsidR="003A7C98" w:rsidRPr="001869C3">
          <w:rPr>
            <w:rStyle w:val="Hyperlink"/>
          </w:rPr>
          <w:t>2.</w:t>
        </w:r>
        <w:r w:rsidR="003A7C98">
          <w:rPr>
            <w:rFonts w:asciiTheme="minorHAnsi" w:eastAsiaTheme="minorEastAsia" w:hAnsiTheme="minorHAnsi" w:cstheme="minorBidi"/>
            <w:b w:val="0"/>
            <w:szCs w:val="22"/>
          </w:rPr>
          <w:tab/>
        </w:r>
        <w:r w:rsidR="003A7C98" w:rsidRPr="001869C3">
          <w:rPr>
            <w:rStyle w:val="Hyperlink"/>
          </w:rPr>
          <w:t>Census by Legal Status</w:t>
        </w:r>
        <w:r w:rsidR="003A7C98">
          <w:rPr>
            <w:webHidden/>
          </w:rPr>
          <w:tab/>
        </w:r>
        <w:r w:rsidR="003A7C98">
          <w:rPr>
            <w:webHidden/>
          </w:rPr>
          <w:fldChar w:fldCharType="begin"/>
        </w:r>
        <w:r w:rsidR="003A7C98">
          <w:rPr>
            <w:webHidden/>
          </w:rPr>
          <w:instrText xml:space="preserve"> PAGEREF _Toc416357849 \h </w:instrText>
        </w:r>
        <w:r w:rsidR="003A7C98">
          <w:rPr>
            <w:webHidden/>
          </w:rPr>
        </w:r>
        <w:r w:rsidR="003A7C98">
          <w:rPr>
            <w:webHidden/>
          </w:rPr>
          <w:fldChar w:fldCharType="separate"/>
        </w:r>
        <w:r w:rsidR="007E3DB6">
          <w:rPr>
            <w:webHidden/>
          </w:rPr>
          <w:t>10</w:t>
        </w:r>
        <w:r w:rsidR="003A7C98">
          <w:rPr>
            <w:webHidden/>
          </w:rPr>
          <w:fldChar w:fldCharType="end"/>
        </w:r>
      </w:hyperlink>
    </w:p>
    <w:p w:rsidR="003A7C98" w:rsidRDefault="007A17C8">
      <w:pPr>
        <w:pStyle w:val="TOC2"/>
        <w:rPr>
          <w:rFonts w:asciiTheme="minorHAnsi" w:eastAsiaTheme="minorEastAsia" w:hAnsiTheme="minorHAnsi" w:cstheme="minorBidi"/>
          <w:b w:val="0"/>
          <w:szCs w:val="22"/>
        </w:rPr>
      </w:pPr>
      <w:hyperlink w:anchor="_Toc416357850" w:history="1">
        <w:r w:rsidR="003A7C98" w:rsidRPr="001869C3">
          <w:rPr>
            <w:rStyle w:val="Hyperlink"/>
          </w:rPr>
          <w:t>3.</w:t>
        </w:r>
        <w:r w:rsidR="003A7C98">
          <w:rPr>
            <w:rFonts w:asciiTheme="minorHAnsi" w:eastAsiaTheme="minorEastAsia" w:hAnsiTheme="minorHAnsi" w:cstheme="minorBidi"/>
            <w:b w:val="0"/>
            <w:szCs w:val="22"/>
          </w:rPr>
          <w:tab/>
        </w:r>
        <w:r w:rsidR="003A7C98" w:rsidRPr="001869C3">
          <w:rPr>
            <w:rStyle w:val="Hyperlink"/>
          </w:rPr>
          <w:t>Admissions</w:t>
        </w:r>
        <w:r w:rsidR="003A7C98">
          <w:rPr>
            <w:webHidden/>
          </w:rPr>
          <w:tab/>
        </w:r>
        <w:r w:rsidR="003A7C98">
          <w:rPr>
            <w:webHidden/>
          </w:rPr>
          <w:fldChar w:fldCharType="begin"/>
        </w:r>
        <w:r w:rsidR="003A7C98">
          <w:rPr>
            <w:webHidden/>
          </w:rPr>
          <w:instrText xml:space="preserve"> PAGEREF _Toc416357850 \h </w:instrText>
        </w:r>
        <w:r w:rsidR="003A7C98">
          <w:rPr>
            <w:webHidden/>
          </w:rPr>
        </w:r>
        <w:r w:rsidR="003A7C98">
          <w:rPr>
            <w:webHidden/>
          </w:rPr>
          <w:fldChar w:fldCharType="separate"/>
        </w:r>
        <w:r w:rsidR="007E3DB6">
          <w:rPr>
            <w:webHidden/>
          </w:rPr>
          <w:t>11</w:t>
        </w:r>
        <w:r w:rsidR="003A7C98">
          <w:rPr>
            <w:webHidden/>
          </w:rPr>
          <w:fldChar w:fldCharType="end"/>
        </w:r>
      </w:hyperlink>
    </w:p>
    <w:p w:rsidR="003A7C98" w:rsidRDefault="007A17C8">
      <w:pPr>
        <w:pStyle w:val="TOC2"/>
        <w:rPr>
          <w:rFonts w:asciiTheme="minorHAnsi" w:eastAsiaTheme="minorEastAsia" w:hAnsiTheme="minorHAnsi" w:cstheme="minorBidi"/>
          <w:b w:val="0"/>
          <w:szCs w:val="22"/>
        </w:rPr>
      </w:pPr>
      <w:hyperlink w:anchor="_Toc416357851" w:history="1">
        <w:r w:rsidR="003A7C98" w:rsidRPr="001869C3">
          <w:rPr>
            <w:rStyle w:val="Hyperlink"/>
          </w:rPr>
          <w:t>4.</w:t>
        </w:r>
        <w:r w:rsidR="003A7C98">
          <w:rPr>
            <w:rFonts w:asciiTheme="minorHAnsi" w:eastAsiaTheme="minorEastAsia" w:hAnsiTheme="minorHAnsi" w:cstheme="minorBidi"/>
            <w:b w:val="0"/>
            <w:szCs w:val="22"/>
          </w:rPr>
          <w:tab/>
        </w:r>
        <w:r w:rsidR="003A7C98" w:rsidRPr="001869C3">
          <w:rPr>
            <w:rStyle w:val="Hyperlink"/>
          </w:rPr>
          <w:t>Discharges</w:t>
        </w:r>
        <w:r w:rsidR="003A7C98">
          <w:rPr>
            <w:webHidden/>
          </w:rPr>
          <w:tab/>
        </w:r>
        <w:r w:rsidR="003A7C98">
          <w:rPr>
            <w:webHidden/>
          </w:rPr>
          <w:fldChar w:fldCharType="begin"/>
        </w:r>
        <w:r w:rsidR="003A7C98">
          <w:rPr>
            <w:webHidden/>
          </w:rPr>
          <w:instrText xml:space="preserve"> PAGEREF _Toc416357851 \h </w:instrText>
        </w:r>
        <w:r w:rsidR="003A7C98">
          <w:rPr>
            <w:webHidden/>
          </w:rPr>
        </w:r>
        <w:r w:rsidR="003A7C98">
          <w:rPr>
            <w:webHidden/>
          </w:rPr>
          <w:fldChar w:fldCharType="separate"/>
        </w:r>
        <w:r w:rsidR="007E3DB6">
          <w:rPr>
            <w:webHidden/>
          </w:rPr>
          <w:t>13</w:t>
        </w:r>
        <w:r w:rsidR="003A7C98">
          <w:rPr>
            <w:webHidden/>
          </w:rPr>
          <w:fldChar w:fldCharType="end"/>
        </w:r>
      </w:hyperlink>
    </w:p>
    <w:p w:rsidR="003A7C98" w:rsidRDefault="007A17C8">
      <w:pPr>
        <w:pStyle w:val="TOC2"/>
        <w:rPr>
          <w:rFonts w:asciiTheme="minorHAnsi" w:eastAsiaTheme="minorEastAsia" w:hAnsiTheme="minorHAnsi" w:cstheme="minorBidi"/>
          <w:b w:val="0"/>
          <w:szCs w:val="22"/>
        </w:rPr>
      </w:pPr>
      <w:hyperlink w:anchor="_Toc416357852" w:history="1">
        <w:r w:rsidR="003A7C98" w:rsidRPr="001869C3">
          <w:rPr>
            <w:rStyle w:val="Hyperlink"/>
          </w:rPr>
          <w:t>5.</w:t>
        </w:r>
        <w:r w:rsidR="003A7C98">
          <w:rPr>
            <w:rFonts w:asciiTheme="minorHAnsi" w:eastAsiaTheme="minorEastAsia" w:hAnsiTheme="minorHAnsi" w:cstheme="minorBidi"/>
            <w:b w:val="0"/>
            <w:szCs w:val="22"/>
          </w:rPr>
          <w:tab/>
        </w:r>
        <w:r w:rsidR="003A7C98" w:rsidRPr="001869C3">
          <w:rPr>
            <w:rStyle w:val="Hyperlink"/>
          </w:rPr>
          <w:t>Admissions and Discharges</w:t>
        </w:r>
        <w:r w:rsidR="003A7C98">
          <w:rPr>
            <w:webHidden/>
          </w:rPr>
          <w:tab/>
        </w:r>
        <w:r w:rsidR="003A7C98">
          <w:rPr>
            <w:webHidden/>
          </w:rPr>
          <w:fldChar w:fldCharType="begin"/>
        </w:r>
        <w:r w:rsidR="003A7C98">
          <w:rPr>
            <w:webHidden/>
          </w:rPr>
          <w:instrText xml:space="preserve"> PAGEREF _Toc416357852 \h </w:instrText>
        </w:r>
        <w:r w:rsidR="003A7C98">
          <w:rPr>
            <w:webHidden/>
          </w:rPr>
        </w:r>
        <w:r w:rsidR="003A7C98">
          <w:rPr>
            <w:webHidden/>
          </w:rPr>
          <w:fldChar w:fldCharType="separate"/>
        </w:r>
        <w:r w:rsidR="007E3DB6">
          <w:rPr>
            <w:webHidden/>
          </w:rPr>
          <w:t>13</w:t>
        </w:r>
        <w:r w:rsidR="003A7C98">
          <w:rPr>
            <w:webHidden/>
          </w:rPr>
          <w:fldChar w:fldCharType="end"/>
        </w:r>
      </w:hyperlink>
    </w:p>
    <w:p w:rsidR="003A7C98" w:rsidRDefault="007A17C8">
      <w:pPr>
        <w:pStyle w:val="TOC2"/>
        <w:rPr>
          <w:rFonts w:asciiTheme="minorHAnsi" w:eastAsiaTheme="minorEastAsia" w:hAnsiTheme="minorHAnsi" w:cstheme="minorBidi"/>
          <w:b w:val="0"/>
          <w:szCs w:val="22"/>
        </w:rPr>
      </w:pPr>
      <w:hyperlink w:anchor="_Toc416357853" w:history="1">
        <w:r w:rsidR="003A7C98" w:rsidRPr="001869C3">
          <w:rPr>
            <w:rStyle w:val="Hyperlink"/>
          </w:rPr>
          <w:t>6.</w:t>
        </w:r>
        <w:r w:rsidR="003A7C98">
          <w:rPr>
            <w:rFonts w:asciiTheme="minorHAnsi" w:eastAsiaTheme="minorEastAsia" w:hAnsiTheme="minorHAnsi" w:cstheme="minorBidi"/>
            <w:b w:val="0"/>
            <w:szCs w:val="22"/>
          </w:rPr>
          <w:tab/>
        </w:r>
        <w:r w:rsidR="003A7C98" w:rsidRPr="001869C3">
          <w:rPr>
            <w:rStyle w:val="Hyperlink"/>
          </w:rPr>
          <w:t>Inter-Unit Transfers</w:t>
        </w:r>
        <w:r w:rsidR="003A7C98">
          <w:rPr>
            <w:webHidden/>
          </w:rPr>
          <w:tab/>
        </w:r>
        <w:r w:rsidR="003A7C98">
          <w:rPr>
            <w:webHidden/>
          </w:rPr>
          <w:fldChar w:fldCharType="begin"/>
        </w:r>
        <w:r w:rsidR="003A7C98">
          <w:rPr>
            <w:webHidden/>
          </w:rPr>
          <w:instrText xml:space="preserve"> PAGEREF _Toc416357853 \h </w:instrText>
        </w:r>
        <w:r w:rsidR="003A7C98">
          <w:rPr>
            <w:webHidden/>
          </w:rPr>
        </w:r>
        <w:r w:rsidR="003A7C98">
          <w:rPr>
            <w:webHidden/>
          </w:rPr>
          <w:fldChar w:fldCharType="separate"/>
        </w:r>
        <w:r w:rsidR="007E3DB6">
          <w:rPr>
            <w:webHidden/>
          </w:rPr>
          <w:t>15</w:t>
        </w:r>
        <w:r w:rsidR="003A7C98">
          <w:rPr>
            <w:webHidden/>
          </w:rPr>
          <w:fldChar w:fldCharType="end"/>
        </w:r>
      </w:hyperlink>
    </w:p>
    <w:p w:rsidR="003A7C98" w:rsidRDefault="007A17C8">
      <w:pPr>
        <w:pStyle w:val="TOC2"/>
        <w:rPr>
          <w:rFonts w:asciiTheme="minorHAnsi" w:eastAsiaTheme="minorEastAsia" w:hAnsiTheme="minorHAnsi" w:cstheme="minorBidi"/>
          <w:b w:val="0"/>
          <w:szCs w:val="22"/>
        </w:rPr>
      </w:pPr>
      <w:hyperlink w:anchor="_Toc416357854" w:history="1">
        <w:r w:rsidR="003A7C98" w:rsidRPr="001869C3">
          <w:rPr>
            <w:rStyle w:val="Hyperlink"/>
          </w:rPr>
          <w:t>7.</w:t>
        </w:r>
        <w:r w:rsidR="003A7C98">
          <w:rPr>
            <w:rFonts w:asciiTheme="minorHAnsi" w:eastAsiaTheme="minorEastAsia" w:hAnsiTheme="minorHAnsi" w:cstheme="minorBidi"/>
            <w:b w:val="0"/>
            <w:szCs w:val="22"/>
          </w:rPr>
          <w:tab/>
        </w:r>
        <w:r w:rsidR="003A7C98" w:rsidRPr="001869C3">
          <w:rPr>
            <w:rStyle w:val="Hyperlink"/>
          </w:rPr>
          <w:t>Leaves</w:t>
        </w:r>
        <w:r w:rsidR="003A7C98">
          <w:rPr>
            <w:webHidden/>
          </w:rPr>
          <w:tab/>
        </w:r>
        <w:r w:rsidR="003A7C98">
          <w:rPr>
            <w:webHidden/>
          </w:rPr>
          <w:fldChar w:fldCharType="begin"/>
        </w:r>
        <w:r w:rsidR="003A7C98">
          <w:rPr>
            <w:webHidden/>
          </w:rPr>
          <w:instrText xml:space="preserve"> PAGEREF _Toc416357854 \h </w:instrText>
        </w:r>
        <w:r w:rsidR="003A7C98">
          <w:rPr>
            <w:webHidden/>
          </w:rPr>
        </w:r>
        <w:r w:rsidR="003A7C98">
          <w:rPr>
            <w:webHidden/>
          </w:rPr>
          <w:fldChar w:fldCharType="separate"/>
        </w:r>
        <w:r w:rsidR="007E3DB6">
          <w:rPr>
            <w:webHidden/>
          </w:rPr>
          <w:t>15</w:t>
        </w:r>
        <w:r w:rsidR="003A7C98">
          <w:rPr>
            <w:webHidden/>
          </w:rPr>
          <w:fldChar w:fldCharType="end"/>
        </w:r>
      </w:hyperlink>
    </w:p>
    <w:p w:rsidR="003A7C98" w:rsidRDefault="007A17C8">
      <w:pPr>
        <w:pStyle w:val="TOC1"/>
        <w:rPr>
          <w:rFonts w:asciiTheme="minorHAnsi" w:eastAsiaTheme="minorEastAsia" w:hAnsiTheme="minorHAnsi" w:cstheme="minorBidi"/>
          <w:b w:val="0"/>
          <w:color w:val="auto"/>
          <w:sz w:val="22"/>
          <w:szCs w:val="22"/>
        </w:rPr>
      </w:pPr>
      <w:hyperlink w:anchor="_Toc416357855" w:history="1">
        <w:r w:rsidR="003A7C98" w:rsidRPr="001869C3">
          <w:rPr>
            <w:rStyle w:val="Hyperlink"/>
          </w:rPr>
          <w:t>II.</w:t>
        </w:r>
        <w:r w:rsidR="003A7C98">
          <w:rPr>
            <w:rFonts w:asciiTheme="minorHAnsi" w:eastAsiaTheme="minorEastAsia" w:hAnsiTheme="minorHAnsi" w:cstheme="minorBidi"/>
            <w:b w:val="0"/>
            <w:color w:val="auto"/>
            <w:sz w:val="22"/>
            <w:szCs w:val="22"/>
          </w:rPr>
          <w:tab/>
        </w:r>
        <w:r w:rsidR="003A7C98" w:rsidRPr="001869C3">
          <w:rPr>
            <w:rStyle w:val="Hyperlink"/>
          </w:rPr>
          <w:t>Demographic Characteristics of Individuals in Care</w:t>
        </w:r>
        <w:r w:rsidR="003A7C98">
          <w:rPr>
            <w:webHidden/>
          </w:rPr>
          <w:tab/>
        </w:r>
        <w:r w:rsidR="003A7C98">
          <w:rPr>
            <w:webHidden/>
          </w:rPr>
          <w:fldChar w:fldCharType="begin"/>
        </w:r>
        <w:r w:rsidR="003A7C98">
          <w:rPr>
            <w:webHidden/>
          </w:rPr>
          <w:instrText xml:space="preserve"> PAGEREF _Toc416357855 \h </w:instrText>
        </w:r>
        <w:r w:rsidR="003A7C98">
          <w:rPr>
            <w:webHidden/>
          </w:rPr>
        </w:r>
        <w:r w:rsidR="003A7C98">
          <w:rPr>
            <w:webHidden/>
          </w:rPr>
          <w:fldChar w:fldCharType="separate"/>
        </w:r>
        <w:r w:rsidR="007E3DB6">
          <w:rPr>
            <w:webHidden/>
          </w:rPr>
          <w:t>18</w:t>
        </w:r>
        <w:r w:rsidR="003A7C98">
          <w:rPr>
            <w:webHidden/>
          </w:rPr>
          <w:fldChar w:fldCharType="end"/>
        </w:r>
      </w:hyperlink>
    </w:p>
    <w:p w:rsidR="003A7C98" w:rsidRDefault="007A17C8">
      <w:pPr>
        <w:pStyle w:val="TOC2"/>
        <w:rPr>
          <w:rFonts w:asciiTheme="minorHAnsi" w:eastAsiaTheme="minorEastAsia" w:hAnsiTheme="minorHAnsi" w:cstheme="minorBidi"/>
          <w:b w:val="0"/>
          <w:szCs w:val="22"/>
        </w:rPr>
      </w:pPr>
      <w:hyperlink w:anchor="_Toc416357856" w:history="1">
        <w:r w:rsidR="003A7C98" w:rsidRPr="001869C3">
          <w:rPr>
            <w:rStyle w:val="Hyperlink"/>
          </w:rPr>
          <w:t>1.</w:t>
        </w:r>
        <w:r w:rsidR="003A7C98">
          <w:rPr>
            <w:rFonts w:asciiTheme="minorHAnsi" w:eastAsiaTheme="minorEastAsia" w:hAnsiTheme="minorHAnsi" w:cstheme="minorBidi"/>
            <w:b w:val="0"/>
            <w:szCs w:val="22"/>
          </w:rPr>
          <w:tab/>
        </w:r>
        <w:r w:rsidR="003A7C98" w:rsidRPr="001869C3">
          <w:rPr>
            <w:rStyle w:val="Hyperlink"/>
          </w:rPr>
          <w:t>Age Distribution</w:t>
        </w:r>
        <w:r w:rsidR="003A7C98">
          <w:rPr>
            <w:webHidden/>
          </w:rPr>
          <w:tab/>
        </w:r>
        <w:r w:rsidR="003A7C98">
          <w:rPr>
            <w:webHidden/>
          </w:rPr>
          <w:fldChar w:fldCharType="begin"/>
        </w:r>
        <w:r w:rsidR="003A7C98">
          <w:rPr>
            <w:webHidden/>
          </w:rPr>
          <w:instrText xml:space="preserve"> PAGEREF _Toc416357856 \h </w:instrText>
        </w:r>
        <w:r w:rsidR="003A7C98">
          <w:rPr>
            <w:webHidden/>
          </w:rPr>
        </w:r>
        <w:r w:rsidR="003A7C98">
          <w:rPr>
            <w:webHidden/>
          </w:rPr>
          <w:fldChar w:fldCharType="separate"/>
        </w:r>
        <w:r w:rsidR="007E3DB6">
          <w:rPr>
            <w:webHidden/>
          </w:rPr>
          <w:t>18</w:t>
        </w:r>
        <w:r w:rsidR="003A7C98">
          <w:rPr>
            <w:webHidden/>
          </w:rPr>
          <w:fldChar w:fldCharType="end"/>
        </w:r>
      </w:hyperlink>
    </w:p>
    <w:p w:rsidR="003A7C98" w:rsidRDefault="007A17C8">
      <w:pPr>
        <w:pStyle w:val="TOC2"/>
        <w:rPr>
          <w:rFonts w:asciiTheme="minorHAnsi" w:eastAsiaTheme="minorEastAsia" w:hAnsiTheme="minorHAnsi" w:cstheme="minorBidi"/>
          <w:b w:val="0"/>
          <w:szCs w:val="22"/>
        </w:rPr>
      </w:pPr>
      <w:hyperlink w:anchor="_Toc416357857" w:history="1">
        <w:r w:rsidR="003A7C98" w:rsidRPr="001869C3">
          <w:rPr>
            <w:rStyle w:val="Hyperlink"/>
          </w:rPr>
          <w:t>2.</w:t>
        </w:r>
        <w:r w:rsidR="003A7C98">
          <w:rPr>
            <w:rFonts w:asciiTheme="minorHAnsi" w:eastAsiaTheme="minorEastAsia" w:hAnsiTheme="minorHAnsi" w:cstheme="minorBidi"/>
            <w:b w:val="0"/>
            <w:szCs w:val="22"/>
          </w:rPr>
          <w:tab/>
        </w:r>
        <w:r w:rsidR="003A7C98" w:rsidRPr="001869C3">
          <w:rPr>
            <w:rStyle w:val="Hyperlink"/>
          </w:rPr>
          <w:t>Gender Distribution</w:t>
        </w:r>
        <w:r w:rsidR="003A7C98">
          <w:rPr>
            <w:webHidden/>
          </w:rPr>
          <w:tab/>
        </w:r>
        <w:r w:rsidR="003A7C98">
          <w:rPr>
            <w:webHidden/>
          </w:rPr>
          <w:fldChar w:fldCharType="begin"/>
        </w:r>
        <w:r w:rsidR="003A7C98">
          <w:rPr>
            <w:webHidden/>
          </w:rPr>
          <w:instrText xml:space="preserve"> PAGEREF _Toc416357857 \h </w:instrText>
        </w:r>
        <w:r w:rsidR="003A7C98">
          <w:rPr>
            <w:webHidden/>
          </w:rPr>
        </w:r>
        <w:r w:rsidR="003A7C98">
          <w:rPr>
            <w:webHidden/>
          </w:rPr>
          <w:fldChar w:fldCharType="separate"/>
        </w:r>
        <w:r w:rsidR="007E3DB6">
          <w:rPr>
            <w:webHidden/>
          </w:rPr>
          <w:t>19</w:t>
        </w:r>
        <w:r w:rsidR="003A7C98">
          <w:rPr>
            <w:webHidden/>
          </w:rPr>
          <w:fldChar w:fldCharType="end"/>
        </w:r>
      </w:hyperlink>
    </w:p>
    <w:p w:rsidR="003A7C98" w:rsidRDefault="007A17C8">
      <w:pPr>
        <w:pStyle w:val="TOC2"/>
        <w:rPr>
          <w:rFonts w:asciiTheme="minorHAnsi" w:eastAsiaTheme="minorEastAsia" w:hAnsiTheme="minorHAnsi" w:cstheme="minorBidi"/>
          <w:b w:val="0"/>
          <w:szCs w:val="22"/>
        </w:rPr>
      </w:pPr>
      <w:hyperlink w:anchor="_Toc416357858" w:history="1">
        <w:r w:rsidR="003A7C98" w:rsidRPr="001869C3">
          <w:rPr>
            <w:rStyle w:val="Hyperlink"/>
          </w:rPr>
          <w:t>3.</w:t>
        </w:r>
        <w:r w:rsidR="003A7C98">
          <w:rPr>
            <w:rFonts w:asciiTheme="minorHAnsi" w:eastAsiaTheme="minorEastAsia" w:hAnsiTheme="minorHAnsi" w:cstheme="minorBidi"/>
            <w:b w:val="0"/>
            <w:szCs w:val="22"/>
          </w:rPr>
          <w:tab/>
        </w:r>
        <w:r w:rsidR="003A7C98" w:rsidRPr="001869C3">
          <w:rPr>
            <w:rStyle w:val="Hyperlink"/>
          </w:rPr>
          <w:t>Race/Ethnicity and Primary Language</w:t>
        </w:r>
        <w:r w:rsidR="003A7C98">
          <w:rPr>
            <w:webHidden/>
          </w:rPr>
          <w:tab/>
        </w:r>
        <w:r w:rsidR="003A7C98">
          <w:rPr>
            <w:webHidden/>
          </w:rPr>
          <w:fldChar w:fldCharType="begin"/>
        </w:r>
        <w:r w:rsidR="003A7C98">
          <w:rPr>
            <w:webHidden/>
          </w:rPr>
          <w:instrText xml:space="preserve"> PAGEREF _Toc416357858 \h </w:instrText>
        </w:r>
        <w:r w:rsidR="003A7C98">
          <w:rPr>
            <w:webHidden/>
          </w:rPr>
        </w:r>
        <w:r w:rsidR="003A7C98">
          <w:rPr>
            <w:webHidden/>
          </w:rPr>
          <w:fldChar w:fldCharType="separate"/>
        </w:r>
        <w:r w:rsidR="007E3DB6">
          <w:rPr>
            <w:webHidden/>
          </w:rPr>
          <w:t>20</w:t>
        </w:r>
        <w:r w:rsidR="003A7C98">
          <w:rPr>
            <w:webHidden/>
          </w:rPr>
          <w:fldChar w:fldCharType="end"/>
        </w:r>
      </w:hyperlink>
    </w:p>
    <w:p w:rsidR="003A7C98" w:rsidRDefault="007A17C8">
      <w:pPr>
        <w:pStyle w:val="TOC2"/>
        <w:rPr>
          <w:rFonts w:asciiTheme="minorHAnsi" w:eastAsiaTheme="minorEastAsia" w:hAnsiTheme="minorHAnsi" w:cstheme="minorBidi"/>
          <w:b w:val="0"/>
          <w:szCs w:val="22"/>
        </w:rPr>
      </w:pPr>
      <w:hyperlink w:anchor="_Toc416357859" w:history="1">
        <w:r w:rsidR="003A7C98" w:rsidRPr="001869C3">
          <w:rPr>
            <w:rStyle w:val="Hyperlink"/>
          </w:rPr>
          <w:t>4.</w:t>
        </w:r>
        <w:r w:rsidR="003A7C98">
          <w:rPr>
            <w:rFonts w:asciiTheme="minorHAnsi" w:eastAsiaTheme="minorEastAsia" w:hAnsiTheme="minorHAnsi" w:cstheme="minorBidi"/>
            <w:b w:val="0"/>
            <w:szCs w:val="22"/>
          </w:rPr>
          <w:tab/>
        </w:r>
        <w:r w:rsidR="003A7C98" w:rsidRPr="001869C3">
          <w:rPr>
            <w:rStyle w:val="Hyperlink"/>
          </w:rPr>
          <w:t>Marital Status</w:t>
        </w:r>
        <w:r w:rsidR="003A7C98">
          <w:rPr>
            <w:webHidden/>
          </w:rPr>
          <w:tab/>
        </w:r>
        <w:r w:rsidR="003A7C98">
          <w:rPr>
            <w:webHidden/>
          </w:rPr>
          <w:fldChar w:fldCharType="begin"/>
        </w:r>
        <w:r w:rsidR="003A7C98">
          <w:rPr>
            <w:webHidden/>
          </w:rPr>
          <w:instrText xml:space="preserve"> PAGEREF _Toc416357859 \h </w:instrText>
        </w:r>
        <w:r w:rsidR="003A7C98">
          <w:rPr>
            <w:webHidden/>
          </w:rPr>
        </w:r>
        <w:r w:rsidR="003A7C98">
          <w:rPr>
            <w:webHidden/>
          </w:rPr>
          <w:fldChar w:fldCharType="separate"/>
        </w:r>
        <w:r w:rsidR="007E3DB6">
          <w:rPr>
            <w:webHidden/>
          </w:rPr>
          <w:t>20</w:t>
        </w:r>
        <w:r w:rsidR="003A7C98">
          <w:rPr>
            <w:webHidden/>
          </w:rPr>
          <w:fldChar w:fldCharType="end"/>
        </w:r>
      </w:hyperlink>
    </w:p>
    <w:p w:rsidR="003A7C98" w:rsidRDefault="007A17C8">
      <w:pPr>
        <w:pStyle w:val="TOC2"/>
        <w:rPr>
          <w:rFonts w:asciiTheme="minorHAnsi" w:eastAsiaTheme="minorEastAsia" w:hAnsiTheme="minorHAnsi" w:cstheme="minorBidi"/>
          <w:b w:val="0"/>
          <w:szCs w:val="22"/>
        </w:rPr>
      </w:pPr>
      <w:hyperlink w:anchor="_Toc416357860" w:history="1">
        <w:r w:rsidR="003A7C98" w:rsidRPr="001869C3">
          <w:rPr>
            <w:rStyle w:val="Hyperlink"/>
          </w:rPr>
          <w:t>5.</w:t>
        </w:r>
        <w:r w:rsidR="003A7C98">
          <w:rPr>
            <w:rFonts w:asciiTheme="minorHAnsi" w:eastAsiaTheme="minorEastAsia" w:hAnsiTheme="minorHAnsi" w:cstheme="minorBidi"/>
            <w:b w:val="0"/>
            <w:szCs w:val="22"/>
          </w:rPr>
          <w:tab/>
        </w:r>
        <w:r w:rsidR="003A7C98" w:rsidRPr="001869C3">
          <w:rPr>
            <w:rStyle w:val="Hyperlink"/>
          </w:rPr>
          <w:t>Religion &amp; Education</w:t>
        </w:r>
        <w:r w:rsidR="003A7C98">
          <w:rPr>
            <w:webHidden/>
          </w:rPr>
          <w:tab/>
        </w:r>
        <w:r w:rsidR="003A7C98">
          <w:rPr>
            <w:webHidden/>
          </w:rPr>
          <w:fldChar w:fldCharType="begin"/>
        </w:r>
        <w:r w:rsidR="003A7C98">
          <w:rPr>
            <w:webHidden/>
          </w:rPr>
          <w:instrText xml:space="preserve"> PAGEREF _Toc416357860 \h </w:instrText>
        </w:r>
        <w:r w:rsidR="003A7C98">
          <w:rPr>
            <w:webHidden/>
          </w:rPr>
        </w:r>
        <w:r w:rsidR="003A7C98">
          <w:rPr>
            <w:webHidden/>
          </w:rPr>
          <w:fldChar w:fldCharType="separate"/>
        </w:r>
        <w:r w:rsidR="007E3DB6">
          <w:rPr>
            <w:webHidden/>
          </w:rPr>
          <w:t>20</w:t>
        </w:r>
        <w:r w:rsidR="003A7C98">
          <w:rPr>
            <w:webHidden/>
          </w:rPr>
          <w:fldChar w:fldCharType="end"/>
        </w:r>
      </w:hyperlink>
    </w:p>
    <w:p w:rsidR="003A7C98" w:rsidRDefault="007A17C8">
      <w:pPr>
        <w:pStyle w:val="TOC1"/>
        <w:rPr>
          <w:rFonts w:asciiTheme="minorHAnsi" w:eastAsiaTheme="minorEastAsia" w:hAnsiTheme="minorHAnsi" w:cstheme="minorBidi"/>
          <w:b w:val="0"/>
          <w:color w:val="auto"/>
          <w:sz w:val="22"/>
          <w:szCs w:val="22"/>
        </w:rPr>
      </w:pPr>
      <w:hyperlink w:anchor="_Toc416357861" w:history="1">
        <w:r w:rsidR="003A7C98" w:rsidRPr="001869C3">
          <w:rPr>
            <w:rStyle w:val="Hyperlink"/>
          </w:rPr>
          <w:t>III.</w:t>
        </w:r>
        <w:r w:rsidR="003A7C98">
          <w:rPr>
            <w:rFonts w:asciiTheme="minorHAnsi" w:eastAsiaTheme="minorEastAsia" w:hAnsiTheme="minorHAnsi" w:cstheme="minorBidi"/>
            <w:b w:val="0"/>
            <w:color w:val="auto"/>
            <w:sz w:val="22"/>
            <w:szCs w:val="22"/>
          </w:rPr>
          <w:tab/>
        </w:r>
        <w:r w:rsidR="003A7C98" w:rsidRPr="001869C3">
          <w:rPr>
            <w:rStyle w:val="Hyperlink"/>
          </w:rPr>
          <w:t>Length of Stay</w:t>
        </w:r>
        <w:r w:rsidR="003A7C98">
          <w:rPr>
            <w:webHidden/>
          </w:rPr>
          <w:tab/>
        </w:r>
        <w:r w:rsidR="003A7C98">
          <w:rPr>
            <w:webHidden/>
          </w:rPr>
          <w:fldChar w:fldCharType="begin"/>
        </w:r>
        <w:r w:rsidR="003A7C98">
          <w:rPr>
            <w:webHidden/>
          </w:rPr>
          <w:instrText xml:space="preserve"> PAGEREF _Toc416357861 \h </w:instrText>
        </w:r>
        <w:r w:rsidR="003A7C98">
          <w:rPr>
            <w:webHidden/>
          </w:rPr>
        </w:r>
        <w:r w:rsidR="003A7C98">
          <w:rPr>
            <w:webHidden/>
          </w:rPr>
          <w:fldChar w:fldCharType="separate"/>
        </w:r>
        <w:r w:rsidR="007E3DB6">
          <w:rPr>
            <w:webHidden/>
          </w:rPr>
          <w:t>22</w:t>
        </w:r>
        <w:r w:rsidR="003A7C98">
          <w:rPr>
            <w:webHidden/>
          </w:rPr>
          <w:fldChar w:fldCharType="end"/>
        </w:r>
      </w:hyperlink>
    </w:p>
    <w:p w:rsidR="003A7C98" w:rsidRDefault="007A17C8">
      <w:pPr>
        <w:pStyle w:val="TOC2"/>
        <w:rPr>
          <w:rFonts w:asciiTheme="minorHAnsi" w:eastAsiaTheme="minorEastAsia" w:hAnsiTheme="minorHAnsi" w:cstheme="minorBidi"/>
          <w:b w:val="0"/>
          <w:szCs w:val="22"/>
        </w:rPr>
      </w:pPr>
      <w:hyperlink w:anchor="_Toc416357862" w:history="1">
        <w:r w:rsidR="003A7C98" w:rsidRPr="001869C3">
          <w:rPr>
            <w:rStyle w:val="Hyperlink"/>
          </w:rPr>
          <w:t>1.</w:t>
        </w:r>
        <w:r w:rsidR="003A7C98">
          <w:rPr>
            <w:rFonts w:asciiTheme="minorHAnsi" w:eastAsiaTheme="minorEastAsia" w:hAnsiTheme="minorHAnsi" w:cstheme="minorBidi"/>
            <w:b w:val="0"/>
            <w:szCs w:val="22"/>
          </w:rPr>
          <w:tab/>
        </w:r>
        <w:r w:rsidR="003A7C98" w:rsidRPr="001869C3">
          <w:rPr>
            <w:rStyle w:val="Hyperlink"/>
          </w:rPr>
          <w:t>Length of Stay of Current Population</w:t>
        </w:r>
        <w:r w:rsidR="003A7C98">
          <w:rPr>
            <w:webHidden/>
          </w:rPr>
          <w:tab/>
        </w:r>
        <w:r w:rsidR="003A7C98">
          <w:rPr>
            <w:webHidden/>
          </w:rPr>
          <w:fldChar w:fldCharType="begin"/>
        </w:r>
        <w:r w:rsidR="003A7C98">
          <w:rPr>
            <w:webHidden/>
          </w:rPr>
          <w:instrText xml:space="preserve"> PAGEREF _Toc416357862 \h </w:instrText>
        </w:r>
        <w:r w:rsidR="003A7C98">
          <w:rPr>
            <w:webHidden/>
          </w:rPr>
        </w:r>
        <w:r w:rsidR="003A7C98">
          <w:rPr>
            <w:webHidden/>
          </w:rPr>
          <w:fldChar w:fldCharType="separate"/>
        </w:r>
        <w:r w:rsidR="007E3DB6">
          <w:rPr>
            <w:webHidden/>
          </w:rPr>
          <w:t>22</w:t>
        </w:r>
        <w:r w:rsidR="003A7C98">
          <w:rPr>
            <w:webHidden/>
          </w:rPr>
          <w:fldChar w:fldCharType="end"/>
        </w:r>
      </w:hyperlink>
    </w:p>
    <w:p w:rsidR="003A7C98" w:rsidRDefault="007A17C8">
      <w:pPr>
        <w:pStyle w:val="TOC2"/>
        <w:rPr>
          <w:rFonts w:asciiTheme="minorHAnsi" w:eastAsiaTheme="minorEastAsia" w:hAnsiTheme="minorHAnsi" w:cstheme="minorBidi"/>
          <w:b w:val="0"/>
          <w:szCs w:val="22"/>
        </w:rPr>
      </w:pPr>
      <w:hyperlink w:anchor="_Toc416357863" w:history="1">
        <w:r w:rsidR="003A7C98" w:rsidRPr="001869C3">
          <w:rPr>
            <w:rStyle w:val="Hyperlink"/>
          </w:rPr>
          <w:t>2.</w:t>
        </w:r>
        <w:r w:rsidR="003A7C98">
          <w:rPr>
            <w:rFonts w:asciiTheme="minorHAnsi" w:eastAsiaTheme="minorEastAsia" w:hAnsiTheme="minorHAnsi" w:cstheme="minorBidi"/>
            <w:b w:val="0"/>
            <w:szCs w:val="22"/>
          </w:rPr>
          <w:tab/>
        </w:r>
        <w:r w:rsidR="003A7C98" w:rsidRPr="001869C3">
          <w:rPr>
            <w:rStyle w:val="Hyperlink"/>
          </w:rPr>
          <w:t>Length of Stay by Legal Status</w:t>
        </w:r>
        <w:r w:rsidR="003A7C98">
          <w:rPr>
            <w:webHidden/>
          </w:rPr>
          <w:tab/>
        </w:r>
        <w:r w:rsidR="003A7C98">
          <w:rPr>
            <w:webHidden/>
          </w:rPr>
          <w:fldChar w:fldCharType="begin"/>
        </w:r>
        <w:r w:rsidR="003A7C98">
          <w:rPr>
            <w:webHidden/>
          </w:rPr>
          <w:instrText xml:space="preserve"> PAGEREF _Toc416357863 \h </w:instrText>
        </w:r>
        <w:r w:rsidR="003A7C98">
          <w:rPr>
            <w:webHidden/>
          </w:rPr>
        </w:r>
        <w:r w:rsidR="003A7C98">
          <w:rPr>
            <w:webHidden/>
          </w:rPr>
          <w:fldChar w:fldCharType="separate"/>
        </w:r>
        <w:r w:rsidR="007E3DB6">
          <w:rPr>
            <w:webHidden/>
          </w:rPr>
          <w:t>23</w:t>
        </w:r>
        <w:r w:rsidR="003A7C98">
          <w:rPr>
            <w:webHidden/>
          </w:rPr>
          <w:fldChar w:fldCharType="end"/>
        </w:r>
      </w:hyperlink>
    </w:p>
    <w:p w:rsidR="003A7C98" w:rsidRDefault="007A17C8">
      <w:pPr>
        <w:pStyle w:val="TOC2"/>
        <w:rPr>
          <w:rFonts w:asciiTheme="minorHAnsi" w:eastAsiaTheme="minorEastAsia" w:hAnsiTheme="minorHAnsi" w:cstheme="minorBidi"/>
          <w:b w:val="0"/>
          <w:szCs w:val="22"/>
        </w:rPr>
      </w:pPr>
      <w:hyperlink w:anchor="_Toc416357864" w:history="1">
        <w:r w:rsidR="003A7C98" w:rsidRPr="001869C3">
          <w:rPr>
            <w:rStyle w:val="Hyperlink"/>
          </w:rPr>
          <w:t>3.</w:t>
        </w:r>
        <w:r w:rsidR="003A7C98">
          <w:rPr>
            <w:rFonts w:asciiTheme="minorHAnsi" w:eastAsiaTheme="minorEastAsia" w:hAnsiTheme="minorHAnsi" w:cstheme="minorBidi"/>
            <w:b w:val="0"/>
            <w:szCs w:val="22"/>
          </w:rPr>
          <w:tab/>
        </w:r>
        <w:r w:rsidR="003A7C98" w:rsidRPr="001869C3">
          <w:rPr>
            <w:rStyle w:val="Hyperlink"/>
          </w:rPr>
          <w:t>Length of Stay by Gender</w:t>
        </w:r>
        <w:r w:rsidR="003A7C98">
          <w:rPr>
            <w:webHidden/>
          </w:rPr>
          <w:tab/>
        </w:r>
        <w:r w:rsidR="003A7C98">
          <w:rPr>
            <w:webHidden/>
          </w:rPr>
          <w:fldChar w:fldCharType="begin"/>
        </w:r>
        <w:r w:rsidR="003A7C98">
          <w:rPr>
            <w:webHidden/>
          </w:rPr>
          <w:instrText xml:space="preserve"> PAGEREF _Toc416357864 \h </w:instrText>
        </w:r>
        <w:r w:rsidR="003A7C98">
          <w:rPr>
            <w:webHidden/>
          </w:rPr>
        </w:r>
        <w:r w:rsidR="003A7C98">
          <w:rPr>
            <w:webHidden/>
          </w:rPr>
          <w:fldChar w:fldCharType="separate"/>
        </w:r>
        <w:r w:rsidR="007E3DB6">
          <w:rPr>
            <w:webHidden/>
          </w:rPr>
          <w:t>24</w:t>
        </w:r>
        <w:r w:rsidR="003A7C98">
          <w:rPr>
            <w:webHidden/>
          </w:rPr>
          <w:fldChar w:fldCharType="end"/>
        </w:r>
      </w:hyperlink>
    </w:p>
    <w:p w:rsidR="003A7C98" w:rsidRDefault="007A17C8">
      <w:pPr>
        <w:pStyle w:val="TOC2"/>
        <w:rPr>
          <w:rFonts w:asciiTheme="minorHAnsi" w:eastAsiaTheme="minorEastAsia" w:hAnsiTheme="minorHAnsi" w:cstheme="minorBidi"/>
          <w:b w:val="0"/>
          <w:szCs w:val="22"/>
        </w:rPr>
      </w:pPr>
      <w:hyperlink w:anchor="_Toc416357865" w:history="1">
        <w:r w:rsidR="003A7C98" w:rsidRPr="001869C3">
          <w:rPr>
            <w:rStyle w:val="Hyperlink"/>
          </w:rPr>
          <w:t>4.</w:t>
        </w:r>
        <w:r w:rsidR="003A7C98">
          <w:rPr>
            <w:rFonts w:asciiTheme="minorHAnsi" w:eastAsiaTheme="minorEastAsia" w:hAnsiTheme="minorHAnsi" w:cstheme="minorBidi"/>
            <w:b w:val="0"/>
            <w:szCs w:val="22"/>
          </w:rPr>
          <w:tab/>
        </w:r>
        <w:r w:rsidR="003A7C98" w:rsidRPr="001869C3">
          <w:rPr>
            <w:rStyle w:val="Hyperlink"/>
          </w:rPr>
          <w:t>Length of Stay by Admission Cohort</w:t>
        </w:r>
        <w:r w:rsidR="003A7C98">
          <w:rPr>
            <w:webHidden/>
          </w:rPr>
          <w:tab/>
        </w:r>
        <w:r w:rsidR="003A7C98">
          <w:rPr>
            <w:webHidden/>
          </w:rPr>
          <w:fldChar w:fldCharType="begin"/>
        </w:r>
        <w:r w:rsidR="003A7C98">
          <w:rPr>
            <w:webHidden/>
          </w:rPr>
          <w:instrText xml:space="preserve"> PAGEREF _Toc416357865 \h </w:instrText>
        </w:r>
        <w:r w:rsidR="003A7C98">
          <w:rPr>
            <w:webHidden/>
          </w:rPr>
        </w:r>
        <w:r w:rsidR="003A7C98">
          <w:rPr>
            <w:webHidden/>
          </w:rPr>
          <w:fldChar w:fldCharType="separate"/>
        </w:r>
        <w:r w:rsidR="007E3DB6">
          <w:rPr>
            <w:webHidden/>
          </w:rPr>
          <w:t>24</w:t>
        </w:r>
        <w:r w:rsidR="003A7C98">
          <w:rPr>
            <w:webHidden/>
          </w:rPr>
          <w:fldChar w:fldCharType="end"/>
        </w:r>
      </w:hyperlink>
    </w:p>
    <w:p w:rsidR="003A7C98" w:rsidRDefault="007A17C8">
      <w:pPr>
        <w:pStyle w:val="TOC2"/>
        <w:rPr>
          <w:rFonts w:asciiTheme="minorHAnsi" w:eastAsiaTheme="minorEastAsia" w:hAnsiTheme="minorHAnsi" w:cstheme="minorBidi"/>
          <w:b w:val="0"/>
          <w:szCs w:val="22"/>
        </w:rPr>
      </w:pPr>
      <w:hyperlink w:anchor="_Toc416357866" w:history="1">
        <w:r w:rsidR="003A7C98" w:rsidRPr="001869C3">
          <w:rPr>
            <w:rStyle w:val="Hyperlink"/>
          </w:rPr>
          <w:t>5.</w:t>
        </w:r>
        <w:r w:rsidR="003A7C98">
          <w:rPr>
            <w:rFonts w:asciiTheme="minorHAnsi" w:eastAsiaTheme="minorEastAsia" w:hAnsiTheme="minorHAnsi" w:cstheme="minorBidi"/>
            <w:b w:val="0"/>
            <w:szCs w:val="22"/>
          </w:rPr>
          <w:tab/>
        </w:r>
        <w:r w:rsidR="003A7C98" w:rsidRPr="001869C3">
          <w:rPr>
            <w:rStyle w:val="Hyperlink"/>
          </w:rPr>
          <w:t>Length of Stay of Discharged Population</w:t>
        </w:r>
        <w:r w:rsidR="003A7C98">
          <w:rPr>
            <w:webHidden/>
          </w:rPr>
          <w:tab/>
        </w:r>
        <w:r w:rsidR="003A7C98">
          <w:rPr>
            <w:webHidden/>
          </w:rPr>
          <w:fldChar w:fldCharType="begin"/>
        </w:r>
        <w:r w:rsidR="003A7C98">
          <w:rPr>
            <w:webHidden/>
          </w:rPr>
          <w:instrText xml:space="preserve"> PAGEREF _Toc416357866 \h </w:instrText>
        </w:r>
        <w:r w:rsidR="003A7C98">
          <w:rPr>
            <w:webHidden/>
          </w:rPr>
        </w:r>
        <w:r w:rsidR="003A7C98">
          <w:rPr>
            <w:webHidden/>
          </w:rPr>
          <w:fldChar w:fldCharType="separate"/>
        </w:r>
        <w:r w:rsidR="007E3DB6">
          <w:rPr>
            <w:webHidden/>
          </w:rPr>
          <w:t>25</w:t>
        </w:r>
        <w:r w:rsidR="003A7C98">
          <w:rPr>
            <w:webHidden/>
          </w:rPr>
          <w:fldChar w:fldCharType="end"/>
        </w:r>
      </w:hyperlink>
    </w:p>
    <w:p w:rsidR="003A7C98" w:rsidRDefault="007A17C8">
      <w:pPr>
        <w:pStyle w:val="TOC1"/>
        <w:rPr>
          <w:rFonts w:asciiTheme="minorHAnsi" w:eastAsiaTheme="minorEastAsia" w:hAnsiTheme="minorHAnsi" w:cstheme="minorBidi"/>
          <w:b w:val="0"/>
          <w:color w:val="auto"/>
          <w:sz w:val="22"/>
          <w:szCs w:val="22"/>
        </w:rPr>
      </w:pPr>
      <w:hyperlink w:anchor="_Toc416357867" w:history="1">
        <w:r w:rsidR="003A7C98" w:rsidRPr="001869C3">
          <w:rPr>
            <w:rStyle w:val="Hyperlink"/>
          </w:rPr>
          <w:t>IV.</w:t>
        </w:r>
        <w:r w:rsidR="003A7C98">
          <w:rPr>
            <w:rFonts w:asciiTheme="minorHAnsi" w:eastAsiaTheme="minorEastAsia" w:hAnsiTheme="minorHAnsi" w:cstheme="minorBidi"/>
            <w:b w:val="0"/>
            <w:color w:val="auto"/>
            <w:sz w:val="22"/>
            <w:szCs w:val="22"/>
          </w:rPr>
          <w:tab/>
        </w:r>
        <w:r w:rsidR="003A7C98" w:rsidRPr="001869C3">
          <w:rPr>
            <w:rStyle w:val="Hyperlink"/>
          </w:rPr>
          <w:t>Readmissions</w:t>
        </w:r>
        <w:r w:rsidR="003A7C98">
          <w:rPr>
            <w:webHidden/>
          </w:rPr>
          <w:tab/>
        </w:r>
        <w:r w:rsidR="003A7C98">
          <w:rPr>
            <w:webHidden/>
          </w:rPr>
          <w:fldChar w:fldCharType="begin"/>
        </w:r>
        <w:r w:rsidR="003A7C98">
          <w:rPr>
            <w:webHidden/>
          </w:rPr>
          <w:instrText xml:space="preserve"> PAGEREF _Toc416357867 \h </w:instrText>
        </w:r>
        <w:r w:rsidR="003A7C98">
          <w:rPr>
            <w:webHidden/>
          </w:rPr>
        </w:r>
        <w:r w:rsidR="003A7C98">
          <w:rPr>
            <w:webHidden/>
          </w:rPr>
          <w:fldChar w:fldCharType="separate"/>
        </w:r>
        <w:r w:rsidR="007E3DB6">
          <w:rPr>
            <w:webHidden/>
          </w:rPr>
          <w:t>26</w:t>
        </w:r>
        <w:r w:rsidR="003A7C98">
          <w:rPr>
            <w:webHidden/>
          </w:rPr>
          <w:fldChar w:fldCharType="end"/>
        </w:r>
      </w:hyperlink>
    </w:p>
    <w:p w:rsidR="003A7C98" w:rsidRDefault="007A17C8">
      <w:pPr>
        <w:pStyle w:val="TOC2"/>
        <w:rPr>
          <w:rFonts w:asciiTheme="minorHAnsi" w:eastAsiaTheme="minorEastAsia" w:hAnsiTheme="minorHAnsi" w:cstheme="minorBidi"/>
          <w:b w:val="0"/>
          <w:szCs w:val="22"/>
        </w:rPr>
      </w:pPr>
      <w:hyperlink w:anchor="_Toc416357868" w:history="1">
        <w:r w:rsidR="003A7C98" w:rsidRPr="001869C3">
          <w:rPr>
            <w:rStyle w:val="Hyperlink"/>
          </w:rPr>
          <w:t>1.</w:t>
        </w:r>
        <w:r w:rsidR="003A7C98">
          <w:rPr>
            <w:rFonts w:asciiTheme="minorHAnsi" w:eastAsiaTheme="minorEastAsia" w:hAnsiTheme="minorHAnsi" w:cstheme="minorBidi"/>
            <w:b w:val="0"/>
            <w:szCs w:val="22"/>
          </w:rPr>
          <w:tab/>
        </w:r>
        <w:r w:rsidR="003A7C98" w:rsidRPr="001869C3">
          <w:rPr>
            <w:rStyle w:val="Hyperlink"/>
          </w:rPr>
          <w:t>Readmission Rate</w:t>
        </w:r>
        <w:r w:rsidR="003A7C98">
          <w:rPr>
            <w:webHidden/>
          </w:rPr>
          <w:tab/>
        </w:r>
        <w:r w:rsidR="003A7C98">
          <w:rPr>
            <w:webHidden/>
          </w:rPr>
          <w:fldChar w:fldCharType="begin"/>
        </w:r>
        <w:r w:rsidR="003A7C98">
          <w:rPr>
            <w:webHidden/>
          </w:rPr>
          <w:instrText xml:space="preserve"> PAGEREF _Toc416357868 \h </w:instrText>
        </w:r>
        <w:r w:rsidR="003A7C98">
          <w:rPr>
            <w:webHidden/>
          </w:rPr>
        </w:r>
        <w:r w:rsidR="003A7C98">
          <w:rPr>
            <w:webHidden/>
          </w:rPr>
          <w:fldChar w:fldCharType="separate"/>
        </w:r>
        <w:r w:rsidR="007E3DB6">
          <w:rPr>
            <w:webHidden/>
          </w:rPr>
          <w:t>26</w:t>
        </w:r>
        <w:r w:rsidR="003A7C98">
          <w:rPr>
            <w:webHidden/>
          </w:rPr>
          <w:fldChar w:fldCharType="end"/>
        </w:r>
      </w:hyperlink>
    </w:p>
    <w:p w:rsidR="003A7C98" w:rsidRDefault="007A17C8">
      <w:pPr>
        <w:pStyle w:val="TOC2"/>
        <w:rPr>
          <w:rFonts w:asciiTheme="minorHAnsi" w:eastAsiaTheme="minorEastAsia" w:hAnsiTheme="minorHAnsi" w:cstheme="minorBidi"/>
          <w:b w:val="0"/>
          <w:szCs w:val="22"/>
        </w:rPr>
      </w:pPr>
      <w:hyperlink w:anchor="_Toc416357869" w:history="1">
        <w:r w:rsidR="003A7C98" w:rsidRPr="001869C3">
          <w:rPr>
            <w:rStyle w:val="Hyperlink"/>
          </w:rPr>
          <w:t>2.</w:t>
        </w:r>
        <w:r w:rsidR="003A7C98">
          <w:rPr>
            <w:rFonts w:asciiTheme="minorHAnsi" w:eastAsiaTheme="minorEastAsia" w:hAnsiTheme="minorHAnsi" w:cstheme="minorBidi"/>
            <w:b w:val="0"/>
            <w:szCs w:val="22"/>
          </w:rPr>
          <w:tab/>
        </w:r>
        <w:r w:rsidR="003A7C98" w:rsidRPr="001869C3">
          <w:rPr>
            <w:rStyle w:val="Hyperlink"/>
          </w:rPr>
          <w:t>Characteristics of Individuals Readmitted to Care</w:t>
        </w:r>
        <w:r w:rsidR="003A7C98">
          <w:rPr>
            <w:webHidden/>
          </w:rPr>
          <w:tab/>
        </w:r>
        <w:r w:rsidR="003A7C98">
          <w:rPr>
            <w:webHidden/>
          </w:rPr>
          <w:fldChar w:fldCharType="begin"/>
        </w:r>
        <w:r w:rsidR="003A7C98">
          <w:rPr>
            <w:webHidden/>
          </w:rPr>
          <w:instrText xml:space="preserve"> PAGEREF _Toc416357869 \h </w:instrText>
        </w:r>
        <w:r w:rsidR="003A7C98">
          <w:rPr>
            <w:webHidden/>
          </w:rPr>
        </w:r>
        <w:r w:rsidR="003A7C98">
          <w:rPr>
            <w:webHidden/>
          </w:rPr>
          <w:fldChar w:fldCharType="separate"/>
        </w:r>
        <w:r w:rsidR="007E3DB6">
          <w:rPr>
            <w:webHidden/>
          </w:rPr>
          <w:t>27</w:t>
        </w:r>
        <w:r w:rsidR="003A7C98">
          <w:rPr>
            <w:webHidden/>
          </w:rPr>
          <w:fldChar w:fldCharType="end"/>
        </w:r>
      </w:hyperlink>
    </w:p>
    <w:p w:rsidR="003A7C98" w:rsidRDefault="007A17C8">
      <w:pPr>
        <w:pStyle w:val="TOC1"/>
        <w:rPr>
          <w:rFonts w:asciiTheme="minorHAnsi" w:eastAsiaTheme="minorEastAsia" w:hAnsiTheme="minorHAnsi" w:cstheme="minorBidi"/>
          <w:b w:val="0"/>
          <w:color w:val="auto"/>
          <w:sz w:val="22"/>
          <w:szCs w:val="22"/>
        </w:rPr>
      </w:pPr>
      <w:hyperlink w:anchor="_Toc416357870" w:history="1">
        <w:r w:rsidR="003A7C98" w:rsidRPr="001869C3">
          <w:rPr>
            <w:rStyle w:val="Hyperlink"/>
          </w:rPr>
          <w:t>V.</w:t>
        </w:r>
        <w:r w:rsidR="003A7C98">
          <w:rPr>
            <w:rFonts w:asciiTheme="minorHAnsi" w:eastAsiaTheme="minorEastAsia" w:hAnsiTheme="minorHAnsi" w:cstheme="minorBidi"/>
            <w:b w:val="0"/>
            <w:color w:val="auto"/>
            <w:sz w:val="22"/>
            <w:szCs w:val="22"/>
          </w:rPr>
          <w:tab/>
        </w:r>
        <w:r w:rsidR="003A7C98" w:rsidRPr="001869C3">
          <w:rPr>
            <w:rStyle w:val="Hyperlink"/>
            <w:snapToGrid w:val="0"/>
          </w:rPr>
          <w:t>Clinical Profile of Individuals in Care</w:t>
        </w:r>
        <w:r w:rsidR="003A7C98">
          <w:rPr>
            <w:webHidden/>
          </w:rPr>
          <w:tab/>
        </w:r>
        <w:r w:rsidR="003A7C98">
          <w:rPr>
            <w:webHidden/>
          </w:rPr>
          <w:fldChar w:fldCharType="begin"/>
        </w:r>
        <w:r w:rsidR="003A7C98">
          <w:rPr>
            <w:webHidden/>
          </w:rPr>
          <w:instrText xml:space="preserve"> PAGEREF _Toc416357870 \h </w:instrText>
        </w:r>
        <w:r w:rsidR="003A7C98">
          <w:rPr>
            <w:webHidden/>
          </w:rPr>
        </w:r>
        <w:r w:rsidR="003A7C98">
          <w:rPr>
            <w:webHidden/>
          </w:rPr>
          <w:fldChar w:fldCharType="separate"/>
        </w:r>
        <w:r w:rsidR="007E3DB6">
          <w:rPr>
            <w:webHidden/>
          </w:rPr>
          <w:t>29</w:t>
        </w:r>
        <w:r w:rsidR="003A7C98">
          <w:rPr>
            <w:webHidden/>
          </w:rPr>
          <w:fldChar w:fldCharType="end"/>
        </w:r>
      </w:hyperlink>
    </w:p>
    <w:p w:rsidR="003A7C98" w:rsidRDefault="007A17C8">
      <w:pPr>
        <w:pStyle w:val="TOC2"/>
        <w:rPr>
          <w:rFonts w:asciiTheme="minorHAnsi" w:eastAsiaTheme="minorEastAsia" w:hAnsiTheme="minorHAnsi" w:cstheme="minorBidi"/>
          <w:b w:val="0"/>
          <w:szCs w:val="22"/>
        </w:rPr>
      </w:pPr>
      <w:hyperlink w:anchor="_Toc416357871" w:history="1">
        <w:r w:rsidR="003A7C98" w:rsidRPr="001869C3">
          <w:rPr>
            <w:rStyle w:val="Hyperlink"/>
          </w:rPr>
          <w:t>1.</w:t>
        </w:r>
        <w:r w:rsidR="003A7C98">
          <w:rPr>
            <w:rFonts w:asciiTheme="minorHAnsi" w:eastAsiaTheme="minorEastAsia" w:hAnsiTheme="minorHAnsi" w:cstheme="minorBidi"/>
            <w:b w:val="0"/>
            <w:szCs w:val="22"/>
          </w:rPr>
          <w:tab/>
        </w:r>
        <w:r w:rsidR="003A7C98" w:rsidRPr="001869C3">
          <w:rPr>
            <w:rStyle w:val="Hyperlink"/>
          </w:rPr>
          <w:t>Clinical Disorders (Axis I)</w:t>
        </w:r>
        <w:r w:rsidR="003A7C98">
          <w:rPr>
            <w:webHidden/>
          </w:rPr>
          <w:tab/>
        </w:r>
        <w:r w:rsidR="003A7C98">
          <w:rPr>
            <w:webHidden/>
          </w:rPr>
          <w:fldChar w:fldCharType="begin"/>
        </w:r>
        <w:r w:rsidR="003A7C98">
          <w:rPr>
            <w:webHidden/>
          </w:rPr>
          <w:instrText xml:space="preserve"> PAGEREF _Toc416357871 \h </w:instrText>
        </w:r>
        <w:r w:rsidR="003A7C98">
          <w:rPr>
            <w:webHidden/>
          </w:rPr>
        </w:r>
        <w:r w:rsidR="003A7C98">
          <w:rPr>
            <w:webHidden/>
          </w:rPr>
          <w:fldChar w:fldCharType="separate"/>
        </w:r>
        <w:r w:rsidR="007E3DB6">
          <w:rPr>
            <w:webHidden/>
          </w:rPr>
          <w:t>29</w:t>
        </w:r>
        <w:r w:rsidR="003A7C98">
          <w:rPr>
            <w:webHidden/>
          </w:rPr>
          <w:fldChar w:fldCharType="end"/>
        </w:r>
      </w:hyperlink>
    </w:p>
    <w:p w:rsidR="003A7C98" w:rsidRDefault="007A17C8">
      <w:pPr>
        <w:pStyle w:val="TOC2"/>
        <w:rPr>
          <w:rFonts w:asciiTheme="minorHAnsi" w:eastAsiaTheme="minorEastAsia" w:hAnsiTheme="minorHAnsi" w:cstheme="minorBidi"/>
          <w:b w:val="0"/>
          <w:szCs w:val="22"/>
        </w:rPr>
      </w:pPr>
      <w:hyperlink w:anchor="_Toc416357872" w:history="1">
        <w:r w:rsidR="003A7C98" w:rsidRPr="001869C3">
          <w:rPr>
            <w:rStyle w:val="Hyperlink"/>
          </w:rPr>
          <w:t>2.</w:t>
        </w:r>
        <w:r w:rsidR="003A7C98">
          <w:rPr>
            <w:rFonts w:asciiTheme="minorHAnsi" w:eastAsiaTheme="minorEastAsia" w:hAnsiTheme="minorHAnsi" w:cstheme="minorBidi"/>
            <w:b w:val="0"/>
            <w:szCs w:val="22"/>
          </w:rPr>
          <w:tab/>
        </w:r>
        <w:r w:rsidR="003A7C98" w:rsidRPr="001869C3">
          <w:rPr>
            <w:rStyle w:val="Hyperlink"/>
          </w:rPr>
          <w:t>Substance Use Disorders</w:t>
        </w:r>
        <w:r w:rsidR="003A7C98">
          <w:rPr>
            <w:webHidden/>
          </w:rPr>
          <w:tab/>
        </w:r>
        <w:r w:rsidR="003A7C98">
          <w:rPr>
            <w:webHidden/>
          </w:rPr>
          <w:fldChar w:fldCharType="begin"/>
        </w:r>
        <w:r w:rsidR="003A7C98">
          <w:rPr>
            <w:webHidden/>
          </w:rPr>
          <w:instrText xml:space="preserve"> PAGEREF _Toc416357872 \h </w:instrText>
        </w:r>
        <w:r w:rsidR="003A7C98">
          <w:rPr>
            <w:webHidden/>
          </w:rPr>
        </w:r>
        <w:r w:rsidR="003A7C98">
          <w:rPr>
            <w:webHidden/>
          </w:rPr>
          <w:fldChar w:fldCharType="separate"/>
        </w:r>
        <w:r w:rsidR="007E3DB6">
          <w:rPr>
            <w:webHidden/>
          </w:rPr>
          <w:t>30</w:t>
        </w:r>
        <w:r w:rsidR="003A7C98">
          <w:rPr>
            <w:webHidden/>
          </w:rPr>
          <w:fldChar w:fldCharType="end"/>
        </w:r>
      </w:hyperlink>
    </w:p>
    <w:p w:rsidR="003A7C98" w:rsidRDefault="007A17C8">
      <w:pPr>
        <w:pStyle w:val="TOC2"/>
        <w:rPr>
          <w:rFonts w:asciiTheme="minorHAnsi" w:eastAsiaTheme="minorEastAsia" w:hAnsiTheme="minorHAnsi" w:cstheme="minorBidi"/>
          <w:b w:val="0"/>
          <w:szCs w:val="22"/>
        </w:rPr>
      </w:pPr>
      <w:hyperlink w:anchor="_Toc416357873" w:history="1">
        <w:r w:rsidR="003A7C98" w:rsidRPr="001869C3">
          <w:rPr>
            <w:rStyle w:val="Hyperlink"/>
          </w:rPr>
          <w:t>3.</w:t>
        </w:r>
        <w:r w:rsidR="003A7C98">
          <w:rPr>
            <w:rFonts w:asciiTheme="minorHAnsi" w:eastAsiaTheme="minorEastAsia" w:hAnsiTheme="minorHAnsi" w:cstheme="minorBidi"/>
            <w:b w:val="0"/>
            <w:szCs w:val="22"/>
          </w:rPr>
          <w:tab/>
        </w:r>
        <w:r w:rsidR="003A7C98" w:rsidRPr="001869C3">
          <w:rPr>
            <w:rStyle w:val="Hyperlink"/>
          </w:rPr>
          <w:t>Personality Disorders and/or Mental Retardation (Axis II)</w:t>
        </w:r>
        <w:r w:rsidR="003A7C98">
          <w:rPr>
            <w:webHidden/>
          </w:rPr>
          <w:tab/>
        </w:r>
        <w:r w:rsidR="003A7C98">
          <w:rPr>
            <w:webHidden/>
          </w:rPr>
          <w:fldChar w:fldCharType="begin"/>
        </w:r>
        <w:r w:rsidR="003A7C98">
          <w:rPr>
            <w:webHidden/>
          </w:rPr>
          <w:instrText xml:space="preserve"> PAGEREF _Toc416357873 \h </w:instrText>
        </w:r>
        <w:r w:rsidR="003A7C98">
          <w:rPr>
            <w:webHidden/>
          </w:rPr>
        </w:r>
        <w:r w:rsidR="003A7C98">
          <w:rPr>
            <w:webHidden/>
          </w:rPr>
          <w:fldChar w:fldCharType="separate"/>
        </w:r>
        <w:r w:rsidR="007E3DB6">
          <w:rPr>
            <w:webHidden/>
          </w:rPr>
          <w:t>31</w:t>
        </w:r>
        <w:r w:rsidR="003A7C98">
          <w:rPr>
            <w:webHidden/>
          </w:rPr>
          <w:fldChar w:fldCharType="end"/>
        </w:r>
      </w:hyperlink>
    </w:p>
    <w:p w:rsidR="003A7C98" w:rsidRDefault="007A17C8">
      <w:pPr>
        <w:pStyle w:val="TOC2"/>
        <w:rPr>
          <w:rFonts w:asciiTheme="minorHAnsi" w:eastAsiaTheme="minorEastAsia" w:hAnsiTheme="minorHAnsi" w:cstheme="minorBidi"/>
          <w:b w:val="0"/>
          <w:szCs w:val="22"/>
        </w:rPr>
      </w:pPr>
      <w:hyperlink w:anchor="_Toc416357874" w:history="1">
        <w:r w:rsidR="003A7C98" w:rsidRPr="001869C3">
          <w:rPr>
            <w:rStyle w:val="Hyperlink"/>
          </w:rPr>
          <w:t>4.</w:t>
        </w:r>
        <w:r w:rsidR="003A7C98">
          <w:rPr>
            <w:rFonts w:asciiTheme="minorHAnsi" w:eastAsiaTheme="minorEastAsia" w:hAnsiTheme="minorHAnsi" w:cstheme="minorBidi"/>
            <w:b w:val="0"/>
            <w:szCs w:val="22"/>
          </w:rPr>
          <w:tab/>
        </w:r>
        <w:r w:rsidR="003A7C98" w:rsidRPr="001869C3">
          <w:rPr>
            <w:rStyle w:val="Hyperlink"/>
          </w:rPr>
          <w:t>General Medical Conditions (Axis III)</w:t>
        </w:r>
        <w:r w:rsidR="003A7C98">
          <w:rPr>
            <w:webHidden/>
          </w:rPr>
          <w:tab/>
        </w:r>
        <w:r w:rsidR="003A7C98">
          <w:rPr>
            <w:webHidden/>
          </w:rPr>
          <w:fldChar w:fldCharType="begin"/>
        </w:r>
        <w:r w:rsidR="003A7C98">
          <w:rPr>
            <w:webHidden/>
          </w:rPr>
          <w:instrText xml:space="preserve"> PAGEREF _Toc416357874 \h </w:instrText>
        </w:r>
        <w:r w:rsidR="003A7C98">
          <w:rPr>
            <w:webHidden/>
          </w:rPr>
        </w:r>
        <w:r w:rsidR="003A7C98">
          <w:rPr>
            <w:webHidden/>
          </w:rPr>
          <w:fldChar w:fldCharType="separate"/>
        </w:r>
        <w:r w:rsidR="007E3DB6">
          <w:rPr>
            <w:webHidden/>
          </w:rPr>
          <w:t>31</w:t>
        </w:r>
        <w:r w:rsidR="003A7C98">
          <w:rPr>
            <w:webHidden/>
          </w:rPr>
          <w:fldChar w:fldCharType="end"/>
        </w:r>
      </w:hyperlink>
    </w:p>
    <w:p w:rsidR="003A7C98" w:rsidRDefault="007A17C8">
      <w:pPr>
        <w:pStyle w:val="TOC2"/>
        <w:rPr>
          <w:rFonts w:asciiTheme="minorHAnsi" w:eastAsiaTheme="minorEastAsia" w:hAnsiTheme="minorHAnsi" w:cstheme="minorBidi"/>
          <w:b w:val="0"/>
          <w:szCs w:val="22"/>
        </w:rPr>
      </w:pPr>
      <w:hyperlink w:anchor="_Toc416357875" w:history="1">
        <w:r w:rsidR="003A7C98" w:rsidRPr="001869C3">
          <w:rPr>
            <w:rStyle w:val="Hyperlink"/>
          </w:rPr>
          <w:t>5.</w:t>
        </w:r>
        <w:r w:rsidR="003A7C98">
          <w:rPr>
            <w:rFonts w:asciiTheme="minorHAnsi" w:eastAsiaTheme="minorEastAsia" w:hAnsiTheme="minorHAnsi" w:cstheme="minorBidi"/>
            <w:b w:val="0"/>
            <w:szCs w:val="22"/>
          </w:rPr>
          <w:tab/>
        </w:r>
        <w:r w:rsidR="003A7C98" w:rsidRPr="001869C3">
          <w:rPr>
            <w:rStyle w:val="Hyperlink"/>
          </w:rPr>
          <w:t>Psychosocial and Environmental Factors Contributing to the Disorder (Axis IV)</w:t>
        </w:r>
        <w:r w:rsidR="003A7C98">
          <w:rPr>
            <w:webHidden/>
          </w:rPr>
          <w:tab/>
        </w:r>
        <w:r w:rsidR="003A7C98">
          <w:rPr>
            <w:webHidden/>
          </w:rPr>
          <w:fldChar w:fldCharType="begin"/>
        </w:r>
        <w:r w:rsidR="003A7C98">
          <w:rPr>
            <w:webHidden/>
          </w:rPr>
          <w:instrText xml:space="preserve"> PAGEREF _Toc416357875 \h </w:instrText>
        </w:r>
        <w:r w:rsidR="003A7C98">
          <w:rPr>
            <w:webHidden/>
          </w:rPr>
        </w:r>
        <w:r w:rsidR="003A7C98">
          <w:rPr>
            <w:webHidden/>
          </w:rPr>
          <w:fldChar w:fldCharType="separate"/>
        </w:r>
        <w:r w:rsidR="007E3DB6">
          <w:rPr>
            <w:webHidden/>
          </w:rPr>
          <w:t>33</w:t>
        </w:r>
        <w:r w:rsidR="003A7C98">
          <w:rPr>
            <w:webHidden/>
          </w:rPr>
          <w:fldChar w:fldCharType="end"/>
        </w:r>
      </w:hyperlink>
    </w:p>
    <w:p w:rsidR="003A7C98" w:rsidRDefault="007A17C8">
      <w:pPr>
        <w:pStyle w:val="TOC2"/>
        <w:rPr>
          <w:rFonts w:asciiTheme="minorHAnsi" w:eastAsiaTheme="minorEastAsia" w:hAnsiTheme="minorHAnsi" w:cstheme="minorBidi"/>
          <w:b w:val="0"/>
          <w:szCs w:val="22"/>
        </w:rPr>
      </w:pPr>
      <w:hyperlink w:anchor="_Toc416357876" w:history="1">
        <w:r w:rsidR="003A7C98" w:rsidRPr="001869C3">
          <w:rPr>
            <w:rStyle w:val="Hyperlink"/>
          </w:rPr>
          <w:t>6.</w:t>
        </w:r>
        <w:r w:rsidR="003A7C98">
          <w:rPr>
            <w:rFonts w:asciiTheme="minorHAnsi" w:eastAsiaTheme="minorEastAsia" w:hAnsiTheme="minorHAnsi" w:cstheme="minorBidi"/>
            <w:b w:val="0"/>
            <w:szCs w:val="22"/>
          </w:rPr>
          <w:tab/>
        </w:r>
        <w:r w:rsidR="003A7C98" w:rsidRPr="001869C3">
          <w:rPr>
            <w:rStyle w:val="Hyperlink"/>
          </w:rPr>
          <w:t>Global Assessment of Functioning [GAF] (Axis V)</w:t>
        </w:r>
        <w:r w:rsidR="003A7C98">
          <w:rPr>
            <w:webHidden/>
          </w:rPr>
          <w:tab/>
        </w:r>
        <w:r w:rsidR="003A7C98">
          <w:rPr>
            <w:webHidden/>
          </w:rPr>
          <w:fldChar w:fldCharType="begin"/>
        </w:r>
        <w:r w:rsidR="003A7C98">
          <w:rPr>
            <w:webHidden/>
          </w:rPr>
          <w:instrText xml:space="preserve"> PAGEREF _Toc416357876 \h </w:instrText>
        </w:r>
        <w:r w:rsidR="003A7C98">
          <w:rPr>
            <w:webHidden/>
          </w:rPr>
        </w:r>
        <w:r w:rsidR="003A7C98">
          <w:rPr>
            <w:webHidden/>
          </w:rPr>
          <w:fldChar w:fldCharType="separate"/>
        </w:r>
        <w:r w:rsidR="007E3DB6">
          <w:rPr>
            <w:webHidden/>
          </w:rPr>
          <w:t>33</w:t>
        </w:r>
        <w:r w:rsidR="003A7C98">
          <w:rPr>
            <w:webHidden/>
          </w:rPr>
          <w:fldChar w:fldCharType="end"/>
        </w:r>
      </w:hyperlink>
    </w:p>
    <w:p w:rsidR="003A7C98" w:rsidRDefault="007A17C8">
      <w:pPr>
        <w:pStyle w:val="TOC2"/>
        <w:rPr>
          <w:rFonts w:asciiTheme="minorHAnsi" w:eastAsiaTheme="minorEastAsia" w:hAnsiTheme="minorHAnsi" w:cstheme="minorBidi"/>
          <w:b w:val="0"/>
          <w:szCs w:val="22"/>
        </w:rPr>
      </w:pPr>
      <w:hyperlink w:anchor="_Toc416357877" w:history="1">
        <w:r w:rsidR="003A7C98" w:rsidRPr="001869C3">
          <w:rPr>
            <w:rStyle w:val="Hyperlink"/>
          </w:rPr>
          <w:t>7.</w:t>
        </w:r>
        <w:r w:rsidR="003A7C98">
          <w:rPr>
            <w:rFonts w:asciiTheme="minorHAnsi" w:eastAsiaTheme="minorEastAsia" w:hAnsiTheme="minorHAnsi" w:cstheme="minorBidi"/>
            <w:b w:val="0"/>
            <w:szCs w:val="22"/>
          </w:rPr>
          <w:tab/>
        </w:r>
        <w:r w:rsidR="003A7C98" w:rsidRPr="001869C3">
          <w:rPr>
            <w:rStyle w:val="Hyperlink"/>
          </w:rPr>
          <w:t>Weight Gain and Obesity</w:t>
        </w:r>
        <w:r w:rsidR="003A7C98">
          <w:rPr>
            <w:webHidden/>
          </w:rPr>
          <w:tab/>
        </w:r>
        <w:r w:rsidR="003A7C98">
          <w:rPr>
            <w:webHidden/>
          </w:rPr>
          <w:fldChar w:fldCharType="begin"/>
        </w:r>
        <w:r w:rsidR="003A7C98">
          <w:rPr>
            <w:webHidden/>
          </w:rPr>
          <w:instrText xml:space="preserve"> PAGEREF _Toc416357877 \h </w:instrText>
        </w:r>
        <w:r w:rsidR="003A7C98">
          <w:rPr>
            <w:webHidden/>
          </w:rPr>
        </w:r>
        <w:r w:rsidR="003A7C98">
          <w:rPr>
            <w:webHidden/>
          </w:rPr>
          <w:fldChar w:fldCharType="separate"/>
        </w:r>
        <w:r w:rsidR="007E3DB6">
          <w:rPr>
            <w:webHidden/>
          </w:rPr>
          <w:t>34</w:t>
        </w:r>
        <w:r w:rsidR="003A7C98">
          <w:rPr>
            <w:webHidden/>
          </w:rPr>
          <w:fldChar w:fldCharType="end"/>
        </w:r>
      </w:hyperlink>
    </w:p>
    <w:p w:rsidR="003A7C98" w:rsidRDefault="007A17C8">
      <w:pPr>
        <w:pStyle w:val="TOC1"/>
        <w:rPr>
          <w:rFonts w:asciiTheme="minorHAnsi" w:eastAsiaTheme="minorEastAsia" w:hAnsiTheme="minorHAnsi" w:cstheme="minorBidi"/>
          <w:b w:val="0"/>
          <w:color w:val="auto"/>
          <w:sz w:val="22"/>
          <w:szCs w:val="22"/>
        </w:rPr>
      </w:pPr>
      <w:hyperlink w:anchor="_Toc416357878" w:history="1">
        <w:r w:rsidR="003A7C98" w:rsidRPr="001869C3">
          <w:rPr>
            <w:rStyle w:val="Hyperlink"/>
          </w:rPr>
          <w:t>VI.</w:t>
        </w:r>
        <w:r w:rsidR="003A7C98">
          <w:rPr>
            <w:rFonts w:asciiTheme="minorHAnsi" w:eastAsiaTheme="minorEastAsia" w:hAnsiTheme="minorHAnsi" w:cstheme="minorBidi"/>
            <w:b w:val="0"/>
            <w:color w:val="auto"/>
            <w:sz w:val="22"/>
            <w:szCs w:val="22"/>
          </w:rPr>
          <w:tab/>
        </w:r>
        <w:r w:rsidR="003A7C98" w:rsidRPr="001869C3">
          <w:rPr>
            <w:rStyle w:val="Hyperlink"/>
          </w:rPr>
          <w:t>Unusual Incidents</w:t>
        </w:r>
        <w:r w:rsidR="003A7C98">
          <w:rPr>
            <w:webHidden/>
          </w:rPr>
          <w:tab/>
        </w:r>
        <w:r w:rsidR="003A7C98">
          <w:rPr>
            <w:webHidden/>
          </w:rPr>
          <w:fldChar w:fldCharType="begin"/>
        </w:r>
        <w:r w:rsidR="003A7C98">
          <w:rPr>
            <w:webHidden/>
          </w:rPr>
          <w:instrText xml:space="preserve"> PAGEREF _Toc416357878 \h </w:instrText>
        </w:r>
        <w:r w:rsidR="003A7C98">
          <w:rPr>
            <w:webHidden/>
          </w:rPr>
        </w:r>
        <w:r w:rsidR="003A7C98">
          <w:rPr>
            <w:webHidden/>
          </w:rPr>
          <w:fldChar w:fldCharType="separate"/>
        </w:r>
        <w:r w:rsidR="007E3DB6">
          <w:rPr>
            <w:webHidden/>
          </w:rPr>
          <w:t>37</w:t>
        </w:r>
        <w:r w:rsidR="003A7C98">
          <w:rPr>
            <w:webHidden/>
          </w:rPr>
          <w:fldChar w:fldCharType="end"/>
        </w:r>
      </w:hyperlink>
    </w:p>
    <w:p w:rsidR="003A7C98" w:rsidRDefault="007A17C8">
      <w:pPr>
        <w:pStyle w:val="TOC2"/>
        <w:rPr>
          <w:rFonts w:asciiTheme="minorHAnsi" w:eastAsiaTheme="minorEastAsia" w:hAnsiTheme="minorHAnsi" w:cstheme="minorBidi"/>
          <w:b w:val="0"/>
          <w:szCs w:val="22"/>
        </w:rPr>
      </w:pPr>
      <w:hyperlink w:anchor="_Toc416357879" w:history="1">
        <w:r w:rsidR="003A7C98" w:rsidRPr="001869C3">
          <w:rPr>
            <w:rStyle w:val="Hyperlink"/>
          </w:rPr>
          <w:t>1.</w:t>
        </w:r>
        <w:r w:rsidR="003A7C98">
          <w:rPr>
            <w:rFonts w:asciiTheme="minorHAnsi" w:eastAsiaTheme="minorEastAsia" w:hAnsiTheme="minorHAnsi" w:cstheme="minorBidi"/>
            <w:b w:val="0"/>
            <w:szCs w:val="22"/>
          </w:rPr>
          <w:tab/>
        </w:r>
        <w:r w:rsidR="003A7C98" w:rsidRPr="001869C3">
          <w:rPr>
            <w:rStyle w:val="Hyperlink"/>
          </w:rPr>
          <w:t>Volume and Trend of Unusual Incident (UI) Reports</w:t>
        </w:r>
        <w:r w:rsidR="003A7C98">
          <w:rPr>
            <w:webHidden/>
          </w:rPr>
          <w:tab/>
        </w:r>
        <w:r w:rsidR="003A7C98">
          <w:rPr>
            <w:webHidden/>
          </w:rPr>
          <w:fldChar w:fldCharType="begin"/>
        </w:r>
        <w:r w:rsidR="003A7C98">
          <w:rPr>
            <w:webHidden/>
          </w:rPr>
          <w:instrText xml:space="preserve"> PAGEREF _Toc416357879 \h </w:instrText>
        </w:r>
        <w:r w:rsidR="003A7C98">
          <w:rPr>
            <w:webHidden/>
          </w:rPr>
        </w:r>
        <w:r w:rsidR="003A7C98">
          <w:rPr>
            <w:webHidden/>
          </w:rPr>
          <w:fldChar w:fldCharType="separate"/>
        </w:r>
        <w:r w:rsidR="007E3DB6">
          <w:rPr>
            <w:webHidden/>
          </w:rPr>
          <w:t>37</w:t>
        </w:r>
        <w:r w:rsidR="003A7C98">
          <w:rPr>
            <w:webHidden/>
          </w:rPr>
          <w:fldChar w:fldCharType="end"/>
        </w:r>
      </w:hyperlink>
    </w:p>
    <w:p w:rsidR="003A7C98" w:rsidRDefault="007A17C8">
      <w:pPr>
        <w:pStyle w:val="TOC2"/>
        <w:rPr>
          <w:rFonts w:asciiTheme="minorHAnsi" w:eastAsiaTheme="minorEastAsia" w:hAnsiTheme="minorHAnsi" w:cstheme="minorBidi"/>
          <w:b w:val="0"/>
          <w:szCs w:val="22"/>
        </w:rPr>
      </w:pPr>
      <w:hyperlink w:anchor="_Toc416357880" w:history="1">
        <w:r w:rsidR="003A7C98" w:rsidRPr="001869C3">
          <w:rPr>
            <w:rStyle w:val="Hyperlink"/>
          </w:rPr>
          <w:t>2.</w:t>
        </w:r>
        <w:r w:rsidR="003A7C98">
          <w:rPr>
            <w:rFonts w:asciiTheme="minorHAnsi" w:eastAsiaTheme="minorEastAsia" w:hAnsiTheme="minorHAnsi" w:cstheme="minorBidi"/>
            <w:b w:val="0"/>
            <w:szCs w:val="22"/>
          </w:rPr>
          <w:tab/>
        </w:r>
        <w:r w:rsidR="003A7C98" w:rsidRPr="001869C3">
          <w:rPr>
            <w:rStyle w:val="Hyperlink"/>
          </w:rPr>
          <w:t>UI by Type and Severity</w:t>
        </w:r>
        <w:r w:rsidR="003A7C98">
          <w:rPr>
            <w:webHidden/>
          </w:rPr>
          <w:tab/>
        </w:r>
        <w:r w:rsidR="003A7C98">
          <w:rPr>
            <w:webHidden/>
          </w:rPr>
          <w:fldChar w:fldCharType="begin"/>
        </w:r>
        <w:r w:rsidR="003A7C98">
          <w:rPr>
            <w:webHidden/>
          </w:rPr>
          <w:instrText xml:space="preserve"> PAGEREF _Toc416357880 \h </w:instrText>
        </w:r>
        <w:r w:rsidR="003A7C98">
          <w:rPr>
            <w:webHidden/>
          </w:rPr>
        </w:r>
        <w:r w:rsidR="003A7C98">
          <w:rPr>
            <w:webHidden/>
          </w:rPr>
          <w:fldChar w:fldCharType="separate"/>
        </w:r>
        <w:r w:rsidR="007E3DB6">
          <w:rPr>
            <w:webHidden/>
          </w:rPr>
          <w:t>39</w:t>
        </w:r>
        <w:r w:rsidR="003A7C98">
          <w:rPr>
            <w:webHidden/>
          </w:rPr>
          <w:fldChar w:fldCharType="end"/>
        </w:r>
      </w:hyperlink>
    </w:p>
    <w:p w:rsidR="003A7C98" w:rsidRDefault="007A17C8">
      <w:pPr>
        <w:pStyle w:val="TOC2"/>
        <w:rPr>
          <w:rFonts w:asciiTheme="minorHAnsi" w:eastAsiaTheme="minorEastAsia" w:hAnsiTheme="minorHAnsi" w:cstheme="minorBidi"/>
          <w:b w:val="0"/>
          <w:szCs w:val="22"/>
        </w:rPr>
      </w:pPr>
      <w:hyperlink w:anchor="_Toc416357881" w:history="1">
        <w:r w:rsidR="003A7C98" w:rsidRPr="001869C3">
          <w:rPr>
            <w:rStyle w:val="Hyperlink"/>
          </w:rPr>
          <w:t>3.</w:t>
        </w:r>
        <w:r w:rsidR="003A7C98">
          <w:rPr>
            <w:rFonts w:asciiTheme="minorHAnsi" w:eastAsiaTheme="minorEastAsia" w:hAnsiTheme="minorHAnsi" w:cstheme="minorBidi"/>
            <w:b w:val="0"/>
            <w:szCs w:val="22"/>
          </w:rPr>
          <w:tab/>
        </w:r>
        <w:r w:rsidR="003A7C98" w:rsidRPr="001869C3">
          <w:rPr>
            <w:rStyle w:val="Hyperlink"/>
          </w:rPr>
          <w:t>Physical Assaults and Violence Related UIs</w:t>
        </w:r>
        <w:r w:rsidR="003A7C98">
          <w:rPr>
            <w:webHidden/>
          </w:rPr>
          <w:tab/>
        </w:r>
        <w:r w:rsidR="003A7C98">
          <w:rPr>
            <w:webHidden/>
          </w:rPr>
          <w:fldChar w:fldCharType="begin"/>
        </w:r>
        <w:r w:rsidR="003A7C98">
          <w:rPr>
            <w:webHidden/>
          </w:rPr>
          <w:instrText xml:space="preserve"> PAGEREF _Toc416357881 \h </w:instrText>
        </w:r>
        <w:r w:rsidR="003A7C98">
          <w:rPr>
            <w:webHidden/>
          </w:rPr>
        </w:r>
        <w:r w:rsidR="003A7C98">
          <w:rPr>
            <w:webHidden/>
          </w:rPr>
          <w:fldChar w:fldCharType="separate"/>
        </w:r>
        <w:r w:rsidR="007E3DB6">
          <w:rPr>
            <w:webHidden/>
          </w:rPr>
          <w:t>40</w:t>
        </w:r>
        <w:r w:rsidR="003A7C98">
          <w:rPr>
            <w:webHidden/>
          </w:rPr>
          <w:fldChar w:fldCharType="end"/>
        </w:r>
      </w:hyperlink>
    </w:p>
    <w:p w:rsidR="003A7C98" w:rsidRDefault="007A17C8">
      <w:pPr>
        <w:pStyle w:val="TOC2"/>
        <w:rPr>
          <w:rFonts w:asciiTheme="minorHAnsi" w:eastAsiaTheme="minorEastAsia" w:hAnsiTheme="minorHAnsi" w:cstheme="minorBidi"/>
          <w:b w:val="0"/>
          <w:szCs w:val="22"/>
        </w:rPr>
      </w:pPr>
      <w:hyperlink w:anchor="_Toc416357882" w:history="1">
        <w:r w:rsidR="003A7C98" w:rsidRPr="001869C3">
          <w:rPr>
            <w:rStyle w:val="Hyperlink"/>
          </w:rPr>
          <w:t>4.</w:t>
        </w:r>
        <w:r w:rsidR="003A7C98">
          <w:rPr>
            <w:rFonts w:asciiTheme="minorHAnsi" w:eastAsiaTheme="minorEastAsia" w:hAnsiTheme="minorHAnsi" w:cstheme="minorBidi"/>
            <w:b w:val="0"/>
            <w:szCs w:val="22"/>
          </w:rPr>
          <w:tab/>
        </w:r>
        <w:r w:rsidR="003A7C98" w:rsidRPr="001869C3">
          <w:rPr>
            <w:rStyle w:val="Hyperlink"/>
          </w:rPr>
          <w:t>Aggressors and Victims of Physical Assault and Aggressive Behavior Incidents</w:t>
        </w:r>
        <w:r w:rsidR="003A7C98">
          <w:rPr>
            <w:webHidden/>
          </w:rPr>
          <w:tab/>
        </w:r>
        <w:r w:rsidR="003A7C98">
          <w:rPr>
            <w:webHidden/>
          </w:rPr>
          <w:fldChar w:fldCharType="begin"/>
        </w:r>
        <w:r w:rsidR="003A7C98">
          <w:rPr>
            <w:webHidden/>
          </w:rPr>
          <w:instrText xml:space="preserve"> PAGEREF _Toc416357882 \h </w:instrText>
        </w:r>
        <w:r w:rsidR="003A7C98">
          <w:rPr>
            <w:webHidden/>
          </w:rPr>
        </w:r>
        <w:r w:rsidR="003A7C98">
          <w:rPr>
            <w:webHidden/>
          </w:rPr>
          <w:fldChar w:fldCharType="separate"/>
        </w:r>
        <w:r w:rsidR="007E3DB6">
          <w:rPr>
            <w:webHidden/>
          </w:rPr>
          <w:t>45</w:t>
        </w:r>
        <w:r w:rsidR="003A7C98">
          <w:rPr>
            <w:webHidden/>
          </w:rPr>
          <w:fldChar w:fldCharType="end"/>
        </w:r>
      </w:hyperlink>
    </w:p>
    <w:p w:rsidR="003A7C98" w:rsidRDefault="007A17C8">
      <w:pPr>
        <w:pStyle w:val="TOC2"/>
        <w:rPr>
          <w:rFonts w:asciiTheme="minorHAnsi" w:eastAsiaTheme="minorEastAsia" w:hAnsiTheme="minorHAnsi" w:cstheme="minorBidi"/>
          <w:b w:val="0"/>
          <w:szCs w:val="22"/>
        </w:rPr>
      </w:pPr>
      <w:hyperlink w:anchor="_Toc416357883" w:history="1">
        <w:r w:rsidR="003A7C98" w:rsidRPr="001869C3">
          <w:rPr>
            <w:rStyle w:val="Hyperlink"/>
          </w:rPr>
          <w:t>5.</w:t>
        </w:r>
        <w:r w:rsidR="003A7C98">
          <w:rPr>
            <w:rFonts w:asciiTheme="minorHAnsi" w:eastAsiaTheme="minorEastAsia" w:hAnsiTheme="minorHAnsi" w:cstheme="minorBidi"/>
            <w:b w:val="0"/>
            <w:szCs w:val="22"/>
          </w:rPr>
          <w:tab/>
        </w:r>
        <w:r w:rsidR="003A7C98" w:rsidRPr="001869C3">
          <w:rPr>
            <w:rStyle w:val="Hyperlink"/>
          </w:rPr>
          <w:t>Medical Emergency related Incidents</w:t>
        </w:r>
        <w:r w:rsidR="003A7C98">
          <w:rPr>
            <w:webHidden/>
          </w:rPr>
          <w:tab/>
        </w:r>
        <w:r w:rsidR="003A7C98">
          <w:rPr>
            <w:webHidden/>
          </w:rPr>
          <w:fldChar w:fldCharType="begin"/>
        </w:r>
        <w:r w:rsidR="003A7C98">
          <w:rPr>
            <w:webHidden/>
          </w:rPr>
          <w:instrText xml:space="preserve"> PAGEREF _Toc416357883 \h </w:instrText>
        </w:r>
        <w:r w:rsidR="003A7C98">
          <w:rPr>
            <w:webHidden/>
          </w:rPr>
        </w:r>
        <w:r w:rsidR="003A7C98">
          <w:rPr>
            <w:webHidden/>
          </w:rPr>
          <w:fldChar w:fldCharType="separate"/>
        </w:r>
        <w:r w:rsidR="007E3DB6">
          <w:rPr>
            <w:webHidden/>
          </w:rPr>
          <w:t>47</w:t>
        </w:r>
        <w:r w:rsidR="003A7C98">
          <w:rPr>
            <w:webHidden/>
          </w:rPr>
          <w:fldChar w:fldCharType="end"/>
        </w:r>
      </w:hyperlink>
    </w:p>
    <w:p w:rsidR="003A7C98" w:rsidRDefault="007A17C8">
      <w:pPr>
        <w:pStyle w:val="TOC2"/>
        <w:rPr>
          <w:rFonts w:asciiTheme="minorHAnsi" w:eastAsiaTheme="minorEastAsia" w:hAnsiTheme="minorHAnsi" w:cstheme="minorBidi"/>
          <w:b w:val="0"/>
          <w:szCs w:val="22"/>
        </w:rPr>
      </w:pPr>
      <w:hyperlink w:anchor="_Toc416357884" w:history="1">
        <w:r w:rsidR="003A7C98" w:rsidRPr="001869C3">
          <w:rPr>
            <w:rStyle w:val="Hyperlink"/>
          </w:rPr>
          <w:t>6.</w:t>
        </w:r>
        <w:r w:rsidR="003A7C98">
          <w:rPr>
            <w:rFonts w:asciiTheme="minorHAnsi" w:eastAsiaTheme="minorEastAsia" w:hAnsiTheme="minorHAnsi" w:cstheme="minorBidi"/>
            <w:b w:val="0"/>
            <w:szCs w:val="22"/>
          </w:rPr>
          <w:tab/>
        </w:r>
        <w:r w:rsidR="003A7C98" w:rsidRPr="001869C3">
          <w:rPr>
            <w:rStyle w:val="Hyperlink"/>
          </w:rPr>
          <w:t>Falls</w:t>
        </w:r>
        <w:r w:rsidR="003A7C98">
          <w:rPr>
            <w:webHidden/>
          </w:rPr>
          <w:tab/>
        </w:r>
        <w:r w:rsidR="003A7C98">
          <w:rPr>
            <w:webHidden/>
          </w:rPr>
          <w:fldChar w:fldCharType="begin"/>
        </w:r>
        <w:r w:rsidR="003A7C98">
          <w:rPr>
            <w:webHidden/>
          </w:rPr>
          <w:instrText xml:space="preserve"> PAGEREF _Toc416357884 \h </w:instrText>
        </w:r>
        <w:r w:rsidR="003A7C98">
          <w:rPr>
            <w:webHidden/>
          </w:rPr>
        </w:r>
        <w:r w:rsidR="003A7C98">
          <w:rPr>
            <w:webHidden/>
          </w:rPr>
          <w:fldChar w:fldCharType="separate"/>
        </w:r>
        <w:r w:rsidR="007E3DB6">
          <w:rPr>
            <w:webHidden/>
          </w:rPr>
          <w:t>48</w:t>
        </w:r>
        <w:r w:rsidR="003A7C98">
          <w:rPr>
            <w:webHidden/>
          </w:rPr>
          <w:fldChar w:fldCharType="end"/>
        </w:r>
      </w:hyperlink>
    </w:p>
    <w:p w:rsidR="003A7C98" w:rsidRDefault="007A17C8">
      <w:pPr>
        <w:pStyle w:val="TOC2"/>
        <w:rPr>
          <w:rFonts w:asciiTheme="minorHAnsi" w:eastAsiaTheme="minorEastAsia" w:hAnsiTheme="minorHAnsi" w:cstheme="minorBidi"/>
          <w:b w:val="0"/>
          <w:szCs w:val="22"/>
        </w:rPr>
      </w:pPr>
      <w:hyperlink w:anchor="_Toc416357885" w:history="1">
        <w:r w:rsidR="003A7C98" w:rsidRPr="001869C3">
          <w:rPr>
            <w:rStyle w:val="Hyperlink"/>
          </w:rPr>
          <w:t>7.</w:t>
        </w:r>
        <w:r w:rsidR="003A7C98">
          <w:rPr>
            <w:rFonts w:asciiTheme="minorHAnsi" w:eastAsiaTheme="minorEastAsia" w:hAnsiTheme="minorHAnsi" w:cstheme="minorBidi"/>
            <w:b w:val="0"/>
            <w:szCs w:val="22"/>
          </w:rPr>
          <w:tab/>
        </w:r>
        <w:r w:rsidR="003A7C98" w:rsidRPr="001869C3">
          <w:rPr>
            <w:rStyle w:val="Hyperlink"/>
          </w:rPr>
          <w:t>Physical Injuries</w:t>
        </w:r>
        <w:r w:rsidR="003A7C98">
          <w:rPr>
            <w:webHidden/>
          </w:rPr>
          <w:tab/>
        </w:r>
        <w:r w:rsidR="003A7C98">
          <w:rPr>
            <w:webHidden/>
          </w:rPr>
          <w:fldChar w:fldCharType="begin"/>
        </w:r>
        <w:r w:rsidR="003A7C98">
          <w:rPr>
            <w:webHidden/>
          </w:rPr>
          <w:instrText xml:space="preserve"> PAGEREF _Toc416357885 \h </w:instrText>
        </w:r>
        <w:r w:rsidR="003A7C98">
          <w:rPr>
            <w:webHidden/>
          </w:rPr>
        </w:r>
        <w:r w:rsidR="003A7C98">
          <w:rPr>
            <w:webHidden/>
          </w:rPr>
          <w:fldChar w:fldCharType="separate"/>
        </w:r>
        <w:r w:rsidR="007E3DB6">
          <w:rPr>
            <w:webHidden/>
          </w:rPr>
          <w:t>50</w:t>
        </w:r>
        <w:r w:rsidR="003A7C98">
          <w:rPr>
            <w:webHidden/>
          </w:rPr>
          <w:fldChar w:fldCharType="end"/>
        </w:r>
      </w:hyperlink>
    </w:p>
    <w:p w:rsidR="00352825" w:rsidRPr="00352825" w:rsidRDefault="00F0373A" w:rsidP="0012461A">
      <w:pPr>
        <w:pStyle w:val="TOC1"/>
      </w:pPr>
      <w:r>
        <w:fldChar w:fldCharType="end"/>
      </w:r>
    </w:p>
    <w:p w:rsidR="0064391C" w:rsidRPr="0064391C" w:rsidRDefault="002324A9" w:rsidP="00B22E89">
      <w:pPr>
        <w:pStyle w:val="Title"/>
      </w:pPr>
      <w:bookmarkStart w:id="2" w:name="_Toc195935731"/>
      <w:r w:rsidRPr="00C01967">
        <w:t xml:space="preserve">List </w:t>
      </w:r>
      <w:r w:rsidR="005E4A29" w:rsidRPr="00C01967">
        <w:t>of Figures</w:t>
      </w:r>
      <w:bookmarkEnd w:id="2"/>
    </w:p>
    <w:p w:rsidR="003A7C98" w:rsidRDefault="002C054E">
      <w:pPr>
        <w:pStyle w:val="TableofFigures"/>
        <w:rPr>
          <w:rFonts w:eastAsiaTheme="minorEastAsia" w:cstheme="minorBidi"/>
          <w:b w:val="0"/>
          <w:szCs w:val="22"/>
        </w:rPr>
      </w:pPr>
      <w:r w:rsidRPr="00BD7F86">
        <w:rPr>
          <w:rFonts w:ascii="Times New Roman" w:hAnsi="Times New Roman"/>
        </w:rPr>
        <w:fldChar w:fldCharType="begin"/>
      </w:r>
      <w:r w:rsidR="005E4A29" w:rsidRPr="00BD7F86">
        <w:instrText xml:space="preserve"> TOC \h \z \c "Figure" </w:instrText>
      </w:r>
      <w:r w:rsidRPr="00BD7F86">
        <w:rPr>
          <w:rFonts w:ascii="Times New Roman" w:hAnsi="Times New Roman"/>
        </w:rPr>
        <w:fldChar w:fldCharType="separate"/>
      </w:r>
      <w:hyperlink w:anchor="_Toc416357886" w:history="1">
        <w:r w:rsidR="003A7C98" w:rsidRPr="006C3C14">
          <w:rPr>
            <w:rStyle w:val="Hyperlink"/>
          </w:rPr>
          <w:t>Figure 1. Trend of Daily Census (FY08 ~ FY14)</w:t>
        </w:r>
        <w:r w:rsidR="003A7C98">
          <w:rPr>
            <w:webHidden/>
          </w:rPr>
          <w:tab/>
        </w:r>
        <w:r w:rsidR="003A7C98">
          <w:rPr>
            <w:webHidden/>
          </w:rPr>
          <w:fldChar w:fldCharType="begin"/>
        </w:r>
        <w:r w:rsidR="003A7C98">
          <w:rPr>
            <w:webHidden/>
          </w:rPr>
          <w:instrText xml:space="preserve"> PAGEREF _Toc416357886 \h </w:instrText>
        </w:r>
        <w:r w:rsidR="003A7C98">
          <w:rPr>
            <w:webHidden/>
          </w:rPr>
        </w:r>
        <w:r w:rsidR="003A7C98">
          <w:rPr>
            <w:webHidden/>
          </w:rPr>
          <w:fldChar w:fldCharType="separate"/>
        </w:r>
        <w:r w:rsidR="007E3DB6">
          <w:rPr>
            <w:webHidden/>
          </w:rPr>
          <w:t>9</w:t>
        </w:r>
        <w:r w:rsidR="003A7C98">
          <w:rPr>
            <w:webHidden/>
          </w:rPr>
          <w:fldChar w:fldCharType="end"/>
        </w:r>
      </w:hyperlink>
    </w:p>
    <w:p w:rsidR="003A7C98" w:rsidRDefault="007A17C8">
      <w:pPr>
        <w:pStyle w:val="TableofFigures"/>
        <w:rPr>
          <w:rFonts w:eastAsiaTheme="minorEastAsia" w:cstheme="minorBidi"/>
          <w:b w:val="0"/>
          <w:szCs w:val="22"/>
        </w:rPr>
      </w:pPr>
      <w:hyperlink w:anchor="_Toc416357887" w:history="1">
        <w:r w:rsidR="003A7C98" w:rsidRPr="006C3C14">
          <w:rPr>
            <w:rStyle w:val="Hyperlink"/>
          </w:rPr>
          <w:t>Figure 2. Trend of Legal Status for Individuals in Care (09/30/10 ~ 09/30/14)</w:t>
        </w:r>
        <w:r w:rsidR="003A7C98">
          <w:rPr>
            <w:webHidden/>
          </w:rPr>
          <w:tab/>
        </w:r>
        <w:r w:rsidR="003A7C98">
          <w:rPr>
            <w:webHidden/>
          </w:rPr>
          <w:fldChar w:fldCharType="begin"/>
        </w:r>
        <w:r w:rsidR="003A7C98">
          <w:rPr>
            <w:webHidden/>
          </w:rPr>
          <w:instrText xml:space="preserve"> PAGEREF _Toc416357887 \h </w:instrText>
        </w:r>
        <w:r w:rsidR="003A7C98">
          <w:rPr>
            <w:webHidden/>
          </w:rPr>
        </w:r>
        <w:r w:rsidR="003A7C98">
          <w:rPr>
            <w:webHidden/>
          </w:rPr>
          <w:fldChar w:fldCharType="separate"/>
        </w:r>
        <w:r w:rsidR="007E3DB6">
          <w:rPr>
            <w:webHidden/>
          </w:rPr>
          <w:t>10</w:t>
        </w:r>
        <w:r w:rsidR="003A7C98">
          <w:rPr>
            <w:webHidden/>
          </w:rPr>
          <w:fldChar w:fldCharType="end"/>
        </w:r>
      </w:hyperlink>
    </w:p>
    <w:p w:rsidR="003A7C98" w:rsidRDefault="007A17C8">
      <w:pPr>
        <w:pStyle w:val="TableofFigures"/>
        <w:rPr>
          <w:rFonts w:eastAsiaTheme="minorEastAsia" w:cstheme="minorBidi"/>
          <w:b w:val="0"/>
          <w:szCs w:val="22"/>
        </w:rPr>
      </w:pPr>
      <w:hyperlink w:anchor="_Toc416357888" w:history="1">
        <w:r w:rsidR="003A7C98" w:rsidRPr="006C3C14">
          <w:rPr>
            <w:rStyle w:val="Hyperlink"/>
          </w:rPr>
          <w:t>Figure 3. Trend of Month-End Census by Legal Status (FY14)</w:t>
        </w:r>
        <w:r w:rsidR="003A7C98">
          <w:rPr>
            <w:webHidden/>
          </w:rPr>
          <w:tab/>
        </w:r>
        <w:r w:rsidR="003A7C98">
          <w:rPr>
            <w:webHidden/>
          </w:rPr>
          <w:fldChar w:fldCharType="begin"/>
        </w:r>
        <w:r w:rsidR="003A7C98">
          <w:rPr>
            <w:webHidden/>
          </w:rPr>
          <w:instrText xml:space="preserve"> PAGEREF _Toc416357888 \h </w:instrText>
        </w:r>
        <w:r w:rsidR="003A7C98">
          <w:rPr>
            <w:webHidden/>
          </w:rPr>
        </w:r>
        <w:r w:rsidR="003A7C98">
          <w:rPr>
            <w:webHidden/>
          </w:rPr>
          <w:fldChar w:fldCharType="separate"/>
        </w:r>
        <w:r w:rsidR="007E3DB6">
          <w:rPr>
            <w:webHidden/>
          </w:rPr>
          <w:t>11</w:t>
        </w:r>
        <w:r w:rsidR="003A7C98">
          <w:rPr>
            <w:webHidden/>
          </w:rPr>
          <w:fldChar w:fldCharType="end"/>
        </w:r>
      </w:hyperlink>
    </w:p>
    <w:p w:rsidR="003A7C98" w:rsidRDefault="007A17C8">
      <w:pPr>
        <w:pStyle w:val="TableofFigures"/>
        <w:rPr>
          <w:rFonts w:eastAsiaTheme="minorEastAsia" w:cstheme="minorBidi"/>
          <w:b w:val="0"/>
          <w:szCs w:val="22"/>
        </w:rPr>
      </w:pPr>
      <w:hyperlink w:anchor="_Toc416357889" w:history="1">
        <w:r w:rsidR="003A7C98" w:rsidRPr="006C3C14">
          <w:rPr>
            <w:rStyle w:val="Hyperlink"/>
          </w:rPr>
          <w:t>Figure 4. Trend of Monthly Admissions (FY08 ~ FY14)</w:t>
        </w:r>
        <w:r w:rsidR="003A7C98">
          <w:rPr>
            <w:webHidden/>
          </w:rPr>
          <w:tab/>
        </w:r>
        <w:r w:rsidR="003A7C98">
          <w:rPr>
            <w:webHidden/>
          </w:rPr>
          <w:fldChar w:fldCharType="begin"/>
        </w:r>
        <w:r w:rsidR="003A7C98">
          <w:rPr>
            <w:webHidden/>
          </w:rPr>
          <w:instrText xml:space="preserve"> PAGEREF _Toc416357889 \h </w:instrText>
        </w:r>
        <w:r w:rsidR="003A7C98">
          <w:rPr>
            <w:webHidden/>
          </w:rPr>
        </w:r>
        <w:r w:rsidR="003A7C98">
          <w:rPr>
            <w:webHidden/>
          </w:rPr>
          <w:fldChar w:fldCharType="separate"/>
        </w:r>
        <w:r w:rsidR="007E3DB6">
          <w:rPr>
            <w:webHidden/>
          </w:rPr>
          <w:t>12</w:t>
        </w:r>
        <w:r w:rsidR="003A7C98">
          <w:rPr>
            <w:webHidden/>
          </w:rPr>
          <w:fldChar w:fldCharType="end"/>
        </w:r>
      </w:hyperlink>
    </w:p>
    <w:p w:rsidR="003A7C98" w:rsidRDefault="007A17C8">
      <w:pPr>
        <w:pStyle w:val="TableofFigures"/>
        <w:rPr>
          <w:rFonts w:eastAsiaTheme="minorEastAsia" w:cstheme="minorBidi"/>
          <w:b w:val="0"/>
          <w:szCs w:val="22"/>
        </w:rPr>
      </w:pPr>
      <w:hyperlink w:anchor="_Toc416357890" w:history="1">
        <w:r w:rsidR="003A7C98" w:rsidRPr="006C3C14">
          <w:rPr>
            <w:rStyle w:val="Hyperlink"/>
          </w:rPr>
          <w:t>Figure 5. Number and Percentage of Admissions by Legal Status (FY10 ~ FY14)</w:t>
        </w:r>
        <w:r w:rsidR="003A7C98">
          <w:rPr>
            <w:webHidden/>
          </w:rPr>
          <w:tab/>
        </w:r>
        <w:r w:rsidR="003A7C98">
          <w:rPr>
            <w:webHidden/>
          </w:rPr>
          <w:fldChar w:fldCharType="begin"/>
        </w:r>
        <w:r w:rsidR="003A7C98">
          <w:rPr>
            <w:webHidden/>
          </w:rPr>
          <w:instrText xml:space="preserve"> PAGEREF _Toc416357890 \h </w:instrText>
        </w:r>
        <w:r w:rsidR="003A7C98">
          <w:rPr>
            <w:webHidden/>
          </w:rPr>
        </w:r>
        <w:r w:rsidR="003A7C98">
          <w:rPr>
            <w:webHidden/>
          </w:rPr>
          <w:fldChar w:fldCharType="separate"/>
        </w:r>
        <w:r w:rsidR="007E3DB6">
          <w:rPr>
            <w:webHidden/>
          </w:rPr>
          <w:t>12</w:t>
        </w:r>
        <w:r w:rsidR="003A7C98">
          <w:rPr>
            <w:webHidden/>
          </w:rPr>
          <w:fldChar w:fldCharType="end"/>
        </w:r>
      </w:hyperlink>
    </w:p>
    <w:p w:rsidR="003A7C98" w:rsidRDefault="007A17C8">
      <w:pPr>
        <w:pStyle w:val="TableofFigures"/>
        <w:rPr>
          <w:rFonts w:eastAsiaTheme="minorEastAsia" w:cstheme="minorBidi"/>
          <w:b w:val="0"/>
          <w:szCs w:val="22"/>
        </w:rPr>
      </w:pPr>
      <w:hyperlink w:anchor="_Toc416357891" w:history="1">
        <w:r w:rsidR="003A7C98" w:rsidRPr="006C3C14">
          <w:rPr>
            <w:rStyle w:val="Hyperlink"/>
          </w:rPr>
          <w:t>Figure 6. Number and Proportion of Discharges by Legal Status (FY10 ~ FY14)</w:t>
        </w:r>
        <w:r w:rsidR="003A7C98">
          <w:rPr>
            <w:webHidden/>
          </w:rPr>
          <w:tab/>
        </w:r>
        <w:r w:rsidR="003A7C98">
          <w:rPr>
            <w:webHidden/>
          </w:rPr>
          <w:fldChar w:fldCharType="begin"/>
        </w:r>
        <w:r w:rsidR="003A7C98">
          <w:rPr>
            <w:webHidden/>
          </w:rPr>
          <w:instrText xml:space="preserve"> PAGEREF _Toc416357891 \h </w:instrText>
        </w:r>
        <w:r w:rsidR="003A7C98">
          <w:rPr>
            <w:webHidden/>
          </w:rPr>
        </w:r>
        <w:r w:rsidR="003A7C98">
          <w:rPr>
            <w:webHidden/>
          </w:rPr>
          <w:fldChar w:fldCharType="separate"/>
        </w:r>
        <w:r w:rsidR="007E3DB6">
          <w:rPr>
            <w:webHidden/>
          </w:rPr>
          <w:t>13</w:t>
        </w:r>
        <w:r w:rsidR="003A7C98">
          <w:rPr>
            <w:webHidden/>
          </w:rPr>
          <w:fldChar w:fldCharType="end"/>
        </w:r>
      </w:hyperlink>
    </w:p>
    <w:p w:rsidR="003A7C98" w:rsidRDefault="007A17C8">
      <w:pPr>
        <w:pStyle w:val="TableofFigures"/>
        <w:rPr>
          <w:rFonts w:eastAsiaTheme="minorEastAsia" w:cstheme="minorBidi"/>
          <w:b w:val="0"/>
          <w:szCs w:val="22"/>
        </w:rPr>
      </w:pPr>
      <w:hyperlink w:anchor="_Toc416357892" w:history="1">
        <w:r w:rsidR="003A7C98" w:rsidRPr="006C3C14">
          <w:rPr>
            <w:rStyle w:val="Hyperlink"/>
          </w:rPr>
          <w:t>Figure 7. Admissions vs. Discharges (FY07 ~ FY14)</w:t>
        </w:r>
        <w:r w:rsidR="003A7C98">
          <w:rPr>
            <w:webHidden/>
          </w:rPr>
          <w:tab/>
        </w:r>
        <w:r w:rsidR="003A7C98">
          <w:rPr>
            <w:webHidden/>
          </w:rPr>
          <w:fldChar w:fldCharType="begin"/>
        </w:r>
        <w:r w:rsidR="003A7C98">
          <w:rPr>
            <w:webHidden/>
          </w:rPr>
          <w:instrText xml:space="preserve"> PAGEREF _Toc416357892 \h </w:instrText>
        </w:r>
        <w:r w:rsidR="003A7C98">
          <w:rPr>
            <w:webHidden/>
          </w:rPr>
        </w:r>
        <w:r w:rsidR="003A7C98">
          <w:rPr>
            <w:webHidden/>
          </w:rPr>
          <w:fldChar w:fldCharType="separate"/>
        </w:r>
        <w:r w:rsidR="007E3DB6">
          <w:rPr>
            <w:webHidden/>
          </w:rPr>
          <w:t>14</w:t>
        </w:r>
        <w:r w:rsidR="003A7C98">
          <w:rPr>
            <w:webHidden/>
          </w:rPr>
          <w:fldChar w:fldCharType="end"/>
        </w:r>
      </w:hyperlink>
    </w:p>
    <w:p w:rsidR="003A7C98" w:rsidRDefault="007A17C8">
      <w:pPr>
        <w:pStyle w:val="TableofFigures"/>
        <w:rPr>
          <w:rFonts w:eastAsiaTheme="minorEastAsia" w:cstheme="minorBidi"/>
          <w:b w:val="0"/>
          <w:szCs w:val="22"/>
        </w:rPr>
      </w:pPr>
      <w:hyperlink w:anchor="_Toc416357893" w:history="1">
        <w:r w:rsidR="003A7C98" w:rsidRPr="006C3C14">
          <w:rPr>
            <w:rStyle w:val="Hyperlink"/>
          </w:rPr>
          <w:t>Figure 8. Difference between Admissions and Discharges by Legal Status (FY10 ~ FY14)</w:t>
        </w:r>
        <w:r w:rsidR="003A7C98">
          <w:rPr>
            <w:webHidden/>
          </w:rPr>
          <w:tab/>
        </w:r>
        <w:r w:rsidR="003A7C98">
          <w:rPr>
            <w:webHidden/>
          </w:rPr>
          <w:fldChar w:fldCharType="begin"/>
        </w:r>
        <w:r w:rsidR="003A7C98">
          <w:rPr>
            <w:webHidden/>
          </w:rPr>
          <w:instrText xml:space="preserve"> PAGEREF _Toc416357893 \h </w:instrText>
        </w:r>
        <w:r w:rsidR="003A7C98">
          <w:rPr>
            <w:webHidden/>
          </w:rPr>
        </w:r>
        <w:r w:rsidR="003A7C98">
          <w:rPr>
            <w:webHidden/>
          </w:rPr>
          <w:fldChar w:fldCharType="separate"/>
        </w:r>
        <w:r w:rsidR="007E3DB6">
          <w:rPr>
            <w:webHidden/>
          </w:rPr>
          <w:t>14</w:t>
        </w:r>
        <w:r w:rsidR="003A7C98">
          <w:rPr>
            <w:webHidden/>
          </w:rPr>
          <w:fldChar w:fldCharType="end"/>
        </w:r>
      </w:hyperlink>
    </w:p>
    <w:p w:rsidR="003A7C98" w:rsidRDefault="007A17C8">
      <w:pPr>
        <w:pStyle w:val="TableofFigures"/>
        <w:rPr>
          <w:rFonts w:eastAsiaTheme="minorEastAsia" w:cstheme="minorBidi"/>
          <w:b w:val="0"/>
          <w:szCs w:val="22"/>
        </w:rPr>
      </w:pPr>
      <w:hyperlink w:anchor="_Toc416357894" w:history="1">
        <w:r w:rsidR="003A7C98" w:rsidRPr="006C3C14">
          <w:rPr>
            <w:rStyle w:val="Hyperlink"/>
          </w:rPr>
          <w:t>Figure 9. Inter-Unit Transfers (FY14)</w:t>
        </w:r>
        <w:r w:rsidR="003A7C98">
          <w:rPr>
            <w:webHidden/>
          </w:rPr>
          <w:tab/>
        </w:r>
        <w:r w:rsidR="003A7C98">
          <w:rPr>
            <w:webHidden/>
          </w:rPr>
          <w:fldChar w:fldCharType="begin"/>
        </w:r>
        <w:r w:rsidR="003A7C98">
          <w:rPr>
            <w:webHidden/>
          </w:rPr>
          <w:instrText xml:space="preserve"> PAGEREF _Toc416357894 \h </w:instrText>
        </w:r>
        <w:r w:rsidR="003A7C98">
          <w:rPr>
            <w:webHidden/>
          </w:rPr>
        </w:r>
        <w:r w:rsidR="003A7C98">
          <w:rPr>
            <w:webHidden/>
          </w:rPr>
          <w:fldChar w:fldCharType="separate"/>
        </w:r>
        <w:r w:rsidR="007E3DB6">
          <w:rPr>
            <w:webHidden/>
          </w:rPr>
          <w:t>15</w:t>
        </w:r>
        <w:r w:rsidR="003A7C98">
          <w:rPr>
            <w:webHidden/>
          </w:rPr>
          <w:fldChar w:fldCharType="end"/>
        </w:r>
      </w:hyperlink>
    </w:p>
    <w:p w:rsidR="003A7C98" w:rsidRDefault="007A17C8">
      <w:pPr>
        <w:pStyle w:val="TableofFigures"/>
        <w:rPr>
          <w:rFonts w:eastAsiaTheme="minorEastAsia" w:cstheme="minorBidi"/>
          <w:b w:val="0"/>
          <w:szCs w:val="22"/>
        </w:rPr>
      </w:pPr>
      <w:hyperlink w:anchor="_Toc416357895" w:history="1">
        <w:r w:rsidR="003A7C98" w:rsidRPr="006C3C14">
          <w:rPr>
            <w:rStyle w:val="Hyperlink"/>
          </w:rPr>
          <w:t>Figure 10. Leave Episodes by Type and Reason (FY11 ~ FY14)</w:t>
        </w:r>
        <w:r w:rsidR="003A7C98">
          <w:rPr>
            <w:webHidden/>
          </w:rPr>
          <w:tab/>
        </w:r>
        <w:r w:rsidR="003A7C98">
          <w:rPr>
            <w:webHidden/>
          </w:rPr>
          <w:fldChar w:fldCharType="begin"/>
        </w:r>
        <w:r w:rsidR="003A7C98">
          <w:rPr>
            <w:webHidden/>
          </w:rPr>
          <w:instrText xml:space="preserve"> PAGEREF _Toc416357895 \h </w:instrText>
        </w:r>
        <w:r w:rsidR="003A7C98">
          <w:rPr>
            <w:webHidden/>
          </w:rPr>
        </w:r>
        <w:r w:rsidR="003A7C98">
          <w:rPr>
            <w:webHidden/>
          </w:rPr>
          <w:fldChar w:fldCharType="separate"/>
        </w:r>
        <w:r w:rsidR="007E3DB6">
          <w:rPr>
            <w:webHidden/>
          </w:rPr>
          <w:t>16</w:t>
        </w:r>
        <w:r w:rsidR="003A7C98">
          <w:rPr>
            <w:webHidden/>
          </w:rPr>
          <w:fldChar w:fldCharType="end"/>
        </w:r>
      </w:hyperlink>
    </w:p>
    <w:p w:rsidR="003A7C98" w:rsidRDefault="007A17C8">
      <w:pPr>
        <w:pStyle w:val="TableofFigures"/>
        <w:rPr>
          <w:rFonts w:eastAsiaTheme="minorEastAsia" w:cstheme="minorBidi"/>
          <w:b w:val="0"/>
          <w:szCs w:val="22"/>
        </w:rPr>
      </w:pPr>
      <w:hyperlink w:anchor="_Toc416357896" w:history="1">
        <w:r w:rsidR="003A7C98" w:rsidRPr="006C3C14">
          <w:rPr>
            <w:rStyle w:val="Hyperlink"/>
          </w:rPr>
          <w:t>Figure 11. Return from EMLs (FY14)</w:t>
        </w:r>
        <w:r w:rsidR="003A7C98">
          <w:rPr>
            <w:webHidden/>
          </w:rPr>
          <w:tab/>
        </w:r>
        <w:r w:rsidR="003A7C98">
          <w:rPr>
            <w:webHidden/>
          </w:rPr>
          <w:fldChar w:fldCharType="begin"/>
        </w:r>
        <w:r w:rsidR="003A7C98">
          <w:rPr>
            <w:webHidden/>
          </w:rPr>
          <w:instrText xml:space="preserve"> PAGEREF _Toc416357896 \h </w:instrText>
        </w:r>
        <w:r w:rsidR="003A7C98">
          <w:rPr>
            <w:webHidden/>
          </w:rPr>
        </w:r>
        <w:r w:rsidR="003A7C98">
          <w:rPr>
            <w:webHidden/>
          </w:rPr>
          <w:fldChar w:fldCharType="separate"/>
        </w:r>
        <w:r w:rsidR="007E3DB6">
          <w:rPr>
            <w:webHidden/>
          </w:rPr>
          <w:t>17</w:t>
        </w:r>
        <w:r w:rsidR="003A7C98">
          <w:rPr>
            <w:webHidden/>
          </w:rPr>
          <w:fldChar w:fldCharType="end"/>
        </w:r>
      </w:hyperlink>
    </w:p>
    <w:p w:rsidR="003A7C98" w:rsidRDefault="007A17C8">
      <w:pPr>
        <w:pStyle w:val="TableofFigures"/>
        <w:rPr>
          <w:rFonts w:eastAsiaTheme="minorEastAsia" w:cstheme="minorBidi"/>
          <w:b w:val="0"/>
          <w:szCs w:val="22"/>
        </w:rPr>
      </w:pPr>
      <w:hyperlink w:anchor="_Toc416357897" w:history="1">
        <w:r w:rsidR="003A7C98" w:rsidRPr="006C3C14">
          <w:rPr>
            <w:rStyle w:val="Hyperlink"/>
            <w:rFonts w:eastAsia="SimSun"/>
            <w:lang w:eastAsia="zh-CN"/>
          </w:rPr>
          <w:t>Figure 12. Change in Age Distribution (10/31/08 ~ 09/30/14)</w:t>
        </w:r>
        <w:r w:rsidR="003A7C98">
          <w:rPr>
            <w:webHidden/>
          </w:rPr>
          <w:tab/>
        </w:r>
        <w:r w:rsidR="003A7C98">
          <w:rPr>
            <w:webHidden/>
          </w:rPr>
          <w:fldChar w:fldCharType="begin"/>
        </w:r>
        <w:r w:rsidR="003A7C98">
          <w:rPr>
            <w:webHidden/>
          </w:rPr>
          <w:instrText xml:space="preserve"> PAGEREF _Toc416357897 \h </w:instrText>
        </w:r>
        <w:r w:rsidR="003A7C98">
          <w:rPr>
            <w:webHidden/>
          </w:rPr>
        </w:r>
        <w:r w:rsidR="003A7C98">
          <w:rPr>
            <w:webHidden/>
          </w:rPr>
          <w:fldChar w:fldCharType="separate"/>
        </w:r>
        <w:r w:rsidR="007E3DB6">
          <w:rPr>
            <w:webHidden/>
          </w:rPr>
          <w:t>18</w:t>
        </w:r>
        <w:r w:rsidR="003A7C98">
          <w:rPr>
            <w:webHidden/>
          </w:rPr>
          <w:fldChar w:fldCharType="end"/>
        </w:r>
      </w:hyperlink>
    </w:p>
    <w:p w:rsidR="003A7C98" w:rsidRDefault="007A17C8">
      <w:pPr>
        <w:pStyle w:val="TableofFigures"/>
        <w:rPr>
          <w:rFonts w:eastAsiaTheme="minorEastAsia" w:cstheme="minorBidi"/>
          <w:b w:val="0"/>
          <w:szCs w:val="22"/>
        </w:rPr>
      </w:pPr>
      <w:hyperlink w:anchor="_Toc416357898" w:history="1">
        <w:r w:rsidR="003A7C98" w:rsidRPr="006C3C14">
          <w:rPr>
            <w:rStyle w:val="Hyperlink"/>
            <w:rFonts w:eastAsia="SimSun"/>
            <w:lang w:eastAsia="zh-CN"/>
          </w:rPr>
          <w:t>Figure 13. Change in Median Age of Individuals in Care (09/30/09 ~ 09/30/14)</w:t>
        </w:r>
        <w:r w:rsidR="003A7C98">
          <w:rPr>
            <w:webHidden/>
          </w:rPr>
          <w:tab/>
        </w:r>
        <w:r w:rsidR="003A7C98">
          <w:rPr>
            <w:webHidden/>
          </w:rPr>
          <w:fldChar w:fldCharType="begin"/>
        </w:r>
        <w:r w:rsidR="003A7C98">
          <w:rPr>
            <w:webHidden/>
          </w:rPr>
          <w:instrText xml:space="preserve"> PAGEREF _Toc416357898 \h </w:instrText>
        </w:r>
        <w:r w:rsidR="003A7C98">
          <w:rPr>
            <w:webHidden/>
          </w:rPr>
        </w:r>
        <w:r w:rsidR="003A7C98">
          <w:rPr>
            <w:webHidden/>
          </w:rPr>
          <w:fldChar w:fldCharType="separate"/>
        </w:r>
        <w:r w:rsidR="007E3DB6">
          <w:rPr>
            <w:webHidden/>
          </w:rPr>
          <w:t>18</w:t>
        </w:r>
        <w:r w:rsidR="003A7C98">
          <w:rPr>
            <w:webHidden/>
          </w:rPr>
          <w:fldChar w:fldCharType="end"/>
        </w:r>
      </w:hyperlink>
    </w:p>
    <w:p w:rsidR="003A7C98" w:rsidRDefault="007A17C8">
      <w:pPr>
        <w:pStyle w:val="TableofFigures"/>
        <w:rPr>
          <w:rFonts w:eastAsiaTheme="minorEastAsia" w:cstheme="minorBidi"/>
          <w:b w:val="0"/>
          <w:szCs w:val="22"/>
        </w:rPr>
      </w:pPr>
      <w:hyperlink w:anchor="_Toc416357899" w:history="1">
        <w:r w:rsidR="003A7C98" w:rsidRPr="006C3C14">
          <w:rPr>
            <w:rStyle w:val="Hyperlink"/>
            <w:rFonts w:eastAsia="SimSun"/>
            <w:lang w:eastAsia="zh-CN"/>
          </w:rPr>
          <w:t>Figure 14. Trend of Age Distribution among Admission Population (FY11 ~ FY14)</w:t>
        </w:r>
        <w:r w:rsidR="003A7C98">
          <w:rPr>
            <w:webHidden/>
          </w:rPr>
          <w:tab/>
        </w:r>
        <w:r w:rsidR="003A7C98">
          <w:rPr>
            <w:webHidden/>
          </w:rPr>
          <w:fldChar w:fldCharType="begin"/>
        </w:r>
        <w:r w:rsidR="003A7C98">
          <w:rPr>
            <w:webHidden/>
          </w:rPr>
          <w:instrText xml:space="preserve"> PAGEREF _Toc416357899 \h </w:instrText>
        </w:r>
        <w:r w:rsidR="003A7C98">
          <w:rPr>
            <w:webHidden/>
          </w:rPr>
        </w:r>
        <w:r w:rsidR="003A7C98">
          <w:rPr>
            <w:webHidden/>
          </w:rPr>
          <w:fldChar w:fldCharType="separate"/>
        </w:r>
        <w:r w:rsidR="007E3DB6">
          <w:rPr>
            <w:webHidden/>
          </w:rPr>
          <w:t>19</w:t>
        </w:r>
        <w:r w:rsidR="003A7C98">
          <w:rPr>
            <w:webHidden/>
          </w:rPr>
          <w:fldChar w:fldCharType="end"/>
        </w:r>
      </w:hyperlink>
    </w:p>
    <w:p w:rsidR="003A7C98" w:rsidRDefault="007A17C8">
      <w:pPr>
        <w:pStyle w:val="TableofFigures"/>
        <w:rPr>
          <w:rFonts w:eastAsiaTheme="minorEastAsia" w:cstheme="minorBidi"/>
          <w:b w:val="0"/>
          <w:szCs w:val="22"/>
        </w:rPr>
      </w:pPr>
      <w:hyperlink w:anchor="_Toc416357900" w:history="1">
        <w:r w:rsidR="003A7C98" w:rsidRPr="006C3C14">
          <w:rPr>
            <w:rStyle w:val="Hyperlink"/>
            <w:rFonts w:eastAsia="SimSun"/>
            <w:lang w:eastAsia="zh-CN"/>
          </w:rPr>
          <w:t>Figure 15. Trend of Age Distribution among Discharge Population (FY11 ~ FY14)</w:t>
        </w:r>
        <w:r w:rsidR="003A7C98">
          <w:rPr>
            <w:webHidden/>
          </w:rPr>
          <w:tab/>
        </w:r>
        <w:r w:rsidR="003A7C98">
          <w:rPr>
            <w:webHidden/>
          </w:rPr>
          <w:fldChar w:fldCharType="begin"/>
        </w:r>
        <w:r w:rsidR="003A7C98">
          <w:rPr>
            <w:webHidden/>
          </w:rPr>
          <w:instrText xml:space="preserve"> PAGEREF _Toc416357900 \h </w:instrText>
        </w:r>
        <w:r w:rsidR="003A7C98">
          <w:rPr>
            <w:webHidden/>
          </w:rPr>
        </w:r>
        <w:r w:rsidR="003A7C98">
          <w:rPr>
            <w:webHidden/>
          </w:rPr>
          <w:fldChar w:fldCharType="separate"/>
        </w:r>
        <w:r w:rsidR="007E3DB6">
          <w:rPr>
            <w:webHidden/>
          </w:rPr>
          <w:t>19</w:t>
        </w:r>
        <w:r w:rsidR="003A7C98">
          <w:rPr>
            <w:webHidden/>
          </w:rPr>
          <w:fldChar w:fldCharType="end"/>
        </w:r>
      </w:hyperlink>
    </w:p>
    <w:p w:rsidR="003A7C98" w:rsidRDefault="007A17C8">
      <w:pPr>
        <w:pStyle w:val="TableofFigures"/>
        <w:rPr>
          <w:rFonts w:eastAsiaTheme="minorEastAsia" w:cstheme="minorBidi"/>
          <w:b w:val="0"/>
          <w:szCs w:val="22"/>
        </w:rPr>
      </w:pPr>
      <w:hyperlink w:anchor="_Toc416357901" w:history="1">
        <w:r w:rsidR="003A7C98" w:rsidRPr="006C3C14">
          <w:rPr>
            <w:rStyle w:val="Hyperlink"/>
          </w:rPr>
          <w:t>Figure 16. Age &amp; Gender Distribution (09/30/14)</w:t>
        </w:r>
        <w:r w:rsidR="003A7C98">
          <w:rPr>
            <w:webHidden/>
          </w:rPr>
          <w:tab/>
        </w:r>
        <w:r w:rsidR="003A7C98">
          <w:rPr>
            <w:webHidden/>
          </w:rPr>
          <w:fldChar w:fldCharType="begin"/>
        </w:r>
        <w:r w:rsidR="003A7C98">
          <w:rPr>
            <w:webHidden/>
          </w:rPr>
          <w:instrText xml:space="preserve"> PAGEREF _Toc416357901 \h </w:instrText>
        </w:r>
        <w:r w:rsidR="003A7C98">
          <w:rPr>
            <w:webHidden/>
          </w:rPr>
        </w:r>
        <w:r w:rsidR="003A7C98">
          <w:rPr>
            <w:webHidden/>
          </w:rPr>
          <w:fldChar w:fldCharType="separate"/>
        </w:r>
        <w:r w:rsidR="007E3DB6">
          <w:rPr>
            <w:webHidden/>
          </w:rPr>
          <w:t>20</w:t>
        </w:r>
        <w:r w:rsidR="003A7C98">
          <w:rPr>
            <w:webHidden/>
          </w:rPr>
          <w:fldChar w:fldCharType="end"/>
        </w:r>
      </w:hyperlink>
    </w:p>
    <w:p w:rsidR="003A7C98" w:rsidRDefault="007A17C8">
      <w:pPr>
        <w:pStyle w:val="TableofFigures"/>
        <w:rPr>
          <w:rFonts w:eastAsiaTheme="minorEastAsia" w:cstheme="minorBidi"/>
          <w:b w:val="0"/>
          <w:szCs w:val="22"/>
        </w:rPr>
      </w:pPr>
      <w:hyperlink w:anchor="_Toc416357902" w:history="1">
        <w:r w:rsidR="003A7C98" w:rsidRPr="006C3C14">
          <w:rPr>
            <w:rStyle w:val="Hyperlink"/>
          </w:rPr>
          <w:t>Figure 17. Trend in Median LOS of Individuals Remaining in Care (11/07/07 ~ 09/30/14)</w:t>
        </w:r>
        <w:r w:rsidR="003A7C98">
          <w:rPr>
            <w:webHidden/>
          </w:rPr>
          <w:tab/>
        </w:r>
        <w:r w:rsidR="003A7C98">
          <w:rPr>
            <w:webHidden/>
          </w:rPr>
          <w:fldChar w:fldCharType="begin"/>
        </w:r>
        <w:r w:rsidR="003A7C98">
          <w:rPr>
            <w:webHidden/>
          </w:rPr>
          <w:instrText xml:space="preserve"> PAGEREF _Toc416357902 \h </w:instrText>
        </w:r>
        <w:r w:rsidR="003A7C98">
          <w:rPr>
            <w:webHidden/>
          </w:rPr>
        </w:r>
        <w:r w:rsidR="003A7C98">
          <w:rPr>
            <w:webHidden/>
          </w:rPr>
          <w:fldChar w:fldCharType="separate"/>
        </w:r>
        <w:r w:rsidR="007E3DB6">
          <w:rPr>
            <w:webHidden/>
          </w:rPr>
          <w:t>22</w:t>
        </w:r>
        <w:r w:rsidR="003A7C98">
          <w:rPr>
            <w:webHidden/>
          </w:rPr>
          <w:fldChar w:fldCharType="end"/>
        </w:r>
      </w:hyperlink>
    </w:p>
    <w:p w:rsidR="003A7C98" w:rsidRDefault="007A17C8">
      <w:pPr>
        <w:pStyle w:val="TableofFigures"/>
        <w:rPr>
          <w:rFonts w:eastAsiaTheme="minorEastAsia" w:cstheme="minorBidi"/>
          <w:b w:val="0"/>
          <w:szCs w:val="22"/>
        </w:rPr>
      </w:pPr>
      <w:hyperlink w:anchor="_Toc416357903" w:history="1">
        <w:r w:rsidR="003A7C98" w:rsidRPr="006C3C14">
          <w:rPr>
            <w:rStyle w:val="Hyperlink"/>
          </w:rPr>
          <w:t>Figure 18. Percentage of Individuals in Care by Length of Stay (09/30/10 ~ 09/30/14)</w:t>
        </w:r>
        <w:r w:rsidR="003A7C98">
          <w:rPr>
            <w:webHidden/>
          </w:rPr>
          <w:tab/>
        </w:r>
        <w:r w:rsidR="003A7C98">
          <w:rPr>
            <w:webHidden/>
          </w:rPr>
          <w:fldChar w:fldCharType="begin"/>
        </w:r>
        <w:r w:rsidR="003A7C98">
          <w:rPr>
            <w:webHidden/>
          </w:rPr>
          <w:instrText xml:space="preserve"> PAGEREF _Toc416357903 \h </w:instrText>
        </w:r>
        <w:r w:rsidR="003A7C98">
          <w:rPr>
            <w:webHidden/>
          </w:rPr>
        </w:r>
        <w:r w:rsidR="003A7C98">
          <w:rPr>
            <w:webHidden/>
          </w:rPr>
          <w:fldChar w:fldCharType="separate"/>
        </w:r>
        <w:r w:rsidR="007E3DB6">
          <w:rPr>
            <w:webHidden/>
          </w:rPr>
          <w:t>23</w:t>
        </w:r>
        <w:r w:rsidR="003A7C98">
          <w:rPr>
            <w:webHidden/>
          </w:rPr>
          <w:fldChar w:fldCharType="end"/>
        </w:r>
      </w:hyperlink>
    </w:p>
    <w:p w:rsidR="003A7C98" w:rsidRDefault="007A17C8">
      <w:pPr>
        <w:pStyle w:val="TableofFigures"/>
        <w:rPr>
          <w:rFonts w:eastAsiaTheme="minorEastAsia" w:cstheme="minorBidi"/>
          <w:b w:val="0"/>
          <w:szCs w:val="22"/>
        </w:rPr>
      </w:pPr>
      <w:hyperlink w:anchor="_Toc416357904" w:history="1">
        <w:r w:rsidR="003A7C98" w:rsidRPr="006C3C14">
          <w:rPr>
            <w:rStyle w:val="Hyperlink"/>
            <w:rFonts w:eastAsia="SimSun"/>
            <w:lang w:eastAsia="zh-CN"/>
          </w:rPr>
          <w:t>Figure 19. Median LOS by Legal Status (09/30/14)</w:t>
        </w:r>
        <w:r w:rsidR="003A7C98">
          <w:rPr>
            <w:webHidden/>
          </w:rPr>
          <w:tab/>
        </w:r>
        <w:r w:rsidR="003A7C98">
          <w:rPr>
            <w:webHidden/>
          </w:rPr>
          <w:fldChar w:fldCharType="begin"/>
        </w:r>
        <w:r w:rsidR="003A7C98">
          <w:rPr>
            <w:webHidden/>
          </w:rPr>
          <w:instrText xml:space="preserve"> PAGEREF _Toc416357904 \h </w:instrText>
        </w:r>
        <w:r w:rsidR="003A7C98">
          <w:rPr>
            <w:webHidden/>
          </w:rPr>
        </w:r>
        <w:r w:rsidR="003A7C98">
          <w:rPr>
            <w:webHidden/>
          </w:rPr>
          <w:fldChar w:fldCharType="separate"/>
        </w:r>
        <w:r w:rsidR="007E3DB6">
          <w:rPr>
            <w:webHidden/>
          </w:rPr>
          <w:t>23</w:t>
        </w:r>
        <w:r w:rsidR="003A7C98">
          <w:rPr>
            <w:webHidden/>
          </w:rPr>
          <w:fldChar w:fldCharType="end"/>
        </w:r>
      </w:hyperlink>
    </w:p>
    <w:p w:rsidR="003A7C98" w:rsidRDefault="007A17C8">
      <w:pPr>
        <w:pStyle w:val="TableofFigures"/>
        <w:rPr>
          <w:rFonts w:eastAsiaTheme="minorEastAsia" w:cstheme="minorBidi"/>
          <w:b w:val="0"/>
          <w:szCs w:val="22"/>
        </w:rPr>
      </w:pPr>
      <w:hyperlink w:anchor="_Toc416357905" w:history="1">
        <w:r w:rsidR="003A7C98" w:rsidRPr="006C3C14">
          <w:rPr>
            <w:rStyle w:val="Hyperlink"/>
            <w:rFonts w:eastAsia="SimSun"/>
            <w:lang w:eastAsia="zh-CN"/>
          </w:rPr>
          <w:t>Figure 20. LOS by Gender and Legal Status (09/30/14)</w:t>
        </w:r>
        <w:r w:rsidR="003A7C98">
          <w:rPr>
            <w:webHidden/>
          </w:rPr>
          <w:tab/>
        </w:r>
        <w:r w:rsidR="003A7C98">
          <w:rPr>
            <w:webHidden/>
          </w:rPr>
          <w:fldChar w:fldCharType="begin"/>
        </w:r>
        <w:r w:rsidR="003A7C98">
          <w:rPr>
            <w:webHidden/>
          </w:rPr>
          <w:instrText xml:space="preserve"> PAGEREF _Toc416357905 \h </w:instrText>
        </w:r>
        <w:r w:rsidR="003A7C98">
          <w:rPr>
            <w:webHidden/>
          </w:rPr>
        </w:r>
        <w:r w:rsidR="003A7C98">
          <w:rPr>
            <w:webHidden/>
          </w:rPr>
          <w:fldChar w:fldCharType="separate"/>
        </w:r>
        <w:r w:rsidR="007E3DB6">
          <w:rPr>
            <w:webHidden/>
          </w:rPr>
          <w:t>24</w:t>
        </w:r>
        <w:r w:rsidR="003A7C98">
          <w:rPr>
            <w:webHidden/>
          </w:rPr>
          <w:fldChar w:fldCharType="end"/>
        </w:r>
      </w:hyperlink>
    </w:p>
    <w:p w:rsidR="003A7C98" w:rsidRDefault="007A17C8">
      <w:pPr>
        <w:pStyle w:val="TableofFigures"/>
        <w:rPr>
          <w:rFonts w:eastAsiaTheme="minorEastAsia" w:cstheme="minorBidi"/>
          <w:b w:val="0"/>
          <w:szCs w:val="22"/>
        </w:rPr>
      </w:pPr>
      <w:hyperlink w:anchor="_Toc416357906" w:history="1">
        <w:r w:rsidR="003A7C98" w:rsidRPr="006C3C14">
          <w:rPr>
            <w:rStyle w:val="Hyperlink"/>
          </w:rPr>
          <w:t>Figure 21. LOS by Admission Legal Status (FY12 ~ FY14)</w:t>
        </w:r>
        <w:r w:rsidR="003A7C98">
          <w:rPr>
            <w:webHidden/>
          </w:rPr>
          <w:tab/>
        </w:r>
        <w:r w:rsidR="003A7C98">
          <w:rPr>
            <w:webHidden/>
          </w:rPr>
          <w:fldChar w:fldCharType="begin"/>
        </w:r>
        <w:r w:rsidR="003A7C98">
          <w:rPr>
            <w:webHidden/>
          </w:rPr>
          <w:instrText xml:space="preserve"> PAGEREF _Toc416357906 \h </w:instrText>
        </w:r>
        <w:r w:rsidR="003A7C98">
          <w:rPr>
            <w:webHidden/>
          </w:rPr>
        </w:r>
        <w:r w:rsidR="003A7C98">
          <w:rPr>
            <w:webHidden/>
          </w:rPr>
          <w:fldChar w:fldCharType="separate"/>
        </w:r>
        <w:r w:rsidR="007E3DB6">
          <w:rPr>
            <w:webHidden/>
          </w:rPr>
          <w:t>25</w:t>
        </w:r>
        <w:r w:rsidR="003A7C98">
          <w:rPr>
            <w:webHidden/>
          </w:rPr>
          <w:fldChar w:fldCharType="end"/>
        </w:r>
      </w:hyperlink>
    </w:p>
    <w:p w:rsidR="003A7C98" w:rsidRDefault="007A17C8">
      <w:pPr>
        <w:pStyle w:val="TableofFigures"/>
        <w:rPr>
          <w:rFonts w:eastAsiaTheme="minorEastAsia" w:cstheme="minorBidi"/>
          <w:b w:val="0"/>
          <w:szCs w:val="22"/>
        </w:rPr>
      </w:pPr>
      <w:hyperlink w:anchor="_Toc416357907" w:history="1">
        <w:r w:rsidR="003A7C98" w:rsidRPr="006C3C14">
          <w:rPr>
            <w:rStyle w:val="Hyperlink"/>
            <w:rFonts w:eastAsia="SimSun"/>
            <w:lang w:eastAsia="zh-CN"/>
          </w:rPr>
          <w:t>Figure 22. Trend of Readmission Rate (FY10 ~ FY14)</w:t>
        </w:r>
        <w:r w:rsidR="003A7C98">
          <w:rPr>
            <w:webHidden/>
          </w:rPr>
          <w:tab/>
        </w:r>
        <w:r w:rsidR="003A7C98">
          <w:rPr>
            <w:webHidden/>
          </w:rPr>
          <w:fldChar w:fldCharType="begin"/>
        </w:r>
        <w:r w:rsidR="003A7C98">
          <w:rPr>
            <w:webHidden/>
          </w:rPr>
          <w:instrText xml:space="preserve"> PAGEREF _Toc416357907 \h </w:instrText>
        </w:r>
        <w:r w:rsidR="003A7C98">
          <w:rPr>
            <w:webHidden/>
          </w:rPr>
        </w:r>
        <w:r w:rsidR="003A7C98">
          <w:rPr>
            <w:webHidden/>
          </w:rPr>
          <w:fldChar w:fldCharType="separate"/>
        </w:r>
        <w:r w:rsidR="007E3DB6">
          <w:rPr>
            <w:webHidden/>
          </w:rPr>
          <w:t>26</w:t>
        </w:r>
        <w:r w:rsidR="003A7C98">
          <w:rPr>
            <w:webHidden/>
          </w:rPr>
          <w:fldChar w:fldCharType="end"/>
        </w:r>
      </w:hyperlink>
    </w:p>
    <w:p w:rsidR="003A7C98" w:rsidRDefault="007A17C8">
      <w:pPr>
        <w:pStyle w:val="TableofFigures"/>
        <w:rPr>
          <w:rFonts w:eastAsiaTheme="minorEastAsia" w:cstheme="minorBidi"/>
          <w:b w:val="0"/>
          <w:szCs w:val="22"/>
        </w:rPr>
      </w:pPr>
      <w:hyperlink w:anchor="_Toc416357908" w:history="1">
        <w:r w:rsidR="003A7C98" w:rsidRPr="006C3C14">
          <w:rPr>
            <w:rStyle w:val="Hyperlink"/>
            <w:rFonts w:eastAsia="SimSun"/>
            <w:lang w:eastAsia="zh-CN"/>
          </w:rPr>
          <w:t>Figure 23. Readmission by Legal Status (FY14)</w:t>
        </w:r>
        <w:r w:rsidR="003A7C98">
          <w:rPr>
            <w:webHidden/>
          </w:rPr>
          <w:tab/>
        </w:r>
        <w:r w:rsidR="003A7C98">
          <w:rPr>
            <w:webHidden/>
          </w:rPr>
          <w:fldChar w:fldCharType="begin"/>
        </w:r>
        <w:r w:rsidR="003A7C98">
          <w:rPr>
            <w:webHidden/>
          </w:rPr>
          <w:instrText xml:space="preserve"> PAGEREF _Toc416357908 \h </w:instrText>
        </w:r>
        <w:r w:rsidR="003A7C98">
          <w:rPr>
            <w:webHidden/>
          </w:rPr>
        </w:r>
        <w:r w:rsidR="003A7C98">
          <w:rPr>
            <w:webHidden/>
          </w:rPr>
          <w:fldChar w:fldCharType="separate"/>
        </w:r>
        <w:r w:rsidR="007E3DB6">
          <w:rPr>
            <w:webHidden/>
          </w:rPr>
          <w:t>26</w:t>
        </w:r>
        <w:r w:rsidR="003A7C98">
          <w:rPr>
            <w:webHidden/>
          </w:rPr>
          <w:fldChar w:fldCharType="end"/>
        </w:r>
      </w:hyperlink>
    </w:p>
    <w:p w:rsidR="003A7C98" w:rsidRDefault="007A17C8">
      <w:pPr>
        <w:pStyle w:val="TableofFigures"/>
        <w:rPr>
          <w:rFonts w:eastAsiaTheme="minorEastAsia" w:cstheme="minorBidi"/>
          <w:b w:val="0"/>
          <w:szCs w:val="22"/>
        </w:rPr>
      </w:pPr>
      <w:hyperlink w:anchor="_Toc416357909" w:history="1">
        <w:r w:rsidR="003A7C98" w:rsidRPr="006C3C14">
          <w:rPr>
            <w:rStyle w:val="Hyperlink"/>
            <w:rFonts w:eastAsia="SimSun"/>
            <w:lang w:eastAsia="zh-CN"/>
          </w:rPr>
          <w:t>Figure 24. Percentage of Females among Readmission Population (FY14)</w:t>
        </w:r>
        <w:r w:rsidR="003A7C98">
          <w:rPr>
            <w:webHidden/>
          </w:rPr>
          <w:tab/>
        </w:r>
        <w:r w:rsidR="003A7C98">
          <w:rPr>
            <w:webHidden/>
          </w:rPr>
          <w:fldChar w:fldCharType="begin"/>
        </w:r>
        <w:r w:rsidR="003A7C98">
          <w:rPr>
            <w:webHidden/>
          </w:rPr>
          <w:instrText xml:space="preserve"> PAGEREF _Toc416357909 \h </w:instrText>
        </w:r>
        <w:r w:rsidR="003A7C98">
          <w:rPr>
            <w:webHidden/>
          </w:rPr>
        </w:r>
        <w:r w:rsidR="003A7C98">
          <w:rPr>
            <w:webHidden/>
          </w:rPr>
          <w:fldChar w:fldCharType="separate"/>
        </w:r>
        <w:r w:rsidR="007E3DB6">
          <w:rPr>
            <w:webHidden/>
          </w:rPr>
          <w:t>28</w:t>
        </w:r>
        <w:r w:rsidR="003A7C98">
          <w:rPr>
            <w:webHidden/>
          </w:rPr>
          <w:fldChar w:fldCharType="end"/>
        </w:r>
      </w:hyperlink>
    </w:p>
    <w:p w:rsidR="003A7C98" w:rsidRDefault="007A17C8">
      <w:pPr>
        <w:pStyle w:val="TableofFigures"/>
        <w:rPr>
          <w:rFonts w:eastAsiaTheme="minorEastAsia" w:cstheme="minorBidi"/>
          <w:b w:val="0"/>
          <w:szCs w:val="22"/>
        </w:rPr>
      </w:pPr>
      <w:hyperlink w:anchor="_Toc416357910" w:history="1">
        <w:r w:rsidR="003A7C98" w:rsidRPr="006C3C14">
          <w:rPr>
            <w:rStyle w:val="Hyperlink"/>
            <w:rFonts w:eastAsia="SimSun"/>
            <w:lang w:eastAsia="zh-CN"/>
          </w:rPr>
          <w:t>Figure 25. Median Age of Readmission Population (FY14)</w:t>
        </w:r>
        <w:r w:rsidR="003A7C98">
          <w:rPr>
            <w:webHidden/>
          </w:rPr>
          <w:tab/>
        </w:r>
        <w:r w:rsidR="003A7C98">
          <w:rPr>
            <w:webHidden/>
          </w:rPr>
          <w:fldChar w:fldCharType="begin"/>
        </w:r>
        <w:r w:rsidR="003A7C98">
          <w:rPr>
            <w:webHidden/>
          </w:rPr>
          <w:instrText xml:space="preserve"> PAGEREF _Toc416357910 \h </w:instrText>
        </w:r>
        <w:r w:rsidR="003A7C98">
          <w:rPr>
            <w:webHidden/>
          </w:rPr>
        </w:r>
        <w:r w:rsidR="003A7C98">
          <w:rPr>
            <w:webHidden/>
          </w:rPr>
          <w:fldChar w:fldCharType="separate"/>
        </w:r>
        <w:r w:rsidR="007E3DB6">
          <w:rPr>
            <w:webHidden/>
          </w:rPr>
          <w:t>28</w:t>
        </w:r>
        <w:r w:rsidR="003A7C98">
          <w:rPr>
            <w:webHidden/>
          </w:rPr>
          <w:fldChar w:fldCharType="end"/>
        </w:r>
      </w:hyperlink>
    </w:p>
    <w:p w:rsidR="003A7C98" w:rsidRDefault="007A17C8">
      <w:pPr>
        <w:pStyle w:val="TableofFigures"/>
        <w:rPr>
          <w:rFonts w:eastAsiaTheme="minorEastAsia" w:cstheme="minorBidi"/>
          <w:b w:val="0"/>
          <w:szCs w:val="22"/>
        </w:rPr>
      </w:pPr>
      <w:hyperlink w:anchor="_Toc416357911" w:history="1">
        <w:r w:rsidR="003A7C98" w:rsidRPr="006C3C14">
          <w:rPr>
            <w:rStyle w:val="Hyperlink"/>
            <w:rFonts w:eastAsia="SimSun"/>
            <w:lang w:eastAsia="zh-CN"/>
          </w:rPr>
          <w:t>Figure 26. Median LOS during Previous Hospitalization prior to Readmission (FY13 vs. FY14)</w:t>
        </w:r>
        <w:r w:rsidR="003A7C98">
          <w:rPr>
            <w:webHidden/>
          </w:rPr>
          <w:tab/>
        </w:r>
        <w:r w:rsidR="003A7C98">
          <w:rPr>
            <w:webHidden/>
          </w:rPr>
          <w:fldChar w:fldCharType="begin"/>
        </w:r>
        <w:r w:rsidR="003A7C98">
          <w:rPr>
            <w:webHidden/>
          </w:rPr>
          <w:instrText xml:space="preserve"> PAGEREF _Toc416357911 \h </w:instrText>
        </w:r>
        <w:r w:rsidR="003A7C98">
          <w:rPr>
            <w:webHidden/>
          </w:rPr>
        </w:r>
        <w:r w:rsidR="003A7C98">
          <w:rPr>
            <w:webHidden/>
          </w:rPr>
          <w:fldChar w:fldCharType="separate"/>
        </w:r>
        <w:r w:rsidR="007E3DB6">
          <w:rPr>
            <w:webHidden/>
          </w:rPr>
          <w:t>28</w:t>
        </w:r>
        <w:r w:rsidR="003A7C98">
          <w:rPr>
            <w:webHidden/>
          </w:rPr>
          <w:fldChar w:fldCharType="end"/>
        </w:r>
      </w:hyperlink>
    </w:p>
    <w:p w:rsidR="003A7C98" w:rsidRDefault="007A17C8">
      <w:pPr>
        <w:pStyle w:val="TableofFigures"/>
        <w:rPr>
          <w:rFonts w:eastAsiaTheme="minorEastAsia" w:cstheme="minorBidi"/>
          <w:b w:val="0"/>
          <w:szCs w:val="22"/>
        </w:rPr>
      </w:pPr>
      <w:hyperlink w:anchor="_Toc416357912" w:history="1">
        <w:r w:rsidR="003A7C98" w:rsidRPr="006C3C14">
          <w:rPr>
            <w:rStyle w:val="Hyperlink"/>
          </w:rPr>
          <w:t>Figure 27. Individuals in Care with Diagnosis on Axis I (FY12 ~ FY14)</w:t>
        </w:r>
        <w:r w:rsidR="003A7C98">
          <w:rPr>
            <w:webHidden/>
          </w:rPr>
          <w:tab/>
        </w:r>
        <w:r w:rsidR="003A7C98">
          <w:rPr>
            <w:webHidden/>
          </w:rPr>
          <w:fldChar w:fldCharType="begin"/>
        </w:r>
        <w:r w:rsidR="003A7C98">
          <w:rPr>
            <w:webHidden/>
          </w:rPr>
          <w:instrText xml:space="preserve"> PAGEREF _Toc416357912 \h </w:instrText>
        </w:r>
        <w:r w:rsidR="003A7C98">
          <w:rPr>
            <w:webHidden/>
          </w:rPr>
        </w:r>
        <w:r w:rsidR="003A7C98">
          <w:rPr>
            <w:webHidden/>
          </w:rPr>
          <w:fldChar w:fldCharType="separate"/>
        </w:r>
        <w:r w:rsidR="007E3DB6">
          <w:rPr>
            <w:webHidden/>
          </w:rPr>
          <w:t>29</w:t>
        </w:r>
        <w:r w:rsidR="003A7C98">
          <w:rPr>
            <w:webHidden/>
          </w:rPr>
          <w:fldChar w:fldCharType="end"/>
        </w:r>
      </w:hyperlink>
    </w:p>
    <w:p w:rsidR="003A7C98" w:rsidRDefault="007A17C8">
      <w:pPr>
        <w:pStyle w:val="TableofFigures"/>
        <w:rPr>
          <w:rFonts w:eastAsiaTheme="minorEastAsia" w:cstheme="minorBidi"/>
          <w:b w:val="0"/>
          <w:szCs w:val="22"/>
        </w:rPr>
      </w:pPr>
      <w:hyperlink w:anchor="_Toc416357913" w:history="1">
        <w:r w:rsidR="003A7C98" w:rsidRPr="006C3C14">
          <w:rPr>
            <w:rStyle w:val="Hyperlink"/>
          </w:rPr>
          <w:t>Figure 28. Individuals in Care with Substance Use Related Diagnosis by Substance Type (FY12 ~ FY14)</w:t>
        </w:r>
        <w:r w:rsidR="003A7C98">
          <w:rPr>
            <w:webHidden/>
          </w:rPr>
          <w:tab/>
        </w:r>
        <w:r w:rsidR="003A7C98">
          <w:rPr>
            <w:webHidden/>
          </w:rPr>
          <w:fldChar w:fldCharType="begin"/>
        </w:r>
        <w:r w:rsidR="003A7C98">
          <w:rPr>
            <w:webHidden/>
          </w:rPr>
          <w:instrText xml:space="preserve"> PAGEREF _Toc416357913 \h </w:instrText>
        </w:r>
        <w:r w:rsidR="003A7C98">
          <w:rPr>
            <w:webHidden/>
          </w:rPr>
        </w:r>
        <w:r w:rsidR="003A7C98">
          <w:rPr>
            <w:webHidden/>
          </w:rPr>
          <w:fldChar w:fldCharType="separate"/>
        </w:r>
        <w:r w:rsidR="007E3DB6">
          <w:rPr>
            <w:webHidden/>
          </w:rPr>
          <w:t>30</w:t>
        </w:r>
        <w:r w:rsidR="003A7C98">
          <w:rPr>
            <w:webHidden/>
          </w:rPr>
          <w:fldChar w:fldCharType="end"/>
        </w:r>
      </w:hyperlink>
    </w:p>
    <w:p w:rsidR="003A7C98" w:rsidRDefault="007A17C8">
      <w:pPr>
        <w:pStyle w:val="TableofFigures"/>
        <w:rPr>
          <w:rFonts w:eastAsiaTheme="minorEastAsia" w:cstheme="minorBidi"/>
          <w:b w:val="0"/>
          <w:szCs w:val="22"/>
        </w:rPr>
      </w:pPr>
      <w:hyperlink w:anchor="_Toc416357914" w:history="1">
        <w:r w:rsidR="003A7C98" w:rsidRPr="006C3C14">
          <w:rPr>
            <w:rStyle w:val="Hyperlink"/>
          </w:rPr>
          <w:t>Figure 29. Individuals in Care with Diagnosis on Axis II (FY12 ~ FY14)</w:t>
        </w:r>
        <w:r w:rsidR="003A7C98">
          <w:rPr>
            <w:webHidden/>
          </w:rPr>
          <w:tab/>
        </w:r>
        <w:r w:rsidR="003A7C98">
          <w:rPr>
            <w:webHidden/>
          </w:rPr>
          <w:fldChar w:fldCharType="begin"/>
        </w:r>
        <w:r w:rsidR="003A7C98">
          <w:rPr>
            <w:webHidden/>
          </w:rPr>
          <w:instrText xml:space="preserve"> PAGEREF _Toc416357914 \h </w:instrText>
        </w:r>
        <w:r w:rsidR="003A7C98">
          <w:rPr>
            <w:webHidden/>
          </w:rPr>
        </w:r>
        <w:r w:rsidR="003A7C98">
          <w:rPr>
            <w:webHidden/>
          </w:rPr>
          <w:fldChar w:fldCharType="separate"/>
        </w:r>
        <w:r w:rsidR="007E3DB6">
          <w:rPr>
            <w:webHidden/>
          </w:rPr>
          <w:t>31</w:t>
        </w:r>
        <w:r w:rsidR="003A7C98">
          <w:rPr>
            <w:webHidden/>
          </w:rPr>
          <w:fldChar w:fldCharType="end"/>
        </w:r>
      </w:hyperlink>
    </w:p>
    <w:p w:rsidR="003A7C98" w:rsidRDefault="007A17C8">
      <w:pPr>
        <w:pStyle w:val="TableofFigures"/>
        <w:rPr>
          <w:rFonts w:eastAsiaTheme="minorEastAsia" w:cstheme="minorBidi"/>
          <w:b w:val="0"/>
          <w:szCs w:val="22"/>
        </w:rPr>
      </w:pPr>
      <w:hyperlink w:anchor="_Toc416357915" w:history="1">
        <w:r w:rsidR="003A7C98" w:rsidRPr="006C3C14">
          <w:rPr>
            <w:rStyle w:val="Hyperlink"/>
            <w:rFonts w:eastAsia="SimSun"/>
            <w:lang w:eastAsia="zh-CN"/>
          </w:rPr>
          <w:t>Figure 30. Individuals in Care with Major Medical Conditions (FY12 ~ FY14)</w:t>
        </w:r>
        <w:r w:rsidR="003A7C98">
          <w:rPr>
            <w:webHidden/>
          </w:rPr>
          <w:tab/>
        </w:r>
        <w:r w:rsidR="003A7C98">
          <w:rPr>
            <w:webHidden/>
          </w:rPr>
          <w:fldChar w:fldCharType="begin"/>
        </w:r>
        <w:r w:rsidR="003A7C98">
          <w:rPr>
            <w:webHidden/>
          </w:rPr>
          <w:instrText xml:space="preserve"> PAGEREF _Toc416357915 \h </w:instrText>
        </w:r>
        <w:r w:rsidR="003A7C98">
          <w:rPr>
            <w:webHidden/>
          </w:rPr>
        </w:r>
        <w:r w:rsidR="003A7C98">
          <w:rPr>
            <w:webHidden/>
          </w:rPr>
          <w:fldChar w:fldCharType="separate"/>
        </w:r>
        <w:r w:rsidR="007E3DB6">
          <w:rPr>
            <w:webHidden/>
          </w:rPr>
          <w:t>32</w:t>
        </w:r>
        <w:r w:rsidR="003A7C98">
          <w:rPr>
            <w:webHidden/>
          </w:rPr>
          <w:fldChar w:fldCharType="end"/>
        </w:r>
      </w:hyperlink>
    </w:p>
    <w:p w:rsidR="003A7C98" w:rsidRDefault="007A17C8">
      <w:pPr>
        <w:pStyle w:val="TableofFigures"/>
        <w:rPr>
          <w:rFonts w:eastAsiaTheme="minorEastAsia" w:cstheme="minorBidi"/>
          <w:b w:val="0"/>
          <w:szCs w:val="22"/>
        </w:rPr>
      </w:pPr>
      <w:hyperlink w:anchor="_Toc416357916" w:history="1">
        <w:r w:rsidR="003A7C98" w:rsidRPr="006C3C14">
          <w:rPr>
            <w:rStyle w:val="Hyperlink"/>
          </w:rPr>
          <w:t>Figure 31. Number of Individuals in Care by Major Medical Condition (FY14)</w:t>
        </w:r>
        <w:r w:rsidR="003A7C98">
          <w:rPr>
            <w:webHidden/>
          </w:rPr>
          <w:tab/>
        </w:r>
        <w:r w:rsidR="003A7C98">
          <w:rPr>
            <w:webHidden/>
          </w:rPr>
          <w:fldChar w:fldCharType="begin"/>
        </w:r>
        <w:r w:rsidR="003A7C98">
          <w:rPr>
            <w:webHidden/>
          </w:rPr>
          <w:instrText xml:space="preserve"> PAGEREF _Toc416357916 \h </w:instrText>
        </w:r>
        <w:r w:rsidR="003A7C98">
          <w:rPr>
            <w:webHidden/>
          </w:rPr>
        </w:r>
        <w:r w:rsidR="003A7C98">
          <w:rPr>
            <w:webHidden/>
          </w:rPr>
          <w:fldChar w:fldCharType="separate"/>
        </w:r>
        <w:r w:rsidR="007E3DB6">
          <w:rPr>
            <w:webHidden/>
          </w:rPr>
          <w:t>32</w:t>
        </w:r>
        <w:r w:rsidR="003A7C98">
          <w:rPr>
            <w:webHidden/>
          </w:rPr>
          <w:fldChar w:fldCharType="end"/>
        </w:r>
      </w:hyperlink>
    </w:p>
    <w:p w:rsidR="003A7C98" w:rsidRDefault="007A17C8">
      <w:pPr>
        <w:pStyle w:val="TableofFigures"/>
        <w:rPr>
          <w:rFonts w:eastAsiaTheme="minorEastAsia" w:cstheme="minorBidi"/>
          <w:b w:val="0"/>
          <w:szCs w:val="22"/>
        </w:rPr>
      </w:pPr>
      <w:hyperlink w:anchor="_Toc416357917" w:history="1">
        <w:r w:rsidR="003A7C98" w:rsidRPr="006C3C14">
          <w:rPr>
            <w:rStyle w:val="Hyperlink"/>
          </w:rPr>
          <w:t>Figure 32. Individuals in Care with Psychosocial/Environmental Problems (Axis IV) Identified (09/30/14)</w:t>
        </w:r>
        <w:r w:rsidR="003A7C98">
          <w:rPr>
            <w:webHidden/>
          </w:rPr>
          <w:tab/>
        </w:r>
        <w:r w:rsidR="003A7C98">
          <w:rPr>
            <w:webHidden/>
          </w:rPr>
          <w:fldChar w:fldCharType="begin"/>
        </w:r>
        <w:r w:rsidR="003A7C98">
          <w:rPr>
            <w:webHidden/>
          </w:rPr>
          <w:instrText xml:space="preserve"> PAGEREF _Toc416357917 \h </w:instrText>
        </w:r>
        <w:r w:rsidR="003A7C98">
          <w:rPr>
            <w:webHidden/>
          </w:rPr>
        </w:r>
        <w:r w:rsidR="003A7C98">
          <w:rPr>
            <w:webHidden/>
          </w:rPr>
          <w:fldChar w:fldCharType="separate"/>
        </w:r>
        <w:r w:rsidR="007E3DB6">
          <w:rPr>
            <w:webHidden/>
          </w:rPr>
          <w:t>33</w:t>
        </w:r>
        <w:r w:rsidR="003A7C98">
          <w:rPr>
            <w:webHidden/>
          </w:rPr>
          <w:fldChar w:fldCharType="end"/>
        </w:r>
      </w:hyperlink>
    </w:p>
    <w:p w:rsidR="003A7C98" w:rsidRDefault="007A17C8">
      <w:pPr>
        <w:pStyle w:val="TableofFigures"/>
        <w:rPr>
          <w:rFonts w:eastAsiaTheme="minorEastAsia" w:cstheme="minorBidi"/>
          <w:b w:val="0"/>
          <w:szCs w:val="22"/>
        </w:rPr>
      </w:pPr>
      <w:hyperlink w:anchor="_Toc416357918" w:history="1">
        <w:r w:rsidR="003A7C98" w:rsidRPr="006C3C14">
          <w:rPr>
            <w:rStyle w:val="Hyperlink"/>
            <w:rFonts w:eastAsia="SimSun"/>
            <w:lang w:eastAsia="zh-CN"/>
          </w:rPr>
          <w:t>Figure 33. Trend of GAF Score (09/30/10 ~ 09/30/14)</w:t>
        </w:r>
        <w:r w:rsidR="003A7C98">
          <w:rPr>
            <w:webHidden/>
          </w:rPr>
          <w:tab/>
        </w:r>
        <w:r w:rsidR="003A7C98">
          <w:rPr>
            <w:webHidden/>
          </w:rPr>
          <w:fldChar w:fldCharType="begin"/>
        </w:r>
        <w:r w:rsidR="003A7C98">
          <w:rPr>
            <w:webHidden/>
          </w:rPr>
          <w:instrText xml:space="preserve"> PAGEREF _Toc416357918 \h </w:instrText>
        </w:r>
        <w:r w:rsidR="003A7C98">
          <w:rPr>
            <w:webHidden/>
          </w:rPr>
        </w:r>
        <w:r w:rsidR="003A7C98">
          <w:rPr>
            <w:webHidden/>
          </w:rPr>
          <w:fldChar w:fldCharType="separate"/>
        </w:r>
        <w:r w:rsidR="007E3DB6">
          <w:rPr>
            <w:webHidden/>
          </w:rPr>
          <w:t>33</w:t>
        </w:r>
        <w:r w:rsidR="003A7C98">
          <w:rPr>
            <w:webHidden/>
          </w:rPr>
          <w:fldChar w:fldCharType="end"/>
        </w:r>
      </w:hyperlink>
    </w:p>
    <w:p w:rsidR="003A7C98" w:rsidRDefault="007A17C8">
      <w:pPr>
        <w:pStyle w:val="TableofFigures"/>
        <w:rPr>
          <w:rFonts w:eastAsiaTheme="minorEastAsia" w:cstheme="minorBidi"/>
          <w:b w:val="0"/>
          <w:szCs w:val="22"/>
        </w:rPr>
      </w:pPr>
      <w:hyperlink w:anchor="_Toc416357919" w:history="1">
        <w:r w:rsidR="003A7C98" w:rsidRPr="006C3C14">
          <w:rPr>
            <w:rStyle w:val="Hyperlink"/>
            <w:rFonts w:eastAsia="SimSun"/>
            <w:lang w:eastAsia="zh-CN"/>
          </w:rPr>
          <w:t>Figure 34. Distribution of Individuals in Care by BMI and Obesity Population (09/03/10 ~ 9/30/14)</w:t>
        </w:r>
        <w:r w:rsidR="003A7C98">
          <w:rPr>
            <w:webHidden/>
          </w:rPr>
          <w:tab/>
        </w:r>
        <w:r w:rsidR="003A7C98">
          <w:rPr>
            <w:webHidden/>
          </w:rPr>
          <w:fldChar w:fldCharType="begin"/>
        </w:r>
        <w:r w:rsidR="003A7C98">
          <w:rPr>
            <w:webHidden/>
          </w:rPr>
          <w:instrText xml:space="preserve"> PAGEREF _Toc416357919 \h </w:instrText>
        </w:r>
        <w:r w:rsidR="003A7C98">
          <w:rPr>
            <w:webHidden/>
          </w:rPr>
        </w:r>
        <w:r w:rsidR="003A7C98">
          <w:rPr>
            <w:webHidden/>
          </w:rPr>
          <w:fldChar w:fldCharType="separate"/>
        </w:r>
        <w:r w:rsidR="007E3DB6">
          <w:rPr>
            <w:webHidden/>
          </w:rPr>
          <w:t>34</w:t>
        </w:r>
        <w:r w:rsidR="003A7C98">
          <w:rPr>
            <w:webHidden/>
          </w:rPr>
          <w:fldChar w:fldCharType="end"/>
        </w:r>
      </w:hyperlink>
    </w:p>
    <w:p w:rsidR="003A7C98" w:rsidRDefault="007A17C8">
      <w:pPr>
        <w:pStyle w:val="TableofFigures"/>
        <w:rPr>
          <w:rFonts w:eastAsiaTheme="minorEastAsia" w:cstheme="minorBidi"/>
          <w:b w:val="0"/>
          <w:szCs w:val="22"/>
        </w:rPr>
      </w:pPr>
      <w:hyperlink w:anchor="_Toc416357920" w:history="1">
        <w:r w:rsidR="003A7C98" w:rsidRPr="006C3C14">
          <w:rPr>
            <w:rStyle w:val="Hyperlink"/>
          </w:rPr>
          <w:t>Figure 35. Weight Gain or Loss by Length of Stay from Admission (FY14)</w:t>
        </w:r>
        <w:r w:rsidR="003A7C98">
          <w:rPr>
            <w:webHidden/>
          </w:rPr>
          <w:tab/>
        </w:r>
        <w:r w:rsidR="003A7C98">
          <w:rPr>
            <w:webHidden/>
          </w:rPr>
          <w:fldChar w:fldCharType="begin"/>
        </w:r>
        <w:r w:rsidR="003A7C98">
          <w:rPr>
            <w:webHidden/>
          </w:rPr>
          <w:instrText xml:space="preserve"> PAGEREF _Toc416357920 \h </w:instrText>
        </w:r>
        <w:r w:rsidR="003A7C98">
          <w:rPr>
            <w:webHidden/>
          </w:rPr>
        </w:r>
        <w:r w:rsidR="003A7C98">
          <w:rPr>
            <w:webHidden/>
          </w:rPr>
          <w:fldChar w:fldCharType="separate"/>
        </w:r>
        <w:r w:rsidR="007E3DB6">
          <w:rPr>
            <w:webHidden/>
          </w:rPr>
          <w:t>35</w:t>
        </w:r>
        <w:r w:rsidR="003A7C98">
          <w:rPr>
            <w:webHidden/>
          </w:rPr>
          <w:fldChar w:fldCharType="end"/>
        </w:r>
      </w:hyperlink>
    </w:p>
    <w:p w:rsidR="003A7C98" w:rsidRDefault="007A17C8">
      <w:pPr>
        <w:pStyle w:val="TableofFigures"/>
        <w:rPr>
          <w:rFonts w:eastAsiaTheme="minorEastAsia" w:cstheme="minorBidi"/>
          <w:b w:val="0"/>
          <w:szCs w:val="22"/>
        </w:rPr>
      </w:pPr>
      <w:hyperlink w:anchor="_Toc416357921" w:history="1">
        <w:r w:rsidR="003A7C98" w:rsidRPr="006C3C14">
          <w:rPr>
            <w:rStyle w:val="Hyperlink"/>
          </w:rPr>
          <w:t>Figure 36. Percentage of Average Weight Gain from Admission (FY13 ~ FY14)</w:t>
        </w:r>
        <w:r w:rsidR="003A7C98">
          <w:rPr>
            <w:webHidden/>
          </w:rPr>
          <w:tab/>
        </w:r>
        <w:r w:rsidR="003A7C98">
          <w:rPr>
            <w:webHidden/>
          </w:rPr>
          <w:fldChar w:fldCharType="begin"/>
        </w:r>
        <w:r w:rsidR="003A7C98">
          <w:rPr>
            <w:webHidden/>
          </w:rPr>
          <w:instrText xml:space="preserve"> PAGEREF _Toc416357921 \h </w:instrText>
        </w:r>
        <w:r w:rsidR="003A7C98">
          <w:rPr>
            <w:webHidden/>
          </w:rPr>
        </w:r>
        <w:r w:rsidR="003A7C98">
          <w:rPr>
            <w:webHidden/>
          </w:rPr>
          <w:fldChar w:fldCharType="separate"/>
        </w:r>
        <w:r w:rsidR="007E3DB6">
          <w:rPr>
            <w:webHidden/>
          </w:rPr>
          <w:t>36</w:t>
        </w:r>
        <w:r w:rsidR="003A7C98">
          <w:rPr>
            <w:webHidden/>
          </w:rPr>
          <w:fldChar w:fldCharType="end"/>
        </w:r>
      </w:hyperlink>
    </w:p>
    <w:p w:rsidR="003A7C98" w:rsidRDefault="007A17C8">
      <w:pPr>
        <w:pStyle w:val="TableofFigures"/>
        <w:rPr>
          <w:rFonts w:eastAsiaTheme="minorEastAsia" w:cstheme="minorBidi"/>
          <w:b w:val="0"/>
          <w:szCs w:val="22"/>
        </w:rPr>
      </w:pPr>
      <w:hyperlink w:anchor="_Toc416357922" w:history="1">
        <w:r w:rsidR="003A7C98" w:rsidRPr="006C3C14">
          <w:rPr>
            <w:rStyle w:val="Hyperlink"/>
          </w:rPr>
          <w:t>Figure 37. Percentage of Individuals Obese (BMI&gt;=30) by Length of Stay from Admission (FY13 ~ FY14)</w:t>
        </w:r>
        <w:r w:rsidR="003A7C98">
          <w:rPr>
            <w:webHidden/>
          </w:rPr>
          <w:tab/>
        </w:r>
        <w:r w:rsidR="003A7C98">
          <w:rPr>
            <w:webHidden/>
          </w:rPr>
          <w:fldChar w:fldCharType="begin"/>
        </w:r>
        <w:r w:rsidR="003A7C98">
          <w:rPr>
            <w:webHidden/>
          </w:rPr>
          <w:instrText xml:space="preserve"> PAGEREF _Toc416357922 \h </w:instrText>
        </w:r>
        <w:r w:rsidR="003A7C98">
          <w:rPr>
            <w:webHidden/>
          </w:rPr>
        </w:r>
        <w:r w:rsidR="003A7C98">
          <w:rPr>
            <w:webHidden/>
          </w:rPr>
          <w:fldChar w:fldCharType="separate"/>
        </w:r>
        <w:r w:rsidR="007E3DB6">
          <w:rPr>
            <w:webHidden/>
          </w:rPr>
          <w:t>36</w:t>
        </w:r>
        <w:r w:rsidR="003A7C98">
          <w:rPr>
            <w:webHidden/>
          </w:rPr>
          <w:fldChar w:fldCharType="end"/>
        </w:r>
      </w:hyperlink>
    </w:p>
    <w:p w:rsidR="003A7C98" w:rsidRDefault="007A17C8">
      <w:pPr>
        <w:pStyle w:val="TableofFigures"/>
        <w:rPr>
          <w:rFonts w:eastAsiaTheme="minorEastAsia" w:cstheme="minorBidi"/>
          <w:b w:val="0"/>
          <w:szCs w:val="22"/>
        </w:rPr>
      </w:pPr>
      <w:hyperlink w:anchor="_Toc416357923" w:history="1">
        <w:r w:rsidR="003A7C98" w:rsidRPr="006C3C14">
          <w:rPr>
            <w:rStyle w:val="Hyperlink"/>
          </w:rPr>
          <w:t>Figure 38. Average Monthly Number of Unusual Incidents (UIs) between FY11 and FY14</w:t>
        </w:r>
        <w:r w:rsidR="003A7C98">
          <w:rPr>
            <w:webHidden/>
          </w:rPr>
          <w:tab/>
        </w:r>
        <w:r w:rsidR="003A7C98">
          <w:rPr>
            <w:webHidden/>
          </w:rPr>
          <w:fldChar w:fldCharType="begin"/>
        </w:r>
        <w:r w:rsidR="003A7C98">
          <w:rPr>
            <w:webHidden/>
          </w:rPr>
          <w:instrText xml:space="preserve"> PAGEREF _Toc416357923 \h </w:instrText>
        </w:r>
        <w:r w:rsidR="003A7C98">
          <w:rPr>
            <w:webHidden/>
          </w:rPr>
        </w:r>
        <w:r w:rsidR="003A7C98">
          <w:rPr>
            <w:webHidden/>
          </w:rPr>
          <w:fldChar w:fldCharType="separate"/>
        </w:r>
        <w:r w:rsidR="007E3DB6">
          <w:rPr>
            <w:webHidden/>
          </w:rPr>
          <w:t>37</w:t>
        </w:r>
        <w:r w:rsidR="003A7C98">
          <w:rPr>
            <w:webHidden/>
          </w:rPr>
          <w:fldChar w:fldCharType="end"/>
        </w:r>
      </w:hyperlink>
    </w:p>
    <w:p w:rsidR="003A7C98" w:rsidRDefault="007A17C8">
      <w:pPr>
        <w:pStyle w:val="TableofFigures"/>
        <w:rPr>
          <w:rFonts w:eastAsiaTheme="minorEastAsia" w:cstheme="minorBidi"/>
          <w:b w:val="0"/>
          <w:szCs w:val="22"/>
        </w:rPr>
      </w:pPr>
      <w:hyperlink w:anchor="_Toc416357924" w:history="1">
        <w:r w:rsidR="003A7C98" w:rsidRPr="006C3C14">
          <w:rPr>
            <w:rStyle w:val="Hyperlink"/>
          </w:rPr>
          <w:t>Figure 39. Trend in the Number of UIs by Month (FY14)</w:t>
        </w:r>
        <w:r w:rsidR="003A7C98">
          <w:rPr>
            <w:webHidden/>
          </w:rPr>
          <w:tab/>
        </w:r>
        <w:r w:rsidR="003A7C98">
          <w:rPr>
            <w:webHidden/>
          </w:rPr>
          <w:fldChar w:fldCharType="begin"/>
        </w:r>
        <w:r w:rsidR="003A7C98">
          <w:rPr>
            <w:webHidden/>
          </w:rPr>
          <w:instrText xml:space="preserve"> PAGEREF _Toc416357924 \h </w:instrText>
        </w:r>
        <w:r w:rsidR="003A7C98">
          <w:rPr>
            <w:webHidden/>
          </w:rPr>
        </w:r>
        <w:r w:rsidR="003A7C98">
          <w:rPr>
            <w:webHidden/>
          </w:rPr>
          <w:fldChar w:fldCharType="separate"/>
        </w:r>
        <w:r w:rsidR="007E3DB6">
          <w:rPr>
            <w:webHidden/>
          </w:rPr>
          <w:t>38</w:t>
        </w:r>
        <w:r w:rsidR="003A7C98">
          <w:rPr>
            <w:webHidden/>
          </w:rPr>
          <w:fldChar w:fldCharType="end"/>
        </w:r>
      </w:hyperlink>
    </w:p>
    <w:p w:rsidR="003A7C98" w:rsidRDefault="007A17C8">
      <w:pPr>
        <w:pStyle w:val="TableofFigures"/>
        <w:rPr>
          <w:rFonts w:eastAsiaTheme="minorEastAsia" w:cstheme="minorBidi"/>
          <w:b w:val="0"/>
          <w:szCs w:val="22"/>
        </w:rPr>
      </w:pPr>
      <w:hyperlink w:anchor="_Toc416357925" w:history="1">
        <w:r w:rsidR="003A7C98" w:rsidRPr="006C3C14">
          <w:rPr>
            <w:rStyle w:val="Hyperlink"/>
          </w:rPr>
          <w:t>Figure 40. Trend in the Number of Admissions vs. Trend of Patient UI Rate (FY12 ~ FY14)</w:t>
        </w:r>
        <w:r w:rsidR="003A7C98">
          <w:rPr>
            <w:webHidden/>
          </w:rPr>
          <w:tab/>
        </w:r>
        <w:r w:rsidR="003A7C98">
          <w:rPr>
            <w:webHidden/>
          </w:rPr>
          <w:fldChar w:fldCharType="begin"/>
        </w:r>
        <w:r w:rsidR="003A7C98">
          <w:rPr>
            <w:webHidden/>
          </w:rPr>
          <w:instrText xml:space="preserve"> PAGEREF _Toc416357925 \h </w:instrText>
        </w:r>
        <w:r w:rsidR="003A7C98">
          <w:rPr>
            <w:webHidden/>
          </w:rPr>
        </w:r>
        <w:r w:rsidR="003A7C98">
          <w:rPr>
            <w:webHidden/>
          </w:rPr>
          <w:fldChar w:fldCharType="separate"/>
        </w:r>
        <w:r w:rsidR="007E3DB6">
          <w:rPr>
            <w:webHidden/>
          </w:rPr>
          <w:t>38</w:t>
        </w:r>
        <w:r w:rsidR="003A7C98">
          <w:rPr>
            <w:webHidden/>
          </w:rPr>
          <w:fldChar w:fldCharType="end"/>
        </w:r>
      </w:hyperlink>
    </w:p>
    <w:p w:rsidR="003A7C98" w:rsidRDefault="007A17C8">
      <w:pPr>
        <w:pStyle w:val="TableofFigures"/>
        <w:rPr>
          <w:rFonts w:eastAsiaTheme="minorEastAsia" w:cstheme="minorBidi"/>
          <w:b w:val="0"/>
          <w:szCs w:val="22"/>
        </w:rPr>
      </w:pPr>
      <w:hyperlink w:anchor="_Toc416357926" w:history="1">
        <w:r w:rsidR="003A7C98" w:rsidRPr="006C3C14">
          <w:rPr>
            <w:rStyle w:val="Hyperlink"/>
            <w:rFonts w:eastAsia="SimSun"/>
            <w:lang w:eastAsia="zh-CN"/>
          </w:rPr>
          <w:t>Figure 41. Percentage of Major UIs vs. Non-Major UIs (FY11 ~ FY14)</w:t>
        </w:r>
        <w:r w:rsidR="003A7C98">
          <w:rPr>
            <w:webHidden/>
          </w:rPr>
          <w:tab/>
        </w:r>
        <w:r w:rsidR="003A7C98">
          <w:rPr>
            <w:webHidden/>
          </w:rPr>
          <w:fldChar w:fldCharType="begin"/>
        </w:r>
        <w:r w:rsidR="003A7C98">
          <w:rPr>
            <w:webHidden/>
          </w:rPr>
          <w:instrText xml:space="preserve"> PAGEREF _Toc416357926 \h </w:instrText>
        </w:r>
        <w:r w:rsidR="003A7C98">
          <w:rPr>
            <w:webHidden/>
          </w:rPr>
        </w:r>
        <w:r w:rsidR="003A7C98">
          <w:rPr>
            <w:webHidden/>
          </w:rPr>
          <w:fldChar w:fldCharType="separate"/>
        </w:r>
        <w:r w:rsidR="007E3DB6">
          <w:rPr>
            <w:webHidden/>
          </w:rPr>
          <w:t>40</w:t>
        </w:r>
        <w:r w:rsidR="003A7C98">
          <w:rPr>
            <w:webHidden/>
          </w:rPr>
          <w:fldChar w:fldCharType="end"/>
        </w:r>
      </w:hyperlink>
    </w:p>
    <w:p w:rsidR="003A7C98" w:rsidRDefault="007A17C8">
      <w:pPr>
        <w:pStyle w:val="TableofFigures"/>
        <w:rPr>
          <w:rFonts w:eastAsiaTheme="minorEastAsia" w:cstheme="minorBidi"/>
          <w:b w:val="0"/>
          <w:szCs w:val="22"/>
        </w:rPr>
      </w:pPr>
      <w:hyperlink w:anchor="_Toc416357927" w:history="1">
        <w:r w:rsidR="003A7C98" w:rsidRPr="006C3C14">
          <w:rPr>
            <w:rStyle w:val="Hyperlink"/>
            <w:rFonts w:eastAsia="SimSun"/>
            <w:lang w:eastAsia="zh-CN"/>
          </w:rPr>
          <w:t>Figure 42. Monthly Average Number of UIs by Severity (FY11 ~ FY14)</w:t>
        </w:r>
        <w:r w:rsidR="003A7C98">
          <w:rPr>
            <w:webHidden/>
          </w:rPr>
          <w:tab/>
        </w:r>
        <w:r w:rsidR="003A7C98">
          <w:rPr>
            <w:webHidden/>
          </w:rPr>
          <w:fldChar w:fldCharType="begin"/>
        </w:r>
        <w:r w:rsidR="003A7C98">
          <w:rPr>
            <w:webHidden/>
          </w:rPr>
          <w:instrText xml:space="preserve"> PAGEREF _Toc416357927 \h </w:instrText>
        </w:r>
        <w:r w:rsidR="003A7C98">
          <w:rPr>
            <w:webHidden/>
          </w:rPr>
        </w:r>
        <w:r w:rsidR="003A7C98">
          <w:rPr>
            <w:webHidden/>
          </w:rPr>
          <w:fldChar w:fldCharType="separate"/>
        </w:r>
        <w:r w:rsidR="007E3DB6">
          <w:rPr>
            <w:webHidden/>
          </w:rPr>
          <w:t>40</w:t>
        </w:r>
        <w:r w:rsidR="003A7C98">
          <w:rPr>
            <w:webHidden/>
          </w:rPr>
          <w:fldChar w:fldCharType="end"/>
        </w:r>
      </w:hyperlink>
    </w:p>
    <w:p w:rsidR="003A7C98" w:rsidRDefault="007A17C8">
      <w:pPr>
        <w:pStyle w:val="TableofFigures"/>
        <w:rPr>
          <w:rFonts w:eastAsiaTheme="minorEastAsia" w:cstheme="minorBidi"/>
          <w:b w:val="0"/>
          <w:szCs w:val="22"/>
        </w:rPr>
      </w:pPr>
      <w:hyperlink w:anchor="_Toc416357928" w:history="1">
        <w:r w:rsidR="003A7C98" w:rsidRPr="006C3C14">
          <w:rPr>
            <w:rStyle w:val="Hyperlink"/>
          </w:rPr>
          <w:t>Figure 43. Monthly Average Number of Violence Related UIs (FY11 ~ FY14)</w:t>
        </w:r>
        <w:r w:rsidR="003A7C98">
          <w:rPr>
            <w:webHidden/>
          </w:rPr>
          <w:tab/>
        </w:r>
        <w:r w:rsidR="003A7C98">
          <w:rPr>
            <w:webHidden/>
          </w:rPr>
          <w:fldChar w:fldCharType="begin"/>
        </w:r>
        <w:r w:rsidR="003A7C98">
          <w:rPr>
            <w:webHidden/>
          </w:rPr>
          <w:instrText xml:space="preserve"> PAGEREF _Toc416357928 \h </w:instrText>
        </w:r>
        <w:r w:rsidR="003A7C98">
          <w:rPr>
            <w:webHidden/>
          </w:rPr>
        </w:r>
        <w:r w:rsidR="003A7C98">
          <w:rPr>
            <w:webHidden/>
          </w:rPr>
          <w:fldChar w:fldCharType="separate"/>
        </w:r>
        <w:r w:rsidR="007E3DB6">
          <w:rPr>
            <w:webHidden/>
          </w:rPr>
          <w:t>41</w:t>
        </w:r>
        <w:r w:rsidR="003A7C98">
          <w:rPr>
            <w:webHidden/>
          </w:rPr>
          <w:fldChar w:fldCharType="end"/>
        </w:r>
      </w:hyperlink>
    </w:p>
    <w:p w:rsidR="003A7C98" w:rsidRDefault="007A17C8">
      <w:pPr>
        <w:pStyle w:val="TableofFigures"/>
        <w:rPr>
          <w:rFonts w:eastAsiaTheme="minorEastAsia" w:cstheme="minorBidi"/>
          <w:b w:val="0"/>
          <w:szCs w:val="22"/>
        </w:rPr>
      </w:pPr>
      <w:hyperlink w:anchor="_Toc416357929" w:history="1">
        <w:r w:rsidR="003A7C98" w:rsidRPr="006C3C14">
          <w:rPr>
            <w:rStyle w:val="Hyperlink"/>
          </w:rPr>
          <w:t>Figure 44. Percentage of Physical Assaults vs. Aggressive Behaviors (FY11 ~ FY14)</w:t>
        </w:r>
        <w:r w:rsidR="003A7C98">
          <w:rPr>
            <w:webHidden/>
          </w:rPr>
          <w:tab/>
        </w:r>
        <w:r w:rsidR="003A7C98">
          <w:rPr>
            <w:webHidden/>
          </w:rPr>
          <w:fldChar w:fldCharType="begin"/>
        </w:r>
        <w:r w:rsidR="003A7C98">
          <w:rPr>
            <w:webHidden/>
          </w:rPr>
          <w:instrText xml:space="preserve"> PAGEREF _Toc416357929 \h </w:instrText>
        </w:r>
        <w:r w:rsidR="003A7C98">
          <w:rPr>
            <w:webHidden/>
          </w:rPr>
        </w:r>
        <w:r w:rsidR="003A7C98">
          <w:rPr>
            <w:webHidden/>
          </w:rPr>
          <w:fldChar w:fldCharType="separate"/>
        </w:r>
        <w:r w:rsidR="007E3DB6">
          <w:rPr>
            <w:webHidden/>
          </w:rPr>
          <w:t>41</w:t>
        </w:r>
        <w:r w:rsidR="003A7C98">
          <w:rPr>
            <w:webHidden/>
          </w:rPr>
          <w:fldChar w:fldCharType="end"/>
        </w:r>
      </w:hyperlink>
    </w:p>
    <w:p w:rsidR="003A7C98" w:rsidRDefault="007A17C8">
      <w:pPr>
        <w:pStyle w:val="TableofFigures"/>
        <w:rPr>
          <w:rFonts w:eastAsiaTheme="minorEastAsia" w:cstheme="minorBidi"/>
          <w:b w:val="0"/>
          <w:szCs w:val="22"/>
        </w:rPr>
      </w:pPr>
      <w:hyperlink w:anchor="_Toc416357930" w:history="1">
        <w:r w:rsidR="003A7C98" w:rsidRPr="006C3C14">
          <w:rPr>
            <w:rStyle w:val="Hyperlink"/>
            <w:rFonts w:eastAsia="SimSun"/>
            <w:lang w:eastAsia="zh-CN"/>
          </w:rPr>
          <w:t>Figure 45. Frequency of Seclusion/Restraint Events by Association with Assaults or Aggressive Behaviors (FY11 ~ FY14)</w:t>
        </w:r>
        <w:r w:rsidR="003A7C98">
          <w:rPr>
            <w:webHidden/>
          </w:rPr>
          <w:tab/>
        </w:r>
        <w:r w:rsidR="003A7C98">
          <w:rPr>
            <w:webHidden/>
          </w:rPr>
          <w:fldChar w:fldCharType="begin"/>
        </w:r>
        <w:r w:rsidR="003A7C98">
          <w:rPr>
            <w:webHidden/>
          </w:rPr>
          <w:instrText xml:space="preserve"> PAGEREF _Toc416357930 \h </w:instrText>
        </w:r>
        <w:r w:rsidR="003A7C98">
          <w:rPr>
            <w:webHidden/>
          </w:rPr>
        </w:r>
        <w:r w:rsidR="003A7C98">
          <w:rPr>
            <w:webHidden/>
          </w:rPr>
          <w:fldChar w:fldCharType="separate"/>
        </w:r>
        <w:r w:rsidR="007E3DB6">
          <w:rPr>
            <w:webHidden/>
          </w:rPr>
          <w:t>42</w:t>
        </w:r>
        <w:r w:rsidR="003A7C98">
          <w:rPr>
            <w:webHidden/>
          </w:rPr>
          <w:fldChar w:fldCharType="end"/>
        </w:r>
      </w:hyperlink>
    </w:p>
    <w:p w:rsidR="003A7C98" w:rsidRDefault="007A17C8">
      <w:pPr>
        <w:pStyle w:val="TableofFigures"/>
        <w:rPr>
          <w:rFonts w:eastAsiaTheme="minorEastAsia" w:cstheme="minorBidi"/>
          <w:b w:val="0"/>
          <w:szCs w:val="22"/>
        </w:rPr>
      </w:pPr>
      <w:hyperlink w:anchor="_Toc416357931" w:history="1">
        <w:r w:rsidR="003A7C98" w:rsidRPr="006C3C14">
          <w:rPr>
            <w:rStyle w:val="Hyperlink"/>
            <w:rFonts w:eastAsia="SimSun"/>
            <w:lang w:eastAsia="zh-CN"/>
          </w:rPr>
          <w:t>Figure 46. Percentage of Patients Restrained or Secluded (FY14): SEH vs. NPR</w:t>
        </w:r>
        <w:r w:rsidR="003A7C98">
          <w:rPr>
            <w:webHidden/>
          </w:rPr>
          <w:tab/>
        </w:r>
        <w:r w:rsidR="003A7C98">
          <w:rPr>
            <w:webHidden/>
          </w:rPr>
          <w:fldChar w:fldCharType="begin"/>
        </w:r>
        <w:r w:rsidR="003A7C98">
          <w:rPr>
            <w:webHidden/>
          </w:rPr>
          <w:instrText xml:space="preserve"> PAGEREF _Toc416357931 \h </w:instrText>
        </w:r>
        <w:r w:rsidR="003A7C98">
          <w:rPr>
            <w:webHidden/>
          </w:rPr>
        </w:r>
        <w:r w:rsidR="003A7C98">
          <w:rPr>
            <w:webHidden/>
          </w:rPr>
          <w:fldChar w:fldCharType="separate"/>
        </w:r>
        <w:r w:rsidR="007E3DB6">
          <w:rPr>
            <w:webHidden/>
          </w:rPr>
          <w:t>42</w:t>
        </w:r>
        <w:r w:rsidR="003A7C98">
          <w:rPr>
            <w:webHidden/>
          </w:rPr>
          <w:fldChar w:fldCharType="end"/>
        </w:r>
      </w:hyperlink>
    </w:p>
    <w:p w:rsidR="003A7C98" w:rsidRDefault="007A17C8">
      <w:pPr>
        <w:pStyle w:val="TableofFigures"/>
        <w:rPr>
          <w:rFonts w:eastAsiaTheme="minorEastAsia" w:cstheme="minorBidi"/>
          <w:b w:val="0"/>
          <w:szCs w:val="22"/>
        </w:rPr>
      </w:pPr>
      <w:hyperlink w:anchor="_Toc416357932" w:history="1">
        <w:r w:rsidR="003A7C98" w:rsidRPr="006C3C14">
          <w:rPr>
            <w:rStyle w:val="Hyperlink"/>
            <w:rFonts w:eastAsia="SimSun"/>
            <w:lang w:eastAsia="zh-CN"/>
          </w:rPr>
          <w:t>Figure 47. Restraint Hours Rate and Seclusion Hours Rate (FY14): SEH vs. NPR</w:t>
        </w:r>
        <w:r w:rsidR="003A7C98">
          <w:rPr>
            <w:webHidden/>
          </w:rPr>
          <w:tab/>
        </w:r>
        <w:r w:rsidR="003A7C98">
          <w:rPr>
            <w:webHidden/>
          </w:rPr>
          <w:fldChar w:fldCharType="begin"/>
        </w:r>
        <w:r w:rsidR="003A7C98">
          <w:rPr>
            <w:webHidden/>
          </w:rPr>
          <w:instrText xml:space="preserve"> PAGEREF _Toc416357932 \h </w:instrText>
        </w:r>
        <w:r w:rsidR="003A7C98">
          <w:rPr>
            <w:webHidden/>
          </w:rPr>
        </w:r>
        <w:r w:rsidR="003A7C98">
          <w:rPr>
            <w:webHidden/>
          </w:rPr>
          <w:fldChar w:fldCharType="separate"/>
        </w:r>
        <w:r w:rsidR="007E3DB6">
          <w:rPr>
            <w:webHidden/>
          </w:rPr>
          <w:t>42</w:t>
        </w:r>
        <w:r w:rsidR="003A7C98">
          <w:rPr>
            <w:webHidden/>
          </w:rPr>
          <w:fldChar w:fldCharType="end"/>
        </w:r>
      </w:hyperlink>
    </w:p>
    <w:p w:rsidR="003A7C98" w:rsidRDefault="007A17C8">
      <w:pPr>
        <w:pStyle w:val="TableofFigures"/>
        <w:rPr>
          <w:rFonts w:eastAsiaTheme="minorEastAsia" w:cstheme="minorBidi"/>
          <w:b w:val="0"/>
          <w:szCs w:val="22"/>
        </w:rPr>
      </w:pPr>
      <w:hyperlink w:anchor="_Toc416357933" w:history="1">
        <w:r w:rsidR="003A7C98" w:rsidRPr="006C3C14">
          <w:rPr>
            <w:rStyle w:val="Hyperlink"/>
          </w:rPr>
          <w:t>Figure 48. Trend of Violence related UIs vs. Trend of Admissions and Census (FY14)</w:t>
        </w:r>
        <w:r w:rsidR="003A7C98">
          <w:rPr>
            <w:webHidden/>
          </w:rPr>
          <w:tab/>
        </w:r>
        <w:r w:rsidR="003A7C98">
          <w:rPr>
            <w:webHidden/>
          </w:rPr>
          <w:fldChar w:fldCharType="begin"/>
        </w:r>
        <w:r w:rsidR="003A7C98">
          <w:rPr>
            <w:webHidden/>
          </w:rPr>
          <w:instrText xml:space="preserve"> PAGEREF _Toc416357933 \h </w:instrText>
        </w:r>
        <w:r w:rsidR="003A7C98">
          <w:rPr>
            <w:webHidden/>
          </w:rPr>
        </w:r>
        <w:r w:rsidR="003A7C98">
          <w:rPr>
            <w:webHidden/>
          </w:rPr>
          <w:fldChar w:fldCharType="separate"/>
        </w:r>
        <w:r w:rsidR="007E3DB6">
          <w:rPr>
            <w:webHidden/>
          </w:rPr>
          <w:t>43</w:t>
        </w:r>
        <w:r w:rsidR="003A7C98">
          <w:rPr>
            <w:webHidden/>
          </w:rPr>
          <w:fldChar w:fldCharType="end"/>
        </w:r>
      </w:hyperlink>
    </w:p>
    <w:p w:rsidR="003A7C98" w:rsidRDefault="007A17C8">
      <w:pPr>
        <w:pStyle w:val="TableofFigures"/>
        <w:rPr>
          <w:rFonts w:eastAsiaTheme="minorEastAsia" w:cstheme="minorBidi"/>
          <w:b w:val="0"/>
          <w:szCs w:val="22"/>
        </w:rPr>
      </w:pPr>
      <w:hyperlink w:anchor="_Toc416357934" w:history="1">
        <w:r w:rsidR="003A7C98" w:rsidRPr="006C3C14">
          <w:rPr>
            <w:rStyle w:val="Hyperlink"/>
            <w:rFonts w:eastAsia="SimSun"/>
            <w:lang w:eastAsia="zh-CN"/>
          </w:rPr>
          <w:t>Figure 49. Violence Related UIs by Location of Incidents (FY14)</w:t>
        </w:r>
        <w:r w:rsidR="003A7C98">
          <w:rPr>
            <w:webHidden/>
          </w:rPr>
          <w:tab/>
        </w:r>
        <w:r w:rsidR="003A7C98">
          <w:rPr>
            <w:webHidden/>
          </w:rPr>
          <w:fldChar w:fldCharType="begin"/>
        </w:r>
        <w:r w:rsidR="003A7C98">
          <w:rPr>
            <w:webHidden/>
          </w:rPr>
          <w:instrText xml:space="preserve"> PAGEREF _Toc416357934 \h </w:instrText>
        </w:r>
        <w:r w:rsidR="003A7C98">
          <w:rPr>
            <w:webHidden/>
          </w:rPr>
        </w:r>
        <w:r w:rsidR="003A7C98">
          <w:rPr>
            <w:webHidden/>
          </w:rPr>
          <w:fldChar w:fldCharType="separate"/>
        </w:r>
        <w:r w:rsidR="007E3DB6">
          <w:rPr>
            <w:webHidden/>
          </w:rPr>
          <w:t>43</w:t>
        </w:r>
        <w:r w:rsidR="003A7C98">
          <w:rPr>
            <w:webHidden/>
          </w:rPr>
          <w:fldChar w:fldCharType="end"/>
        </w:r>
      </w:hyperlink>
    </w:p>
    <w:p w:rsidR="003A7C98" w:rsidRDefault="007A17C8">
      <w:pPr>
        <w:pStyle w:val="TableofFigures"/>
        <w:rPr>
          <w:rFonts w:eastAsiaTheme="minorEastAsia" w:cstheme="minorBidi"/>
          <w:b w:val="0"/>
          <w:szCs w:val="22"/>
        </w:rPr>
      </w:pPr>
      <w:hyperlink w:anchor="_Toc416357935" w:history="1">
        <w:r w:rsidR="003A7C98" w:rsidRPr="006C3C14">
          <w:rPr>
            <w:rStyle w:val="Hyperlink"/>
            <w:rFonts w:eastAsia="SimSun"/>
            <w:lang w:eastAsia="zh-CN"/>
          </w:rPr>
          <w:t>Figure 50. Total Number of Violence Related UIs among Admission Units (FY14)</w:t>
        </w:r>
        <w:r w:rsidR="003A7C98">
          <w:rPr>
            <w:webHidden/>
          </w:rPr>
          <w:tab/>
        </w:r>
        <w:r w:rsidR="003A7C98">
          <w:rPr>
            <w:webHidden/>
          </w:rPr>
          <w:fldChar w:fldCharType="begin"/>
        </w:r>
        <w:r w:rsidR="003A7C98">
          <w:rPr>
            <w:webHidden/>
          </w:rPr>
          <w:instrText xml:space="preserve"> PAGEREF _Toc416357935 \h </w:instrText>
        </w:r>
        <w:r w:rsidR="003A7C98">
          <w:rPr>
            <w:webHidden/>
          </w:rPr>
        </w:r>
        <w:r w:rsidR="003A7C98">
          <w:rPr>
            <w:webHidden/>
          </w:rPr>
          <w:fldChar w:fldCharType="separate"/>
        </w:r>
        <w:r w:rsidR="007E3DB6">
          <w:rPr>
            <w:webHidden/>
          </w:rPr>
          <w:t>43</w:t>
        </w:r>
        <w:r w:rsidR="003A7C98">
          <w:rPr>
            <w:webHidden/>
          </w:rPr>
          <w:fldChar w:fldCharType="end"/>
        </w:r>
      </w:hyperlink>
    </w:p>
    <w:p w:rsidR="003A7C98" w:rsidRDefault="007A17C8">
      <w:pPr>
        <w:pStyle w:val="TableofFigures"/>
        <w:rPr>
          <w:rFonts w:eastAsiaTheme="minorEastAsia" w:cstheme="minorBidi"/>
          <w:b w:val="0"/>
          <w:szCs w:val="22"/>
        </w:rPr>
      </w:pPr>
      <w:hyperlink w:anchor="_Toc416357936" w:history="1">
        <w:r w:rsidR="003A7C98" w:rsidRPr="006C3C14">
          <w:rPr>
            <w:rStyle w:val="Hyperlink"/>
            <w:rFonts w:eastAsia="SimSun"/>
            <w:lang w:eastAsia="zh-CN"/>
          </w:rPr>
          <w:t>Figure 51. Physical Assaults by Severity (FY11 ~ FY14)</w:t>
        </w:r>
        <w:r w:rsidR="003A7C98">
          <w:rPr>
            <w:webHidden/>
          </w:rPr>
          <w:tab/>
        </w:r>
        <w:r w:rsidR="003A7C98">
          <w:rPr>
            <w:webHidden/>
          </w:rPr>
          <w:fldChar w:fldCharType="begin"/>
        </w:r>
        <w:r w:rsidR="003A7C98">
          <w:rPr>
            <w:webHidden/>
          </w:rPr>
          <w:instrText xml:space="preserve"> PAGEREF _Toc416357936 \h </w:instrText>
        </w:r>
        <w:r w:rsidR="003A7C98">
          <w:rPr>
            <w:webHidden/>
          </w:rPr>
        </w:r>
        <w:r w:rsidR="003A7C98">
          <w:rPr>
            <w:webHidden/>
          </w:rPr>
          <w:fldChar w:fldCharType="separate"/>
        </w:r>
        <w:r w:rsidR="007E3DB6">
          <w:rPr>
            <w:webHidden/>
          </w:rPr>
          <w:t>44</w:t>
        </w:r>
        <w:r w:rsidR="003A7C98">
          <w:rPr>
            <w:webHidden/>
          </w:rPr>
          <w:fldChar w:fldCharType="end"/>
        </w:r>
      </w:hyperlink>
    </w:p>
    <w:p w:rsidR="003A7C98" w:rsidRDefault="007A17C8">
      <w:pPr>
        <w:pStyle w:val="TableofFigures"/>
        <w:rPr>
          <w:rFonts w:eastAsiaTheme="minorEastAsia" w:cstheme="minorBidi"/>
          <w:b w:val="0"/>
          <w:szCs w:val="22"/>
        </w:rPr>
      </w:pPr>
      <w:hyperlink w:anchor="_Toc416357937" w:history="1">
        <w:r w:rsidR="003A7C98" w:rsidRPr="006C3C14">
          <w:rPr>
            <w:rStyle w:val="Hyperlink"/>
          </w:rPr>
          <w:t>Figure 52. Time Trend of Physical Assault Incidents (FY12 ~ FY14)</w:t>
        </w:r>
        <w:r w:rsidR="003A7C98">
          <w:rPr>
            <w:webHidden/>
          </w:rPr>
          <w:tab/>
        </w:r>
        <w:r w:rsidR="003A7C98">
          <w:rPr>
            <w:webHidden/>
          </w:rPr>
          <w:fldChar w:fldCharType="begin"/>
        </w:r>
        <w:r w:rsidR="003A7C98">
          <w:rPr>
            <w:webHidden/>
          </w:rPr>
          <w:instrText xml:space="preserve"> PAGEREF _Toc416357937 \h </w:instrText>
        </w:r>
        <w:r w:rsidR="003A7C98">
          <w:rPr>
            <w:webHidden/>
          </w:rPr>
        </w:r>
        <w:r w:rsidR="003A7C98">
          <w:rPr>
            <w:webHidden/>
          </w:rPr>
          <w:fldChar w:fldCharType="separate"/>
        </w:r>
        <w:r w:rsidR="007E3DB6">
          <w:rPr>
            <w:webHidden/>
          </w:rPr>
          <w:t>45</w:t>
        </w:r>
        <w:r w:rsidR="003A7C98">
          <w:rPr>
            <w:webHidden/>
          </w:rPr>
          <w:fldChar w:fldCharType="end"/>
        </w:r>
      </w:hyperlink>
    </w:p>
    <w:p w:rsidR="003A7C98" w:rsidRDefault="007A17C8">
      <w:pPr>
        <w:pStyle w:val="TableofFigures"/>
        <w:rPr>
          <w:rFonts w:eastAsiaTheme="minorEastAsia" w:cstheme="minorBidi"/>
          <w:b w:val="0"/>
          <w:szCs w:val="22"/>
        </w:rPr>
      </w:pPr>
      <w:hyperlink w:anchor="_Toc416357938" w:history="1">
        <w:r w:rsidR="003A7C98" w:rsidRPr="006C3C14">
          <w:rPr>
            <w:rStyle w:val="Hyperlink"/>
            <w:rFonts w:eastAsia="SimSun"/>
            <w:lang w:eastAsia="zh-CN"/>
          </w:rPr>
          <w:t>Figure 53. Number of Unique Individuals by Level of Frequencies of being Aggressors in  Physical Assaults or Aggressive Behaviors in FY14</w:t>
        </w:r>
        <w:r w:rsidR="003A7C98">
          <w:rPr>
            <w:webHidden/>
          </w:rPr>
          <w:tab/>
        </w:r>
        <w:r w:rsidR="003A7C98">
          <w:rPr>
            <w:webHidden/>
          </w:rPr>
          <w:fldChar w:fldCharType="begin"/>
        </w:r>
        <w:r w:rsidR="003A7C98">
          <w:rPr>
            <w:webHidden/>
          </w:rPr>
          <w:instrText xml:space="preserve"> PAGEREF _Toc416357938 \h </w:instrText>
        </w:r>
        <w:r w:rsidR="003A7C98">
          <w:rPr>
            <w:webHidden/>
          </w:rPr>
        </w:r>
        <w:r w:rsidR="003A7C98">
          <w:rPr>
            <w:webHidden/>
          </w:rPr>
          <w:fldChar w:fldCharType="separate"/>
        </w:r>
        <w:r w:rsidR="007E3DB6">
          <w:rPr>
            <w:webHidden/>
          </w:rPr>
          <w:t>45</w:t>
        </w:r>
        <w:r w:rsidR="003A7C98">
          <w:rPr>
            <w:webHidden/>
          </w:rPr>
          <w:fldChar w:fldCharType="end"/>
        </w:r>
      </w:hyperlink>
    </w:p>
    <w:p w:rsidR="003A7C98" w:rsidRDefault="007A17C8">
      <w:pPr>
        <w:pStyle w:val="TableofFigures"/>
        <w:rPr>
          <w:rFonts w:eastAsiaTheme="minorEastAsia" w:cstheme="minorBidi"/>
          <w:b w:val="0"/>
          <w:szCs w:val="22"/>
        </w:rPr>
      </w:pPr>
      <w:hyperlink w:anchor="_Toc416357939" w:history="1">
        <w:r w:rsidR="003A7C98" w:rsidRPr="006C3C14">
          <w:rPr>
            <w:rStyle w:val="Hyperlink"/>
            <w:rFonts w:eastAsia="SimSun"/>
            <w:lang w:eastAsia="zh-CN"/>
          </w:rPr>
          <w:t>Figure 54. Percentage of Physical Assaults or Aggressive Behaviors Triggered by Repeat Aggressors (FY14)</w:t>
        </w:r>
        <w:r w:rsidR="003A7C98">
          <w:rPr>
            <w:webHidden/>
          </w:rPr>
          <w:tab/>
        </w:r>
        <w:r w:rsidR="003A7C98">
          <w:rPr>
            <w:webHidden/>
          </w:rPr>
          <w:fldChar w:fldCharType="begin"/>
        </w:r>
        <w:r w:rsidR="003A7C98">
          <w:rPr>
            <w:webHidden/>
          </w:rPr>
          <w:instrText xml:space="preserve"> PAGEREF _Toc416357939 \h </w:instrText>
        </w:r>
        <w:r w:rsidR="003A7C98">
          <w:rPr>
            <w:webHidden/>
          </w:rPr>
        </w:r>
        <w:r w:rsidR="003A7C98">
          <w:rPr>
            <w:webHidden/>
          </w:rPr>
          <w:fldChar w:fldCharType="separate"/>
        </w:r>
        <w:r w:rsidR="007E3DB6">
          <w:rPr>
            <w:webHidden/>
          </w:rPr>
          <w:t>45</w:t>
        </w:r>
        <w:r w:rsidR="003A7C98">
          <w:rPr>
            <w:webHidden/>
          </w:rPr>
          <w:fldChar w:fldCharType="end"/>
        </w:r>
      </w:hyperlink>
    </w:p>
    <w:p w:rsidR="003A7C98" w:rsidRDefault="007A17C8">
      <w:pPr>
        <w:pStyle w:val="TableofFigures"/>
        <w:rPr>
          <w:rFonts w:eastAsiaTheme="minorEastAsia" w:cstheme="minorBidi"/>
          <w:b w:val="0"/>
          <w:szCs w:val="22"/>
        </w:rPr>
      </w:pPr>
      <w:hyperlink w:anchor="_Toc416357940" w:history="1">
        <w:r w:rsidR="003A7C98" w:rsidRPr="006C3C14">
          <w:rPr>
            <w:rStyle w:val="Hyperlink"/>
            <w:rFonts w:eastAsia="SimSun"/>
            <w:lang w:eastAsia="zh-CN"/>
          </w:rPr>
          <w:t>Figure 55. LOS of All in Care vs. Aggressors at Incident (FY14)</w:t>
        </w:r>
        <w:r w:rsidR="003A7C98">
          <w:rPr>
            <w:webHidden/>
          </w:rPr>
          <w:tab/>
        </w:r>
        <w:r w:rsidR="003A7C98">
          <w:rPr>
            <w:webHidden/>
          </w:rPr>
          <w:fldChar w:fldCharType="begin"/>
        </w:r>
        <w:r w:rsidR="003A7C98">
          <w:rPr>
            <w:webHidden/>
          </w:rPr>
          <w:instrText xml:space="preserve"> PAGEREF _Toc416357940 \h </w:instrText>
        </w:r>
        <w:r w:rsidR="003A7C98">
          <w:rPr>
            <w:webHidden/>
          </w:rPr>
        </w:r>
        <w:r w:rsidR="003A7C98">
          <w:rPr>
            <w:webHidden/>
          </w:rPr>
          <w:fldChar w:fldCharType="separate"/>
        </w:r>
        <w:r w:rsidR="007E3DB6">
          <w:rPr>
            <w:webHidden/>
          </w:rPr>
          <w:t>46</w:t>
        </w:r>
        <w:r w:rsidR="003A7C98">
          <w:rPr>
            <w:webHidden/>
          </w:rPr>
          <w:fldChar w:fldCharType="end"/>
        </w:r>
      </w:hyperlink>
    </w:p>
    <w:p w:rsidR="003A7C98" w:rsidRDefault="007A17C8">
      <w:pPr>
        <w:pStyle w:val="TableofFigures"/>
        <w:rPr>
          <w:rFonts w:eastAsiaTheme="minorEastAsia" w:cstheme="minorBidi"/>
          <w:b w:val="0"/>
          <w:szCs w:val="22"/>
        </w:rPr>
      </w:pPr>
      <w:hyperlink w:anchor="_Toc416357941" w:history="1">
        <w:r w:rsidR="003A7C98" w:rsidRPr="006C3C14">
          <w:rPr>
            <w:rStyle w:val="Hyperlink"/>
            <w:rFonts w:eastAsia="SimSun"/>
            <w:lang w:eastAsia="zh-CN"/>
          </w:rPr>
          <w:t>Figure 56. Median LOS for Aggressors vs. All Individuals in Care (FY14)</w:t>
        </w:r>
        <w:r w:rsidR="003A7C98">
          <w:rPr>
            <w:webHidden/>
          </w:rPr>
          <w:tab/>
        </w:r>
        <w:r w:rsidR="003A7C98">
          <w:rPr>
            <w:webHidden/>
          </w:rPr>
          <w:fldChar w:fldCharType="begin"/>
        </w:r>
        <w:r w:rsidR="003A7C98">
          <w:rPr>
            <w:webHidden/>
          </w:rPr>
          <w:instrText xml:space="preserve"> PAGEREF _Toc416357941 \h </w:instrText>
        </w:r>
        <w:r w:rsidR="003A7C98">
          <w:rPr>
            <w:webHidden/>
          </w:rPr>
        </w:r>
        <w:r w:rsidR="003A7C98">
          <w:rPr>
            <w:webHidden/>
          </w:rPr>
          <w:fldChar w:fldCharType="separate"/>
        </w:r>
        <w:r w:rsidR="007E3DB6">
          <w:rPr>
            <w:webHidden/>
          </w:rPr>
          <w:t>46</w:t>
        </w:r>
        <w:r w:rsidR="003A7C98">
          <w:rPr>
            <w:webHidden/>
          </w:rPr>
          <w:fldChar w:fldCharType="end"/>
        </w:r>
      </w:hyperlink>
    </w:p>
    <w:p w:rsidR="003A7C98" w:rsidRDefault="007A17C8">
      <w:pPr>
        <w:pStyle w:val="TableofFigures"/>
        <w:rPr>
          <w:rFonts w:eastAsiaTheme="minorEastAsia" w:cstheme="minorBidi"/>
          <w:b w:val="0"/>
          <w:szCs w:val="22"/>
        </w:rPr>
      </w:pPr>
      <w:hyperlink w:anchor="_Toc416357942" w:history="1">
        <w:r w:rsidR="003A7C98" w:rsidRPr="006C3C14">
          <w:rPr>
            <w:rStyle w:val="Hyperlink"/>
            <w:rFonts w:eastAsia="SimSun"/>
            <w:lang w:eastAsia="zh-CN"/>
          </w:rPr>
          <w:t>Figure 57. Severity of Incidents by Legal Status of Aggressors (FY14)</w:t>
        </w:r>
        <w:r w:rsidR="003A7C98">
          <w:rPr>
            <w:webHidden/>
          </w:rPr>
          <w:tab/>
        </w:r>
        <w:r w:rsidR="003A7C98">
          <w:rPr>
            <w:webHidden/>
          </w:rPr>
          <w:fldChar w:fldCharType="begin"/>
        </w:r>
        <w:r w:rsidR="003A7C98">
          <w:rPr>
            <w:webHidden/>
          </w:rPr>
          <w:instrText xml:space="preserve"> PAGEREF _Toc416357942 \h </w:instrText>
        </w:r>
        <w:r w:rsidR="003A7C98">
          <w:rPr>
            <w:webHidden/>
          </w:rPr>
        </w:r>
        <w:r w:rsidR="003A7C98">
          <w:rPr>
            <w:webHidden/>
          </w:rPr>
          <w:fldChar w:fldCharType="separate"/>
        </w:r>
        <w:r w:rsidR="007E3DB6">
          <w:rPr>
            <w:webHidden/>
          </w:rPr>
          <w:t>46</w:t>
        </w:r>
        <w:r w:rsidR="003A7C98">
          <w:rPr>
            <w:webHidden/>
          </w:rPr>
          <w:fldChar w:fldCharType="end"/>
        </w:r>
      </w:hyperlink>
    </w:p>
    <w:p w:rsidR="003A7C98" w:rsidRDefault="007A17C8">
      <w:pPr>
        <w:pStyle w:val="TableofFigures"/>
        <w:rPr>
          <w:rFonts w:eastAsiaTheme="minorEastAsia" w:cstheme="minorBidi"/>
          <w:b w:val="0"/>
          <w:szCs w:val="22"/>
        </w:rPr>
      </w:pPr>
      <w:hyperlink w:anchor="_Toc416357943" w:history="1">
        <w:r w:rsidR="003A7C98" w:rsidRPr="006C3C14">
          <w:rPr>
            <w:rStyle w:val="Hyperlink"/>
            <w:rFonts w:eastAsia="SimSun"/>
            <w:lang w:eastAsia="zh-CN"/>
          </w:rPr>
          <w:t>Figure 58. Unique Individuals and Employees by Frequency of Victimizations for Physical Assaults or Aggressive Behaviors in FY14</w:t>
        </w:r>
        <w:r w:rsidR="003A7C98">
          <w:rPr>
            <w:webHidden/>
          </w:rPr>
          <w:tab/>
        </w:r>
        <w:r w:rsidR="003A7C98">
          <w:rPr>
            <w:webHidden/>
          </w:rPr>
          <w:fldChar w:fldCharType="begin"/>
        </w:r>
        <w:r w:rsidR="003A7C98">
          <w:rPr>
            <w:webHidden/>
          </w:rPr>
          <w:instrText xml:space="preserve"> PAGEREF _Toc416357943 \h </w:instrText>
        </w:r>
        <w:r w:rsidR="003A7C98">
          <w:rPr>
            <w:webHidden/>
          </w:rPr>
        </w:r>
        <w:r w:rsidR="003A7C98">
          <w:rPr>
            <w:webHidden/>
          </w:rPr>
          <w:fldChar w:fldCharType="separate"/>
        </w:r>
        <w:r w:rsidR="007E3DB6">
          <w:rPr>
            <w:webHidden/>
          </w:rPr>
          <w:t>47</w:t>
        </w:r>
        <w:r w:rsidR="003A7C98">
          <w:rPr>
            <w:webHidden/>
          </w:rPr>
          <w:fldChar w:fldCharType="end"/>
        </w:r>
      </w:hyperlink>
    </w:p>
    <w:p w:rsidR="003A7C98" w:rsidRDefault="007A17C8">
      <w:pPr>
        <w:pStyle w:val="TableofFigures"/>
        <w:rPr>
          <w:rFonts w:eastAsiaTheme="minorEastAsia" w:cstheme="minorBidi"/>
          <w:b w:val="0"/>
          <w:szCs w:val="22"/>
        </w:rPr>
      </w:pPr>
      <w:hyperlink w:anchor="_Toc416357944" w:history="1">
        <w:r w:rsidR="003A7C98" w:rsidRPr="006C3C14">
          <w:rPr>
            <w:rStyle w:val="Hyperlink"/>
            <w:rFonts w:eastAsia="SimSun"/>
            <w:lang w:eastAsia="zh-CN"/>
          </w:rPr>
          <w:t>Figure 59. Percentage of Physical Assaults or Aggressive Behaviors by Frequent Victims (FY14)</w:t>
        </w:r>
        <w:r w:rsidR="003A7C98">
          <w:rPr>
            <w:webHidden/>
          </w:rPr>
          <w:tab/>
        </w:r>
        <w:r w:rsidR="003A7C98">
          <w:rPr>
            <w:webHidden/>
          </w:rPr>
          <w:fldChar w:fldCharType="begin"/>
        </w:r>
        <w:r w:rsidR="003A7C98">
          <w:rPr>
            <w:webHidden/>
          </w:rPr>
          <w:instrText xml:space="preserve"> PAGEREF _Toc416357944 \h </w:instrText>
        </w:r>
        <w:r w:rsidR="003A7C98">
          <w:rPr>
            <w:webHidden/>
          </w:rPr>
        </w:r>
        <w:r w:rsidR="003A7C98">
          <w:rPr>
            <w:webHidden/>
          </w:rPr>
          <w:fldChar w:fldCharType="separate"/>
        </w:r>
        <w:r w:rsidR="007E3DB6">
          <w:rPr>
            <w:webHidden/>
          </w:rPr>
          <w:t>47</w:t>
        </w:r>
        <w:r w:rsidR="003A7C98">
          <w:rPr>
            <w:webHidden/>
          </w:rPr>
          <w:fldChar w:fldCharType="end"/>
        </w:r>
      </w:hyperlink>
    </w:p>
    <w:p w:rsidR="003A7C98" w:rsidRDefault="007A17C8">
      <w:pPr>
        <w:pStyle w:val="TableofFigures"/>
        <w:rPr>
          <w:rFonts w:eastAsiaTheme="minorEastAsia" w:cstheme="minorBidi"/>
          <w:b w:val="0"/>
          <w:szCs w:val="22"/>
        </w:rPr>
      </w:pPr>
      <w:hyperlink w:anchor="_Toc416357945" w:history="1">
        <w:r w:rsidR="003A7C98" w:rsidRPr="006C3C14">
          <w:rPr>
            <w:rStyle w:val="Hyperlink"/>
          </w:rPr>
          <w:t>Figure 60. Medical Emergency related UIs (FY12 ~ FY14)</w:t>
        </w:r>
        <w:r w:rsidR="003A7C98">
          <w:rPr>
            <w:webHidden/>
          </w:rPr>
          <w:tab/>
        </w:r>
        <w:r w:rsidR="003A7C98">
          <w:rPr>
            <w:webHidden/>
          </w:rPr>
          <w:fldChar w:fldCharType="begin"/>
        </w:r>
        <w:r w:rsidR="003A7C98">
          <w:rPr>
            <w:webHidden/>
          </w:rPr>
          <w:instrText xml:space="preserve"> PAGEREF _Toc416357945 \h </w:instrText>
        </w:r>
        <w:r w:rsidR="003A7C98">
          <w:rPr>
            <w:webHidden/>
          </w:rPr>
        </w:r>
        <w:r w:rsidR="003A7C98">
          <w:rPr>
            <w:webHidden/>
          </w:rPr>
          <w:fldChar w:fldCharType="separate"/>
        </w:r>
        <w:r w:rsidR="007E3DB6">
          <w:rPr>
            <w:webHidden/>
          </w:rPr>
          <w:t>48</w:t>
        </w:r>
        <w:r w:rsidR="003A7C98">
          <w:rPr>
            <w:webHidden/>
          </w:rPr>
          <w:fldChar w:fldCharType="end"/>
        </w:r>
      </w:hyperlink>
    </w:p>
    <w:p w:rsidR="003A7C98" w:rsidRDefault="007A17C8">
      <w:pPr>
        <w:pStyle w:val="TableofFigures"/>
        <w:rPr>
          <w:rFonts w:eastAsiaTheme="minorEastAsia" w:cstheme="minorBidi"/>
          <w:b w:val="0"/>
          <w:szCs w:val="22"/>
        </w:rPr>
      </w:pPr>
      <w:hyperlink w:anchor="_Toc416357946" w:history="1">
        <w:r w:rsidR="003A7C98" w:rsidRPr="006C3C14">
          <w:rPr>
            <w:rStyle w:val="Hyperlink"/>
            <w:rFonts w:eastAsia="SimSun"/>
            <w:lang w:eastAsia="zh-CN"/>
          </w:rPr>
          <w:t>Figure 61. Patient Falls vs. Staff Falls (FY11 ~ FY14)</w:t>
        </w:r>
        <w:r w:rsidR="003A7C98">
          <w:rPr>
            <w:webHidden/>
          </w:rPr>
          <w:tab/>
        </w:r>
        <w:r w:rsidR="003A7C98">
          <w:rPr>
            <w:webHidden/>
          </w:rPr>
          <w:fldChar w:fldCharType="begin"/>
        </w:r>
        <w:r w:rsidR="003A7C98">
          <w:rPr>
            <w:webHidden/>
          </w:rPr>
          <w:instrText xml:space="preserve"> PAGEREF _Toc416357946 \h </w:instrText>
        </w:r>
        <w:r w:rsidR="003A7C98">
          <w:rPr>
            <w:webHidden/>
          </w:rPr>
        </w:r>
        <w:r w:rsidR="003A7C98">
          <w:rPr>
            <w:webHidden/>
          </w:rPr>
          <w:fldChar w:fldCharType="separate"/>
        </w:r>
        <w:r w:rsidR="007E3DB6">
          <w:rPr>
            <w:webHidden/>
          </w:rPr>
          <w:t>48</w:t>
        </w:r>
        <w:r w:rsidR="003A7C98">
          <w:rPr>
            <w:webHidden/>
          </w:rPr>
          <w:fldChar w:fldCharType="end"/>
        </w:r>
      </w:hyperlink>
    </w:p>
    <w:p w:rsidR="003A7C98" w:rsidRDefault="007A17C8">
      <w:pPr>
        <w:pStyle w:val="TableofFigures"/>
        <w:rPr>
          <w:rFonts w:eastAsiaTheme="minorEastAsia" w:cstheme="minorBidi"/>
          <w:b w:val="0"/>
          <w:szCs w:val="22"/>
        </w:rPr>
      </w:pPr>
      <w:hyperlink w:anchor="_Toc416357947" w:history="1">
        <w:r w:rsidR="003A7C98" w:rsidRPr="006C3C14">
          <w:rPr>
            <w:rStyle w:val="Hyperlink"/>
            <w:rFonts w:eastAsia="SimSun"/>
            <w:lang w:eastAsia="zh-CN"/>
          </w:rPr>
          <w:t>Figure 62. Average Number of Unique Individuals who Fell per Month and Patient Fall Rate (FY11 ~ FY14)</w:t>
        </w:r>
        <w:r w:rsidR="003A7C98">
          <w:rPr>
            <w:webHidden/>
          </w:rPr>
          <w:tab/>
        </w:r>
        <w:r w:rsidR="003A7C98">
          <w:rPr>
            <w:webHidden/>
          </w:rPr>
          <w:fldChar w:fldCharType="begin"/>
        </w:r>
        <w:r w:rsidR="003A7C98">
          <w:rPr>
            <w:webHidden/>
          </w:rPr>
          <w:instrText xml:space="preserve"> PAGEREF _Toc416357947 \h </w:instrText>
        </w:r>
        <w:r w:rsidR="003A7C98">
          <w:rPr>
            <w:webHidden/>
          </w:rPr>
        </w:r>
        <w:r w:rsidR="003A7C98">
          <w:rPr>
            <w:webHidden/>
          </w:rPr>
          <w:fldChar w:fldCharType="separate"/>
        </w:r>
        <w:r w:rsidR="007E3DB6">
          <w:rPr>
            <w:webHidden/>
          </w:rPr>
          <w:t>48</w:t>
        </w:r>
        <w:r w:rsidR="003A7C98">
          <w:rPr>
            <w:webHidden/>
          </w:rPr>
          <w:fldChar w:fldCharType="end"/>
        </w:r>
      </w:hyperlink>
    </w:p>
    <w:p w:rsidR="003A7C98" w:rsidRDefault="007A17C8">
      <w:pPr>
        <w:pStyle w:val="TableofFigures"/>
        <w:rPr>
          <w:rFonts w:eastAsiaTheme="minorEastAsia" w:cstheme="minorBidi"/>
          <w:b w:val="0"/>
          <w:szCs w:val="22"/>
        </w:rPr>
      </w:pPr>
      <w:hyperlink w:anchor="_Toc416357948" w:history="1">
        <w:r w:rsidR="003A7C98" w:rsidRPr="006C3C14">
          <w:rPr>
            <w:rStyle w:val="Hyperlink"/>
            <w:rFonts w:eastAsia="SimSun"/>
            <w:lang w:eastAsia="zh-CN"/>
          </w:rPr>
          <w:t>Figure 63. Injury Rate from Reported Fall Incidents (FY14)</w:t>
        </w:r>
        <w:r w:rsidR="003A7C98">
          <w:rPr>
            <w:webHidden/>
          </w:rPr>
          <w:tab/>
        </w:r>
        <w:r w:rsidR="003A7C98">
          <w:rPr>
            <w:webHidden/>
          </w:rPr>
          <w:fldChar w:fldCharType="begin"/>
        </w:r>
        <w:r w:rsidR="003A7C98">
          <w:rPr>
            <w:webHidden/>
          </w:rPr>
          <w:instrText xml:space="preserve"> PAGEREF _Toc416357948 \h </w:instrText>
        </w:r>
        <w:r w:rsidR="003A7C98">
          <w:rPr>
            <w:webHidden/>
          </w:rPr>
        </w:r>
        <w:r w:rsidR="003A7C98">
          <w:rPr>
            <w:webHidden/>
          </w:rPr>
          <w:fldChar w:fldCharType="separate"/>
        </w:r>
        <w:r w:rsidR="007E3DB6">
          <w:rPr>
            <w:webHidden/>
          </w:rPr>
          <w:t>49</w:t>
        </w:r>
        <w:r w:rsidR="003A7C98">
          <w:rPr>
            <w:webHidden/>
          </w:rPr>
          <w:fldChar w:fldCharType="end"/>
        </w:r>
      </w:hyperlink>
    </w:p>
    <w:p w:rsidR="003A7C98" w:rsidRDefault="007A17C8">
      <w:pPr>
        <w:pStyle w:val="TableofFigures"/>
        <w:rPr>
          <w:rFonts w:eastAsiaTheme="minorEastAsia" w:cstheme="minorBidi"/>
          <w:b w:val="0"/>
          <w:szCs w:val="22"/>
        </w:rPr>
      </w:pPr>
      <w:hyperlink w:anchor="_Toc416357949" w:history="1">
        <w:r w:rsidR="003A7C98" w:rsidRPr="006C3C14">
          <w:rPr>
            <w:rStyle w:val="Hyperlink"/>
          </w:rPr>
          <w:t>Figure 64. Individuals in Care who Fell by Unit (FY14)</w:t>
        </w:r>
        <w:r w:rsidR="003A7C98">
          <w:rPr>
            <w:webHidden/>
          </w:rPr>
          <w:tab/>
        </w:r>
        <w:r w:rsidR="003A7C98">
          <w:rPr>
            <w:webHidden/>
          </w:rPr>
          <w:fldChar w:fldCharType="begin"/>
        </w:r>
        <w:r w:rsidR="003A7C98">
          <w:rPr>
            <w:webHidden/>
          </w:rPr>
          <w:instrText xml:space="preserve"> PAGEREF _Toc416357949 \h </w:instrText>
        </w:r>
        <w:r w:rsidR="003A7C98">
          <w:rPr>
            <w:webHidden/>
          </w:rPr>
        </w:r>
        <w:r w:rsidR="003A7C98">
          <w:rPr>
            <w:webHidden/>
          </w:rPr>
          <w:fldChar w:fldCharType="separate"/>
        </w:r>
        <w:r w:rsidR="007E3DB6">
          <w:rPr>
            <w:webHidden/>
          </w:rPr>
          <w:t>49</w:t>
        </w:r>
        <w:r w:rsidR="003A7C98">
          <w:rPr>
            <w:webHidden/>
          </w:rPr>
          <w:fldChar w:fldCharType="end"/>
        </w:r>
      </w:hyperlink>
    </w:p>
    <w:p w:rsidR="003A7C98" w:rsidRDefault="007A17C8">
      <w:pPr>
        <w:pStyle w:val="TableofFigures"/>
        <w:rPr>
          <w:rFonts w:eastAsiaTheme="minorEastAsia" w:cstheme="minorBidi"/>
          <w:b w:val="0"/>
          <w:szCs w:val="22"/>
        </w:rPr>
      </w:pPr>
      <w:hyperlink w:anchor="_Toc416357950" w:history="1">
        <w:r w:rsidR="003A7C98" w:rsidRPr="006C3C14">
          <w:rPr>
            <w:rStyle w:val="Hyperlink"/>
          </w:rPr>
          <w:t>Figure 65. Physical Injury Associated with Assault and Falls (FY11 ~ FY14)</w:t>
        </w:r>
        <w:r w:rsidR="003A7C98">
          <w:rPr>
            <w:webHidden/>
          </w:rPr>
          <w:tab/>
        </w:r>
        <w:r w:rsidR="003A7C98">
          <w:rPr>
            <w:webHidden/>
          </w:rPr>
          <w:fldChar w:fldCharType="begin"/>
        </w:r>
        <w:r w:rsidR="003A7C98">
          <w:rPr>
            <w:webHidden/>
          </w:rPr>
          <w:instrText xml:space="preserve"> PAGEREF _Toc416357950 \h </w:instrText>
        </w:r>
        <w:r w:rsidR="003A7C98">
          <w:rPr>
            <w:webHidden/>
          </w:rPr>
        </w:r>
        <w:r w:rsidR="003A7C98">
          <w:rPr>
            <w:webHidden/>
          </w:rPr>
          <w:fldChar w:fldCharType="separate"/>
        </w:r>
        <w:r w:rsidR="007E3DB6">
          <w:rPr>
            <w:webHidden/>
          </w:rPr>
          <w:t>50</w:t>
        </w:r>
        <w:r w:rsidR="003A7C98">
          <w:rPr>
            <w:webHidden/>
          </w:rPr>
          <w:fldChar w:fldCharType="end"/>
        </w:r>
      </w:hyperlink>
    </w:p>
    <w:p w:rsidR="003A7C98" w:rsidRDefault="007A17C8">
      <w:pPr>
        <w:pStyle w:val="TableofFigures"/>
        <w:rPr>
          <w:rFonts w:eastAsiaTheme="minorEastAsia" w:cstheme="minorBidi"/>
          <w:b w:val="0"/>
          <w:szCs w:val="22"/>
        </w:rPr>
      </w:pPr>
      <w:hyperlink w:anchor="_Toc416357951" w:history="1">
        <w:r w:rsidR="003A7C98" w:rsidRPr="006C3C14">
          <w:rPr>
            <w:rStyle w:val="Hyperlink"/>
          </w:rPr>
          <w:t>Figure 66. Percentage of Injuries from Fall Incidents (FY11 ~ FY14)</w:t>
        </w:r>
        <w:r w:rsidR="003A7C98">
          <w:rPr>
            <w:webHidden/>
          </w:rPr>
          <w:tab/>
        </w:r>
        <w:r w:rsidR="003A7C98">
          <w:rPr>
            <w:webHidden/>
          </w:rPr>
          <w:fldChar w:fldCharType="begin"/>
        </w:r>
        <w:r w:rsidR="003A7C98">
          <w:rPr>
            <w:webHidden/>
          </w:rPr>
          <w:instrText xml:space="preserve"> PAGEREF _Toc416357951 \h </w:instrText>
        </w:r>
        <w:r w:rsidR="003A7C98">
          <w:rPr>
            <w:webHidden/>
          </w:rPr>
        </w:r>
        <w:r w:rsidR="003A7C98">
          <w:rPr>
            <w:webHidden/>
          </w:rPr>
          <w:fldChar w:fldCharType="separate"/>
        </w:r>
        <w:r w:rsidR="007E3DB6">
          <w:rPr>
            <w:webHidden/>
          </w:rPr>
          <w:t>50</w:t>
        </w:r>
        <w:r w:rsidR="003A7C98">
          <w:rPr>
            <w:webHidden/>
          </w:rPr>
          <w:fldChar w:fldCharType="end"/>
        </w:r>
      </w:hyperlink>
    </w:p>
    <w:p w:rsidR="003A7C98" w:rsidRDefault="007A17C8">
      <w:pPr>
        <w:pStyle w:val="TableofFigures"/>
        <w:rPr>
          <w:rFonts w:eastAsiaTheme="minorEastAsia" w:cstheme="minorBidi"/>
          <w:b w:val="0"/>
          <w:szCs w:val="22"/>
        </w:rPr>
      </w:pPr>
      <w:hyperlink w:anchor="_Toc416357952" w:history="1">
        <w:r w:rsidR="003A7C98" w:rsidRPr="006C3C14">
          <w:rPr>
            <w:rStyle w:val="Hyperlink"/>
          </w:rPr>
          <w:t>Figure 67. Percent of Patient Injury Associated with Assault and/or Fall (FY14)</w:t>
        </w:r>
        <w:r w:rsidR="003A7C98">
          <w:rPr>
            <w:webHidden/>
          </w:rPr>
          <w:tab/>
        </w:r>
        <w:r w:rsidR="003A7C98">
          <w:rPr>
            <w:webHidden/>
          </w:rPr>
          <w:fldChar w:fldCharType="begin"/>
        </w:r>
        <w:r w:rsidR="003A7C98">
          <w:rPr>
            <w:webHidden/>
          </w:rPr>
          <w:instrText xml:space="preserve"> PAGEREF _Toc416357952 \h </w:instrText>
        </w:r>
        <w:r w:rsidR="003A7C98">
          <w:rPr>
            <w:webHidden/>
          </w:rPr>
        </w:r>
        <w:r w:rsidR="003A7C98">
          <w:rPr>
            <w:webHidden/>
          </w:rPr>
          <w:fldChar w:fldCharType="separate"/>
        </w:r>
        <w:r w:rsidR="007E3DB6">
          <w:rPr>
            <w:webHidden/>
          </w:rPr>
          <w:t>51</w:t>
        </w:r>
        <w:r w:rsidR="003A7C98">
          <w:rPr>
            <w:webHidden/>
          </w:rPr>
          <w:fldChar w:fldCharType="end"/>
        </w:r>
      </w:hyperlink>
    </w:p>
    <w:p w:rsidR="003A7C98" w:rsidRDefault="007A17C8">
      <w:pPr>
        <w:pStyle w:val="TableofFigures"/>
        <w:rPr>
          <w:rFonts w:eastAsiaTheme="minorEastAsia" w:cstheme="minorBidi"/>
          <w:b w:val="0"/>
          <w:szCs w:val="22"/>
        </w:rPr>
      </w:pPr>
      <w:hyperlink w:anchor="_Toc416357953" w:history="1">
        <w:r w:rsidR="003A7C98" w:rsidRPr="006C3C14">
          <w:rPr>
            <w:rStyle w:val="Hyperlink"/>
          </w:rPr>
          <w:t>Figure 68. Percent of Staff Injury Associated with Assault and/or Fall (FY14)</w:t>
        </w:r>
        <w:r w:rsidR="003A7C98">
          <w:rPr>
            <w:webHidden/>
          </w:rPr>
          <w:tab/>
        </w:r>
        <w:r w:rsidR="003A7C98">
          <w:rPr>
            <w:webHidden/>
          </w:rPr>
          <w:fldChar w:fldCharType="begin"/>
        </w:r>
        <w:r w:rsidR="003A7C98">
          <w:rPr>
            <w:webHidden/>
          </w:rPr>
          <w:instrText xml:space="preserve"> PAGEREF _Toc416357953 \h </w:instrText>
        </w:r>
        <w:r w:rsidR="003A7C98">
          <w:rPr>
            <w:webHidden/>
          </w:rPr>
        </w:r>
        <w:r w:rsidR="003A7C98">
          <w:rPr>
            <w:webHidden/>
          </w:rPr>
          <w:fldChar w:fldCharType="separate"/>
        </w:r>
        <w:r w:rsidR="007E3DB6">
          <w:rPr>
            <w:webHidden/>
          </w:rPr>
          <w:t>51</w:t>
        </w:r>
        <w:r w:rsidR="003A7C98">
          <w:rPr>
            <w:webHidden/>
          </w:rPr>
          <w:fldChar w:fldCharType="end"/>
        </w:r>
      </w:hyperlink>
    </w:p>
    <w:p w:rsidR="003219F2" w:rsidRDefault="002C054E" w:rsidP="0012461A">
      <w:pPr>
        <w:pStyle w:val="TOC2"/>
      </w:pPr>
      <w:r w:rsidRPr="00BD7F86">
        <w:fldChar w:fldCharType="end"/>
      </w:r>
    </w:p>
    <w:p w:rsidR="00722176" w:rsidRDefault="00722176" w:rsidP="00722176"/>
    <w:p w:rsidR="00B36416" w:rsidRPr="00722176" w:rsidRDefault="00B36416" w:rsidP="00722176"/>
    <w:p w:rsidR="002324A9" w:rsidRPr="00B25660" w:rsidRDefault="002324A9" w:rsidP="00B22E89">
      <w:pPr>
        <w:pStyle w:val="Title"/>
      </w:pPr>
      <w:r w:rsidRPr="007A28CD">
        <w:t>List of Tables</w:t>
      </w:r>
    </w:p>
    <w:p w:rsidR="003A7C98" w:rsidRDefault="002C054E">
      <w:pPr>
        <w:pStyle w:val="TableofFigures"/>
        <w:rPr>
          <w:rFonts w:eastAsiaTheme="minorEastAsia" w:cstheme="minorBidi"/>
          <w:b w:val="0"/>
          <w:szCs w:val="22"/>
        </w:rPr>
      </w:pPr>
      <w:r w:rsidRPr="00BD7F86">
        <w:rPr>
          <w:rStyle w:val="Hyperlink"/>
          <w:sz w:val="22"/>
        </w:rPr>
        <w:fldChar w:fldCharType="begin"/>
      </w:r>
      <w:r w:rsidR="003537B7" w:rsidRPr="00BD7F86">
        <w:rPr>
          <w:rStyle w:val="Hyperlink"/>
          <w:sz w:val="22"/>
        </w:rPr>
        <w:instrText xml:space="preserve"> TOC \h \z \c "Table" </w:instrText>
      </w:r>
      <w:r w:rsidRPr="00BD7F86">
        <w:rPr>
          <w:rStyle w:val="Hyperlink"/>
          <w:sz w:val="22"/>
        </w:rPr>
        <w:fldChar w:fldCharType="separate"/>
      </w:r>
      <w:hyperlink w:anchor="_Toc416357954" w:history="1">
        <w:r w:rsidR="003A7C98" w:rsidRPr="00A973A6">
          <w:rPr>
            <w:rStyle w:val="Hyperlink"/>
            <w:rFonts w:eastAsia="SimSun"/>
            <w:lang w:eastAsia="zh-CN"/>
          </w:rPr>
          <w:t>Table 1. Total Patient Days and Number of Unique Individuals Served (FY10 ~ FY14)</w:t>
        </w:r>
        <w:r w:rsidR="003A7C98">
          <w:rPr>
            <w:webHidden/>
          </w:rPr>
          <w:tab/>
        </w:r>
        <w:r w:rsidR="003A7C98">
          <w:rPr>
            <w:webHidden/>
          </w:rPr>
          <w:fldChar w:fldCharType="begin"/>
        </w:r>
        <w:r w:rsidR="003A7C98">
          <w:rPr>
            <w:webHidden/>
          </w:rPr>
          <w:instrText xml:space="preserve"> PAGEREF _Toc416357954 \h </w:instrText>
        </w:r>
        <w:r w:rsidR="003A7C98">
          <w:rPr>
            <w:webHidden/>
          </w:rPr>
        </w:r>
        <w:r w:rsidR="003A7C98">
          <w:rPr>
            <w:webHidden/>
          </w:rPr>
          <w:fldChar w:fldCharType="separate"/>
        </w:r>
        <w:r w:rsidR="007E3DB6">
          <w:rPr>
            <w:webHidden/>
          </w:rPr>
          <w:t>10</w:t>
        </w:r>
        <w:r w:rsidR="003A7C98">
          <w:rPr>
            <w:webHidden/>
          </w:rPr>
          <w:fldChar w:fldCharType="end"/>
        </w:r>
      </w:hyperlink>
    </w:p>
    <w:p w:rsidR="003A7C98" w:rsidRDefault="007A17C8">
      <w:pPr>
        <w:pStyle w:val="TableofFigures"/>
        <w:rPr>
          <w:rFonts w:eastAsiaTheme="minorEastAsia" w:cstheme="minorBidi"/>
          <w:b w:val="0"/>
          <w:szCs w:val="22"/>
        </w:rPr>
      </w:pPr>
      <w:hyperlink w:anchor="_Toc416357955" w:history="1">
        <w:r w:rsidR="003A7C98" w:rsidRPr="00A973A6">
          <w:rPr>
            <w:rStyle w:val="Hyperlink"/>
          </w:rPr>
          <w:t>Table 2. Total Patient Days and Number of Unique Individuals Served by Month (FY14)</w:t>
        </w:r>
        <w:r w:rsidR="003A7C98">
          <w:rPr>
            <w:webHidden/>
          </w:rPr>
          <w:tab/>
        </w:r>
        <w:r w:rsidR="003A7C98">
          <w:rPr>
            <w:webHidden/>
          </w:rPr>
          <w:fldChar w:fldCharType="begin"/>
        </w:r>
        <w:r w:rsidR="003A7C98">
          <w:rPr>
            <w:webHidden/>
          </w:rPr>
          <w:instrText xml:space="preserve"> PAGEREF _Toc416357955 \h </w:instrText>
        </w:r>
        <w:r w:rsidR="003A7C98">
          <w:rPr>
            <w:webHidden/>
          </w:rPr>
        </w:r>
        <w:r w:rsidR="003A7C98">
          <w:rPr>
            <w:webHidden/>
          </w:rPr>
          <w:fldChar w:fldCharType="separate"/>
        </w:r>
        <w:r w:rsidR="007E3DB6">
          <w:rPr>
            <w:webHidden/>
          </w:rPr>
          <w:t>10</w:t>
        </w:r>
        <w:r w:rsidR="003A7C98">
          <w:rPr>
            <w:webHidden/>
          </w:rPr>
          <w:fldChar w:fldCharType="end"/>
        </w:r>
      </w:hyperlink>
    </w:p>
    <w:p w:rsidR="003A7C98" w:rsidRDefault="007A17C8">
      <w:pPr>
        <w:pStyle w:val="TableofFigures"/>
        <w:rPr>
          <w:rFonts w:eastAsiaTheme="minorEastAsia" w:cstheme="minorBidi"/>
          <w:b w:val="0"/>
          <w:szCs w:val="22"/>
        </w:rPr>
      </w:pPr>
      <w:hyperlink w:anchor="_Toc416357956" w:history="1">
        <w:r w:rsidR="003A7C98" w:rsidRPr="00A973A6">
          <w:rPr>
            <w:rStyle w:val="Hyperlink"/>
          </w:rPr>
          <w:t>Table 3. Unique Individuals in Care Transferred between Units (FY12 ~ FY14)</w:t>
        </w:r>
        <w:r w:rsidR="003A7C98">
          <w:rPr>
            <w:webHidden/>
          </w:rPr>
          <w:tab/>
        </w:r>
        <w:r w:rsidR="003A7C98">
          <w:rPr>
            <w:webHidden/>
          </w:rPr>
          <w:fldChar w:fldCharType="begin"/>
        </w:r>
        <w:r w:rsidR="003A7C98">
          <w:rPr>
            <w:webHidden/>
          </w:rPr>
          <w:instrText xml:space="preserve"> PAGEREF _Toc416357956 \h </w:instrText>
        </w:r>
        <w:r w:rsidR="003A7C98">
          <w:rPr>
            <w:webHidden/>
          </w:rPr>
        </w:r>
        <w:r w:rsidR="003A7C98">
          <w:rPr>
            <w:webHidden/>
          </w:rPr>
          <w:fldChar w:fldCharType="separate"/>
        </w:r>
        <w:r w:rsidR="007E3DB6">
          <w:rPr>
            <w:webHidden/>
          </w:rPr>
          <w:t>15</w:t>
        </w:r>
        <w:r w:rsidR="003A7C98">
          <w:rPr>
            <w:webHidden/>
          </w:rPr>
          <w:fldChar w:fldCharType="end"/>
        </w:r>
      </w:hyperlink>
    </w:p>
    <w:p w:rsidR="003A7C98" w:rsidRDefault="007A17C8">
      <w:pPr>
        <w:pStyle w:val="TableofFigures"/>
        <w:rPr>
          <w:rFonts w:eastAsiaTheme="minorEastAsia" w:cstheme="minorBidi"/>
          <w:b w:val="0"/>
          <w:szCs w:val="22"/>
        </w:rPr>
      </w:pPr>
      <w:hyperlink w:anchor="_Toc416357957" w:history="1">
        <w:r w:rsidR="003A7C98" w:rsidRPr="00A973A6">
          <w:rPr>
            <w:rStyle w:val="Hyperlink"/>
          </w:rPr>
          <w:t>Table 4. Leave Episodes by Type and Reason (FY14)</w:t>
        </w:r>
        <w:r w:rsidR="003A7C98">
          <w:rPr>
            <w:webHidden/>
          </w:rPr>
          <w:tab/>
        </w:r>
        <w:r w:rsidR="003A7C98">
          <w:rPr>
            <w:webHidden/>
          </w:rPr>
          <w:fldChar w:fldCharType="begin"/>
        </w:r>
        <w:r w:rsidR="003A7C98">
          <w:rPr>
            <w:webHidden/>
          </w:rPr>
          <w:instrText xml:space="preserve"> PAGEREF _Toc416357957 \h </w:instrText>
        </w:r>
        <w:r w:rsidR="003A7C98">
          <w:rPr>
            <w:webHidden/>
          </w:rPr>
        </w:r>
        <w:r w:rsidR="003A7C98">
          <w:rPr>
            <w:webHidden/>
          </w:rPr>
          <w:fldChar w:fldCharType="separate"/>
        </w:r>
        <w:r w:rsidR="007E3DB6">
          <w:rPr>
            <w:webHidden/>
          </w:rPr>
          <w:t>16</w:t>
        </w:r>
        <w:r w:rsidR="003A7C98">
          <w:rPr>
            <w:webHidden/>
          </w:rPr>
          <w:fldChar w:fldCharType="end"/>
        </w:r>
      </w:hyperlink>
    </w:p>
    <w:p w:rsidR="003A7C98" w:rsidRDefault="007A17C8">
      <w:pPr>
        <w:pStyle w:val="TableofFigures"/>
        <w:rPr>
          <w:rFonts w:eastAsiaTheme="minorEastAsia" w:cstheme="minorBidi"/>
          <w:b w:val="0"/>
          <w:szCs w:val="22"/>
        </w:rPr>
      </w:pPr>
      <w:hyperlink w:anchor="_Toc416357958" w:history="1">
        <w:r w:rsidR="003A7C98" w:rsidRPr="00A973A6">
          <w:rPr>
            <w:rStyle w:val="Hyperlink"/>
          </w:rPr>
          <w:t>Table 5. Emergency Medical Leaves: Likely Medical Transfers (FY11 ~ FY14)</w:t>
        </w:r>
        <w:r w:rsidR="003A7C98">
          <w:rPr>
            <w:webHidden/>
          </w:rPr>
          <w:tab/>
        </w:r>
        <w:r w:rsidR="003A7C98">
          <w:rPr>
            <w:webHidden/>
          </w:rPr>
          <w:fldChar w:fldCharType="begin"/>
        </w:r>
        <w:r w:rsidR="003A7C98">
          <w:rPr>
            <w:webHidden/>
          </w:rPr>
          <w:instrText xml:space="preserve"> PAGEREF _Toc416357958 \h </w:instrText>
        </w:r>
        <w:r w:rsidR="003A7C98">
          <w:rPr>
            <w:webHidden/>
          </w:rPr>
        </w:r>
        <w:r w:rsidR="003A7C98">
          <w:rPr>
            <w:webHidden/>
          </w:rPr>
          <w:fldChar w:fldCharType="separate"/>
        </w:r>
        <w:r w:rsidR="007E3DB6">
          <w:rPr>
            <w:webHidden/>
          </w:rPr>
          <w:t>17</w:t>
        </w:r>
        <w:r w:rsidR="003A7C98">
          <w:rPr>
            <w:webHidden/>
          </w:rPr>
          <w:fldChar w:fldCharType="end"/>
        </w:r>
      </w:hyperlink>
    </w:p>
    <w:p w:rsidR="003A7C98" w:rsidRDefault="007A17C8">
      <w:pPr>
        <w:pStyle w:val="TableofFigures"/>
        <w:rPr>
          <w:rFonts w:eastAsiaTheme="minorEastAsia" w:cstheme="minorBidi"/>
          <w:b w:val="0"/>
          <w:szCs w:val="22"/>
        </w:rPr>
      </w:pPr>
      <w:hyperlink w:anchor="_Toc416357959" w:history="1">
        <w:r w:rsidR="003A7C98" w:rsidRPr="00A973A6">
          <w:rPr>
            <w:rStyle w:val="Hyperlink"/>
            <w:rFonts w:eastAsia="SimSun"/>
            <w:lang w:eastAsia="zh-CN"/>
          </w:rPr>
          <w:t>Table 6. Gender Ratio by Group (FY13 vs. FY14)</w:t>
        </w:r>
        <w:r w:rsidR="003A7C98">
          <w:rPr>
            <w:webHidden/>
          </w:rPr>
          <w:tab/>
        </w:r>
        <w:r w:rsidR="003A7C98">
          <w:rPr>
            <w:webHidden/>
          </w:rPr>
          <w:fldChar w:fldCharType="begin"/>
        </w:r>
        <w:r w:rsidR="003A7C98">
          <w:rPr>
            <w:webHidden/>
          </w:rPr>
          <w:instrText xml:space="preserve"> PAGEREF _Toc416357959 \h </w:instrText>
        </w:r>
        <w:r w:rsidR="003A7C98">
          <w:rPr>
            <w:webHidden/>
          </w:rPr>
        </w:r>
        <w:r w:rsidR="003A7C98">
          <w:rPr>
            <w:webHidden/>
          </w:rPr>
          <w:fldChar w:fldCharType="separate"/>
        </w:r>
        <w:r w:rsidR="007E3DB6">
          <w:rPr>
            <w:webHidden/>
          </w:rPr>
          <w:t>19</w:t>
        </w:r>
        <w:r w:rsidR="003A7C98">
          <w:rPr>
            <w:webHidden/>
          </w:rPr>
          <w:fldChar w:fldCharType="end"/>
        </w:r>
      </w:hyperlink>
    </w:p>
    <w:p w:rsidR="003A7C98" w:rsidRDefault="007A17C8">
      <w:pPr>
        <w:pStyle w:val="TableofFigures"/>
        <w:rPr>
          <w:rFonts w:eastAsiaTheme="minorEastAsia" w:cstheme="minorBidi"/>
          <w:b w:val="0"/>
          <w:szCs w:val="22"/>
        </w:rPr>
      </w:pPr>
      <w:hyperlink w:anchor="_Toc416357960" w:history="1">
        <w:r w:rsidR="003A7C98" w:rsidRPr="00A973A6">
          <w:rPr>
            <w:rStyle w:val="Hyperlink"/>
            <w:rFonts w:eastAsia="SimSun"/>
            <w:lang w:eastAsia="zh-CN"/>
          </w:rPr>
          <w:t>Table 7. Primary Language (09/30/14)</w:t>
        </w:r>
        <w:r w:rsidR="003A7C98">
          <w:rPr>
            <w:webHidden/>
          </w:rPr>
          <w:tab/>
        </w:r>
        <w:r w:rsidR="003A7C98">
          <w:rPr>
            <w:webHidden/>
          </w:rPr>
          <w:fldChar w:fldCharType="begin"/>
        </w:r>
        <w:r w:rsidR="003A7C98">
          <w:rPr>
            <w:webHidden/>
          </w:rPr>
          <w:instrText xml:space="preserve"> PAGEREF _Toc416357960 \h </w:instrText>
        </w:r>
        <w:r w:rsidR="003A7C98">
          <w:rPr>
            <w:webHidden/>
          </w:rPr>
        </w:r>
        <w:r w:rsidR="003A7C98">
          <w:rPr>
            <w:webHidden/>
          </w:rPr>
          <w:fldChar w:fldCharType="separate"/>
        </w:r>
        <w:r w:rsidR="007E3DB6">
          <w:rPr>
            <w:webHidden/>
          </w:rPr>
          <w:t>20</w:t>
        </w:r>
        <w:r w:rsidR="003A7C98">
          <w:rPr>
            <w:webHidden/>
          </w:rPr>
          <w:fldChar w:fldCharType="end"/>
        </w:r>
      </w:hyperlink>
    </w:p>
    <w:p w:rsidR="003A7C98" w:rsidRDefault="007A17C8">
      <w:pPr>
        <w:pStyle w:val="TableofFigures"/>
        <w:rPr>
          <w:rFonts w:eastAsiaTheme="minorEastAsia" w:cstheme="minorBidi"/>
          <w:b w:val="0"/>
          <w:szCs w:val="22"/>
        </w:rPr>
      </w:pPr>
      <w:hyperlink w:anchor="_Toc416357961" w:history="1">
        <w:r w:rsidR="003A7C98" w:rsidRPr="00A973A6">
          <w:rPr>
            <w:rStyle w:val="Hyperlink"/>
            <w:rFonts w:eastAsia="SimSun"/>
            <w:lang w:eastAsia="zh-CN"/>
          </w:rPr>
          <w:t>Table 8. Race and Ethnicity (09/30/14)</w:t>
        </w:r>
        <w:r w:rsidR="003A7C98">
          <w:rPr>
            <w:webHidden/>
          </w:rPr>
          <w:tab/>
        </w:r>
        <w:r w:rsidR="003A7C98">
          <w:rPr>
            <w:webHidden/>
          </w:rPr>
          <w:fldChar w:fldCharType="begin"/>
        </w:r>
        <w:r w:rsidR="003A7C98">
          <w:rPr>
            <w:webHidden/>
          </w:rPr>
          <w:instrText xml:space="preserve"> PAGEREF _Toc416357961 \h </w:instrText>
        </w:r>
        <w:r w:rsidR="003A7C98">
          <w:rPr>
            <w:webHidden/>
          </w:rPr>
        </w:r>
        <w:r w:rsidR="003A7C98">
          <w:rPr>
            <w:webHidden/>
          </w:rPr>
          <w:fldChar w:fldCharType="separate"/>
        </w:r>
        <w:r w:rsidR="007E3DB6">
          <w:rPr>
            <w:webHidden/>
          </w:rPr>
          <w:t>20</w:t>
        </w:r>
        <w:r w:rsidR="003A7C98">
          <w:rPr>
            <w:webHidden/>
          </w:rPr>
          <w:fldChar w:fldCharType="end"/>
        </w:r>
      </w:hyperlink>
    </w:p>
    <w:p w:rsidR="003A7C98" w:rsidRDefault="007A17C8">
      <w:pPr>
        <w:pStyle w:val="TableofFigures"/>
        <w:rPr>
          <w:rFonts w:eastAsiaTheme="minorEastAsia" w:cstheme="minorBidi"/>
          <w:b w:val="0"/>
          <w:szCs w:val="22"/>
        </w:rPr>
      </w:pPr>
      <w:hyperlink w:anchor="_Toc416357962" w:history="1">
        <w:r w:rsidR="003A7C98" w:rsidRPr="00A973A6">
          <w:rPr>
            <w:rStyle w:val="Hyperlink"/>
            <w:rFonts w:eastAsia="SimSun"/>
            <w:lang w:eastAsia="zh-CN"/>
          </w:rPr>
          <w:t>Table 9. Marital Status (09/30/14)</w:t>
        </w:r>
        <w:r w:rsidR="003A7C98">
          <w:rPr>
            <w:webHidden/>
          </w:rPr>
          <w:tab/>
        </w:r>
        <w:r w:rsidR="003A7C98">
          <w:rPr>
            <w:webHidden/>
          </w:rPr>
          <w:fldChar w:fldCharType="begin"/>
        </w:r>
        <w:r w:rsidR="003A7C98">
          <w:rPr>
            <w:webHidden/>
          </w:rPr>
          <w:instrText xml:space="preserve"> PAGEREF _Toc416357962 \h </w:instrText>
        </w:r>
        <w:r w:rsidR="003A7C98">
          <w:rPr>
            <w:webHidden/>
          </w:rPr>
        </w:r>
        <w:r w:rsidR="003A7C98">
          <w:rPr>
            <w:webHidden/>
          </w:rPr>
          <w:fldChar w:fldCharType="separate"/>
        </w:r>
        <w:r w:rsidR="007E3DB6">
          <w:rPr>
            <w:webHidden/>
          </w:rPr>
          <w:t>20</w:t>
        </w:r>
        <w:r w:rsidR="003A7C98">
          <w:rPr>
            <w:webHidden/>
          </w:rPr>
          <w:fldChar w:fldCharType="end"/>
        </w:r>
      </w:hyperlink>
    </w:p>
    <w:p w:rsidR="003A7C98" w:rsidRDefault="007A17C8">
      <w:pPr>
        <w:pStyle w:val="TableofFigures"/>
        <w:rPr>
          <w:rFonts w:eastAsiaTheme="minorEastAsia" w:cstheme="minorBidi"/>
          <w:b w:val="0"/>
          <w:szCs w:val="22"/>
        </w:rPr>
      </w:pPr>
      <w:hyperlink w:anchor="_Toc416357963" w:history="1">
        <w:r w:rsidR="003A7C98" w:rsidRPr="00A973A6">
          <w:rPr>
            <w:rStyle w:val="Hyperlink"/>
          </w:rPr>
          <w:t>Table 10. Religion (09/30/14)</w:t>
        </w:r>
        <w:r w:rsidR="003A7C98">
          <w:rPr>
            <w:webHidden/>
          </w:rPr>
          <w:tab/>
        </w:r>
        <w:r w:rsidR="003A7C98">
          <w:rPr>
            <w:webHidden/>
          </w:rPr>
          <w:fldChar w:fldCharType="begin"/>
        </w:r>
        <w:r w:rsidR="003A7C98">
          <w:rPr>
            <w:webHidden/>
          </w:rPr>
          <w:instrText xml:space="preserve"> PAGEREF _Toc416357963 \h </w:instrText>
        </w:r>
        <w:r w:rsidR="003A7C98">
          <w:rPr>
            <w:webHidden/>
          </w:rPr>
        </w:r>
        <w:r w:rsidR="003A7C98">
          <w:rPr>
            <w:webHidden/>
          </w:rPr>
          <w:fldChar w:fldCharType="separate"/>
        </w:r>
        <w:r w:rsidR="007E3DB6">
          <w:rPr>
            <w:webHidden/>
          </w:rPr>
          <w:t>21</w:t>
        </w:r>
        <w:r w:rsidR="003A7C98">
          <w:rPr>
            <w:webHidden/>
          </w:rPr>
          <w:fldChar w:fldCharType="end"/>
        </w:r>
      </w:hyperlink>
    </w:p>
    <w:p w:rsidR="003A7C98" w:rsidRDefault="007A17C8">
      <w:pPr>
        <w:pStyle w:val="TableofFigures"/>
        <w:rPr>
          <w:rFonts w:eastAsiaTheme="minorEastAsia" w:cstheme="minorBidi"/>
          <w:b w:val="0"/>
          <w:szCs w:val="22"/>
        </w:rPr>
      </w:pPr>
      <w:hyperlink w:anchor="_Toc416357964" w:history="1">
        <w:r w:rsidR="003A7C98" w:rsidRPr="00A973A6">
          <w:rPr>
            <w:rStyle w:val="Hyperlink"/>
          </w:rPr>
          <w:t>Table 11. Education (09/30/14)</w:t>
        </w:r>
        <w:r w:rsidR="003A7C98">
          <w:rPr>
            <w:webHidden/>
          </w:rPr>
          <w:tab/>
        </w:r>
        <w:r w:rsidR="003A7C98">
          <w:rPr>
            <w:webHidden/>
          </w:rPr>
          <w:fldChar w:fldCharType="begin"/>
        </w:r>
        <w:r w:rsidR="003A7C98">
          <w:rPr>
            <w:webHidden/>
          </w:rPr>
          <w:instrText xml:space="preserve"> PAGEREF _Toc416357964 \h </w:instrText>
        </w:r>
        <w:r w:rsidR="003A7C98">
          <w:rPr>
            <w:webHidden/>
          </w:rPr>
        </w:r>
        <w:r w:rsidR="003A7C98">
          <w:rPr>
            <w:webHidden/>
          </w:rPr>
          <w:fldChar w:fldCharType="separate"/>
        </w:r>
        <w:r w:rsidR="007E3DB6">
          <w:rPr>
            <w:webHidden/>
          </w:rPr>
          <w:t>21</w:t>
        </w:r>
        <w:r w:rsidR="003A7C98">
          <w:rPr>
            <w:webHidden/>
          </w:rPr>
          <w:fldChar w:fldCharType="end"/>
        </w:r>
      </w:hyperlink>
    </w:p>
    <w:p w:rsidR="003A7C98" w:rsidRDefault="007A17C8">
      <w:pPr>
        <w:pStyle w:val="TableofFigures"/>
        <w:rPr>
          <w:rFonts w:eastAsiaTheme="minorEastAsia" w:cstheme="minorBidi"/>
          <w:b w:val="0"/>
          <w:szCs w:val="22"/>
        </w:rPr>
      </w:pPr>
      <w:hyperlink w:anchor="_Toc416357965" w:history="1">
        <w:r w:rsidR="003A7C98" w:rsidRPr="00A973A6">
          <w:rPr>
            <w:rStyle w:val="Hyperlink"/>
            <w:rFonts w:eastAsia="SimSun"/>
            <w:lang w:eastAsia="zh-CN"/>
          </w:rPr>
          <w:t>Table 12. LOS at Discharge by Legal Status (FY12 ~ FY14)</w:t>
        </w:r>
        <w:r w:rsidR="003A7C98">
          <w:rPr>
            <w:webHidden/>
          </w:rPr>
          <w:tab/>
        </w:r>
        <w:r w:rsidR="003A7C98">
          <w:rPr>
            <w:webHidden/>
          </w:rPr>
          <w:fldChar w:fldCharType="begin"/>
        </w:r>
        <w:r w:rsidR="003A7C98">
          <w:rPr>
            <w:webHidden/>
          </w:rPr>
          <w:instrText xml:space="preserve"> PAGEREF _Toc416357965 \h </w:instrText>
        </w:r>
        <w:r w:rsidR="003A7C98">
          <w:rPr>
            <w:webHidden/>
          </w:rPr>
        </w:r>
        <w:r w:rsidR="003A7C98">
          <w:rPr>
            <w:webHidden/>
          </w:rPr>
          <w:fldChar w:fldCharType="separate"/>
        </w:r>
        <w:r w:rsidR="007E3DB6">
          <w:rPr>
            <w:webHidden/>
          </w:rPr>
          <w:t>25</w:t>
        </w:r>
        <w:r w:rsidR="003A7C98">
          <w:rPr>
            <w:webHidden/>
          </w:rPr>
          <w:fldChar w:fldCharType="end"/>
        </w:r>
      </w:hyperlink>
    </w:p>
    <w:p w:rsidR="003A7C98" w:rsidRDefault="007A17C8">
      <w:pPr>
        <w:pStyle w:val="TableofFigures"/>
        <w:rPr>
          <w:rFonts w:eastAsiaTheme="minorEastAsia" w:cstheme="minorBidi"/>
          <w:b w:val="0"/>
          <w:szCs w:val="22"/>
        </w:rPr>
      </w:pPr>
      <w:hyperlink w:anchor="_Toc416357966" w:history="1">
        <w:r w:rsidR="003A7C98" w:rsidRPr="00A973A6">
          <w:rPr>
            <w:rStyle w:val="Hyperlink"/>
            <w:rFonts w:eastAsia="SimSun"/>
            <w:lang w:eastAsia="zh-CN"/>
          </w:rPr>
          <w:t>Table 13. Re-admissions (FY10 ~ FY14)</w:t>
        </w:r>
        <w:r w:rsidR="003A7C98">
          <w:rPr>
            <w:webHidden/>
          </w:rPr>
          <w:tab/>
        </w:r>
        <w:r w:rsidR="003A7C98">
          <w:rPr>
            <w:webHidden/>
          </w:rPr>
          <w:fldChar w:fldCharType="begin"/>
        </w:r>
        <w:r w:rsidR="003A7C98">
          <w:rPr>
            <w:webHidden/>
          </w:rPr>
          <w:instrText xml:space="preserve"> PAGEREF _Toc416357966 \h </w:instrText>
        </w:r>
        <w:r w:rsidR="003A7C98">
          <w:rPr>
            <w:webHidden/>
          </w:rPr>
        </w:r>
        <w:r w:rsidR="003A7C98">
          <w:rPr>
            <w:webHidden/>
          </w:rPr>
          <w:fldChar w:fldCharType="separate"/>
        </w:r>
        <w:r w:rsidR="007E3DB6">
          <w:rPr>
            <w:webHidden/>
          </w:rPr>
          <w:t>27</w:t>
        </w:r>
        <w:r w:rsidR="003A7C98">
          <w:rPr>
            <w:webHidden/>
          </w:rPr>
          <w:fldChar w:fldCharType="end"/>
        </w:r>
      </w:hyperlink>
    </w:p>
    <w:p w:rsidR="003A7C98" w:rsidRDefault="007A17C8">
      <w:pPr>
        <w:pStyle w:val="TableofFigures"/>
        <w:rPr>
          <w:rFonts w:eastAsiaTheme="minorEastAsia" w:cstheme="minorBidi"/>
          <w:b w:val="0"/>
          <w:szCs w:val="22"/>
        </w:rPr>
      </w:pPr>
      <w:hyperlink w:anchor="_Toc416357967" w:history="1">
        <w:r w:rsidR="003A7C98" w:rsidRPr="00A973A6">
          <w:rPr>
            <w:rStyle w:val="Hyperlink"/>
            <w:rFonts w:eastAsia="SimSun"/>
            <w:lang w:eastAsia="zh-CN"/>
          </w:rPr>
          <w:t>Table 14. Unique Individuals in Care Involved in UIs (FY14)</w:t>
        </w:r>
        <w:r w:rsidR="003A7C98">
          <w:rPr>
            <w:webHidden/>
          </w:rPr>
          <w:tab/>
        </w:r>
        <w:r w:rsidR="003A7C98">
          <w:rPr>
            <w:webHidden/>
          </w:rPr>
          <w:fldChar w:fldCharType="begin"/>
        </w:r>
        <w:r w:rsidR="003A7C98">
          <w:rPr>
            <w:webHidden/>
          </w:rPr>
          <w:instrText xml:space="preserve"> PAGEREF _Toc416357967 \h </w:instrText>
        </w:r>
        <w:r w:rsidR="003A7C98">
          <w:rPr>
            <w:webHidden/>
          </w:rPr>
        </w:r>
        <w:r w:rsidR="003A7C98">
          <w:rPr>
            <w:webHidden/>
          </w:rPr>
          <w:fldChar w:fldCharType="separate"/>
        </w:r>
        <w:r w:rsidR="007E3DB6">
          <w:rPr>
            <w:webHidden/>
          </w:rPr>
          <w:t>39</w:t>
        </w:r>
        <w:r w:rsidR="003A7C98">
          <w:rPr>
            <w:webHidden/>
          </w:rPr>
          <w:fldChar w:fldCharType="end"/>
        </w:r>
      </w:hyperlink>
    </w:p>
    <w:p w:rsidR="003A7C98" w:rsidRDefault="007A17C8">
      <w:pPr>
        <w:pStyle w:val="TableofFigures"/>
        <w:rPr>
          <w:rFonts w:eastAsiaTheme="minorEastAsia" w:cstheme="minorBidi"/>
          <w:b w:val="0"/>
          <w:szCs w:val="22"/>
        </w:rPr>
      </w:pPr>
      <w:hyperlink w:anchor="_Toc416357968" w:history="1">
        <w:r w:rsidR="003A7C98" w:rsidRPr="00A973A6">
          <w:rPr>
            <w:rStyle w:val="Hyperlink"/>
          </w:rPr>
          <w:t>Table 15. Major UIs vs. Non-Major UIs (FY14)</w:t>
        </w:r>
        <w:r w:rsidR="003A7C98">
          <w:rPr>
            <w:webHidden/>
          </w:rPr>
          <w:tab/>
        </w:r>
        <w:r w:rsidR="003A7C98">
          <w:rPr>
            <w:webHidden/>
          </w:rPr>
          <w:fldChar w:fldCharType="begin"/>
        </w:r>
        <w:r w:rsidR="003A7C98">
          <w:rPr>
            <w:webHidden/>
          </w:rPr>
          <w:instrText xml:space="preserve"> PAGEREF _Toc416357968 \h </w:instrText>
        </w:r>
        <w:r w:rsidR="003A7C98">
          <w:rPr>
            <w:webHidden/>
          </w:rPr>
        </w:r>
        <w:r w:rsidR="003A7C98">
          <w:rPr>
            <w:webHidden/>
          </w:rPr>
          <w:fldChar w:fldCharType="separate"/>
        </w:r>
        <w:r w:rsidR="007E3DB6">
          <w:rPr>
            <w:webHidden/>
          </w:rPr>
          <w:t>39</w:t>
        </w:r>
        <w:r w:rsidR="003A7C98">
          <w:rPr>
            <w:webHidden/>
          </w:rPr>
          <w:fldChar w:fldCharType="end"/>
        </w:r>
      </w:hyperlink>
    </w:p>
    <w:p w:rsidR="00FC1BB2" w:rsidRDefault="002C054E" w:rsidP="00B36416">
      <w:pPr>
        <w:pStyle w:val="TableofFigures"/>
        <w:rPr>
          <w:rStyle w:val="Hyperlink"/>
          <w:sz w:val="22"/>
        </w:rPr>
      </w:pPr>
      <w:r w:rsidRPr="00BD7F86">
        <w:rPr>
          <w:rStyle w:val="Hyperlink"/>
          <w:sz w:val="22"/>
        </w:rPr>
        <w:fldChar w:fldCharType="end"/>
      </w:r>
    </w:p>
    <w:p w:rsidR="0012461A" w:rsidRDefault="0012461A" w:rsidP="0012461A"/>
    <w:p w:rsidR="0012461A" w:rsidRDefault="0012461A" w:rsidP="0012461A"/>
    <w:p w:rsidR="00B36416" w:rsidRDefault="00B36416" w:rsidP="0012461A"/>
    <w:p w:rsidR="0012461A" w:rsidRDefault="0012461A" w:rsidP="0012461A"/>
    <w:p w:rsidR="0012461A" w:rsidRPr="0012461A" w:rsidRDefault="0012461A" w:rsidP="0012461A"/>
    <w:p w:rsidR="00EB6637" w:rsidRPr="00EB6637" w:rsidRDefault="00EB6637" w:rsidP="00EB6637"/>
    <w:tbl>
      <w:tblPr>
        <w:tblW w:w="0" w:type="auto"/>
        <w:jc w:val="center"/>
        <w:tblInd w:w="162" w:type="dxa"/>
        <w:tblBorders>
          <w:top w:val="thickThinSmallGap" w:sz="12" w:space="0" w:color="1F497D"/>
          <w:left w:val="thickThinSmallGap" w:sz="12" w:space="0" w:color="1F497D"/>
          <w:bottom w:val="thinThickSmallGap" w:sz="12" w:space="0" w:color="1F497D"/>
          <w:right w:val="thinThickSmallGap" w:sz="12" w:space="0" w:color="1F497D"/>
          <w:insideH w:val="single" w:sz="6" w:space="0" w:color="1F497D"/>
          <w:insideV w:val="single" w:sz="6" w:space="0" w:color="1F497D"/>
        </w:tblBorders>
        <w:tblCellMar>
          <w:top w:w="72" w:type="dxa"/>
          <w:left w:w="144" w:type="dxa"/>
          <w:bottom w:w="72" w:type="dxa"/>
          <w:right w:w="144" w:type="dxa"/>
        </w:tblCellMar>
        <w:tblLook w:val="01E0" w:firstRow="1" w:lastRow="1" w:firstColumn="1" w:lastColumn="1" w:noHBand="0" w:noVBand="0"/>
      </w:tblPr>
      <w:tblGrid>
        <w:gridCol w:w="9711"/>
      </w:tblGrid>
      <w:tr w:rsidR="008524CF" w:rsidTr="000A2AEC">
        <w:trPr>
          <w:trHeight w:val="3558"/>
          <w:jc w:val="center"/>
        </w:trPr>
        <w:tc>
          <w:tcPr>
            <w:tcW w:w="9711" w:type="dxa"/>
            <w:shd w:val="clear" w:color="auto" w:fill="C6D9F1"/>
          </w:tcPr>
          <w:p w:rsidR="008524CF" w:rsidRPr="000A2AEC" w:rsidRDefault="008524CF" w:rsidP="000B59A7">
            <w:pPr>
              <w:spacing w:before="60" w:after="60"/>
              <w:jc w:val="center"/>
              <w:rPr>
                <w:color w:val="1F497D"/>
                <w:sz w:val="28"/>
                <w:szCs w:val="28"/>
              </w:rPr>
            </w:pPr>
            <w:r w:rsidRPr="002E4C3B">
              <w:rPr>
                <w:b/>
                <w:color w:val="1F497D"/>
                <w:sz w:val="28"/>
                <w:szCs w:val="28"/>
                <w14:shadow w14:blurRad="50800" w14:dist="38100" w14:dir="2700000" w14:sx="100000" w14:sy="100000" w14:kx="0" w14:ky="0" w14:algn="tl">
                  <w14:srgbClr w14:val="000000">
                    <w14:alpha w14:val="60000"/>
                  </w14:srgbClr>
                </w14:shadow>
              </w:rPr>
              <w:t>Data Disclaimer</w:t>
            </w:r>
          </w:p>
          <w:p w:rsidR="008524CF" w:rsidRPr="00810CCD" w:rsidRDefault="008524CF" w:rsidP="001426D4">
            <w:pPr>
              <w:rPr>
                <w:b/>
                <w:color w:val="1F497D"/>
                <w:szCs w:val="22"/>
              </w:rPr>
            </w:pPr>
            <w:r w:rsidRPr="00810CCD">
              <w:rPr>
                <w:b/>
                <w:color w:val="1F497D"/>
                <w:szCs w:val="22"/>
              </w:rPr>
              <w:t>The primary source of data extracted and analyzed herein is Avatar</w:t>
            </w:r>
            <w:r w:rsidR="00406610" w:rsidRPr="00810CCD">
              <w:rPr>
                <w:b/>
                <w:color w:val="1F497D"/>
                <w:szCs w:val="22"/>
              </w:rPr>
              <w:t xml:space="preserve">, the </w:t>
            </w:r>
            <w:r w:rsidR="00BC4623">
              <w:rPr>
                <w:b/>
                <w:color w:val="1F497D"/>
                <w:szCs w:val="22"/>
              </w:rPr>
              <w:t xml:space="preserve">Saint </w:t>
            </w:r>
            <w:proofErr w:type="spellStart"/>
            <w:r w:rsidR="00BC4623">
              <w:rPr>
                <w:b/>
                <w:color w:val="1F497D"/>
                <w:szCs w:val="22"/>
              </w:rPr>
              <w:t>Elizabeths</w:t>
            </w:r>
            <w:proofErr w:type="spellEnd"/>
            <w:r w:rsidR="00BC4623">
              <w:rPr>
                <w:b/>
                <w:color w:val="1F497D"/>
                <w:szCs w:val="22"/>
              </w:rPr>
              <w:t xml:space="preserve"> </w:t>
            </w:r>
            <w:r w:rsidR="00406610" w:rsidRPr="00810CCD">
              <w:rPr>
                <w:b/>
                <w:color w:val="1F497D"/>
                <w:szCs w:val="22"/>
              </w:rPr>
              <w:t xml:space="preserve">Hospital’s </w:t>
            </w:r>
            <w:r w:rsidR="00BC4623">
              <w:rPr>
                <w:b/>
                <w:color w:val="1F497D"/>
                <w:szCs w:val="22"/>
              </w:rPr>
              <w:t xml:space="preserve">current </w:t>
            </w:r>
            <w:r w:rsidR="00406610" w:rsidRPr="00810CCD">
              <w:rPr>
                <w:b/>
                <w:color w:val="1F497D"/>
                <w:szCs w:val="22"/>
              </w:rPr>
              <w:t>client information management system</w:t>
            </w:r>
            <w:r w:rsidR="00BC4623">
              <w:rPr>
                <w:b/>
                <w:color w:val="1F497D"/>
                <w:szCs w:val="22"/>
              </w:rPr>
              <w:t xml:space="preserve"> that stores official electronic medical records of all individuals served by the Hospital</w:t>
            </w:r>
            <w:r w:rsidRPr="00810CCD">
              <w:rPr>
                <w:b/>
                <w:color w:val="1F497D"/>
                <w:szCs w:val="22"/>
              </w:rPr>
              <w:t>.  Additional data source include</w:t>
            </w:r>
            <w:r w:rsidR="00BC4623">
              <w:rPr>
                <w:b/>
                <w:color w:val="1F497D"/>
                <w:szCs w:val="22"/>
              </w:rPr>
              <w:t>s</w:t>
            </w:r>
            <w:r w:rsidRPr="00810CCD">
              <w:rPr>
                <w:b/>
                <w:color w:val="1F497D"/>
                <w:szCs w:val="22"/>
              </w:rPr>
              <w:t xml:space="preserve"> the Hospital’s Unusual Incident </w:t>
            </w:r>
            <w:r w:rsidR="00BC4623">
              <w:rPr>
                <w:b/>
                <w:color w:val="1F497D"/>
                <w:szCs w:val="22"/>
              </w:rPr>
              <w:t>D</w:t>
            </w:r>
            <w:r w:rsidRPr="00810CCD">
              <w:rPr>
                <w:b/>
                <w:color w:val="1F497D"/>
                <w:szCs w:val="22"/>
              </w:rPr>
              <w:t xml:space="preserve">atabase.  Data reflects information as </w:t>
            </w:r>
            <w:r w:rsidR="00121C4D" w:rsidRPr="00810CCD">
              <w:rPr>
                <w:b/>
                <w:color w:val="1F497D"/>
                <w:szCs w:val="22"/>
              </w:rPr>
              <w:t>entered in each system by users.  T</w:t>
            </w:r>
            <w:r w:rsidRPr="00810CCD">
              <w:rPr>
                <w:b/>
                <w:color w:val="1F497D"/>
                <w:szCs w:val="22"/>
              </w:rPr>
              <w:t xml:space="preserve">he Office of </w:t>
            </w:r>
            <w:r w:rsidR="008A6047" w:rsidRPr="00810CCD">
              <w:rPr>
                <w:b/>
                <w:color w:val="1F497D"/>
                <w:szCs w:val="22"/>
              </w:rPr>
              <w:t>Statistics and Reporting</w:t>
            </w:r>
            <w:r w:rsidR="00936344" w:rsidRPr="00810CCD">
              <w:rPr>
                <w:b/>
                <w:color w:val="1F497D"/>
                <w:szCs w:val="22"/>
              </w:rPr>
              <w:t xml:space="preserve"> (OSR)</w:t>
            </w:r>
            <w:r w:rsidRPr="00810CCD">
              <w:rPr>
                <w:b/>
                <w:color w:val="1F497D"/>
                <w:szCs w:val="22"/>
              </w:rPr>
              <w:t xml:space="preserve"> </w:t>
            </w:r>
            <w:r w:rsidR="004C2CE6">
              <w:rPr>
                <w:b/>
                <w:color w:val="1F497D"/>
                <w:szCs w:val="22"/>
              </w:rPr>
              <w:t xml:space="preserve">has access to </w:t>
            </w:r>
            <w:r w:rsidR="001426D4">
              <w:rPr>
                <w:b/>
                <w:color w:val="1F497D"/>
                <w:szCs w:val="22"/>
              </w:rPr>
              <w:t>each system</w:t>
            </w:r>
            <w:r w:rsidR="004C2CE6">
              <w:rPr>
                <w:b/>
                <w:color w:val="1F497D"/>
                <w:szCs w:val="22"/>
              </w:rPr>
              <w:t xml:space="preserve"> and extracted data set</w:t>
            </w:r>
            <w:r w:rsidR="00B22E89">
              <w:rPr>
                <w:b/>
                <w:color w:val="1F497D"/>
                <w:szCs w:val="22"/>
              </w:rPr>
              <w:t>s</w:t>
            </w:r>
            <w:r w:rsidR="004C2CE6">
              <w:rPr>
                <w:b/>
                <w:color w:val="1F497D"/>
                <w:szCs w:val="22"/>
              </w:rPr>
              <w:t xml:space="preserve"> as needed.  The OSR </w:t>
            </w:r>
            <w:r w:rsidRPr="00810CCD">
              <w:rPr>
                <w:b/>
                <w:color w:val="1F497D"/>
                <w:szCs w:val="22"/>
              </w:rPr>
              <w:t>does not guarantee the accuracy, timeliness, reliability</w:t>
            </w:r>
            <w:r w:rsidR="00121C4D" w:rsidRPr="00810CCD">
              <w:rPr>
                <w:b/>
                <w:color w:val="1F497D"/>
                <w:szCs w:val="22"/>
              </w:rPr>
              <w:t>,</w:t>
            </w:r>
            <w:r w:rsidRPr="00810CCD">
              <w:rPr>
                <w:b/>
                <w:color w:val="1F497D"/>
                <w:szCs w:val="22"/>
              </w:rPr>
              <w:t xml:space="preserve"> or completeness of data</w:t>
            </w:r>
            <w:r w:rsidR="00936344" w:rsidRPr="00810CCD">
              <w:rPr>
                <w:b/>
                <w:color w:val="1F497D"/>
                <w:szCs w:val="22"/>
              </w:rPr>
              <w:t xml:space="preserve"> although </w:t>
            </w:r>
            <w:r w:rsidR="004C2CE6">
              <w:rPr>
                <w:b/>
                <w:color w:val="1F497D"/>
                <w:szCs w:val="22"/>
              </w:rPr>
              <w:t>it</w:t>
            </w:r>
            <w:r w:rsidRPr="00810CCD">
              <w:rPr>
                <w:b/>
                <w:color w:val="1F497D"/>
                <w:szCs w:val="22"/>
              </w:rPr>
              <w:t xml:space="preserve"> has made reasonable effort</w:t>
            </w:r>
            <w:r w:rsidR="00121C4D" w:rsidRPr="00810CCD">
              <w:rPr>
                <w:b/>
                <w:color w:val="1F497D"/>
                <w:szCs w:val="22"/>
              </w:rPr>
              <w:t>s</w:t>
            </w:r>
            <w:r w:rsidRPr="00810CCD">
              <w:rPr>
                <w:b/>
                <w:color w:val="1F497D"/>
                <w:szCs w:val="22"/>
              </w:rPr>
              <w:t xml:space="preserve"> to ensure that data and its accompanying information </w:t>
            </w:r>
            <w:r w:rsidR="00601FED" w:rsidRPr="00810CCD">
              <w:rPr>
                <w:b/>
                <w:color w:val="1F497D"/>
                <w:szCs w:val="22"/>
              </w:rPr>
              <w:t>are</w:t>
            </w:r>
            <w:r w:rsidRPr="00810CCD">
              <w:rPr>
                <w:b/>
                <w:color w:val="1F497D"/>
                <w:szCs w:val="22"/>
              </w:rPr>
              <w:t xml:space="preserve"> as accurate and up-to-date as possible at the time of </w:t>
            </w:r>
            <w:r w:rsidR="001426D4">
              <w:rPr>
                <w:b/>
                <w:color w:val="1F497D"/>
                <w:szCs w:val="22"/>
              </w:rPr>
              <w:t xml:space="preserve">analysis and </w:t>
            </w:r>
            <w:r w:rsidR="00AD341E">
              <w:rPr>
                <w:b/>
                <w:color w:val="1F497D"/>
                <w:szCs w:val="22"/>
              </w:rPr>
              <w:t>publication</w:t>
            </w:r>
            <w:r w:rsidRPr="00810CCD">
              <w:rPr>
                <w:b/>
                <w:color w:val="1F497D"/>
                <w:szCs w:val="22"/>
              </w:rPr>
              <w:t xml:space="preserve">.  </w:t>
            </w:r>
            <w:r w:rsidR="00601FED" w:rsidRPr="00810CCD">
              <w:rPr>
                <w:b/>
                <w:color w:val="1F497D"/>
                <w:szCs w:val="22"/>
              </w:rPr>
              <w:t xml:space="preserve">The </w:t>
            </w:r>
            <w:r w:rsidRPr="00810CCD">
              <w:rPr>
                <w:b/>
                <w:color w:val="1F497D"/>
                <w:szCs w:val="22"/>
              </w:rPr>
              <w:t>O</w:t>
            </w:r>
            <w:r w:rsidR="008A6047" w:rsidRPr="00810CCD">
              <w:rPr>
                <w:b/>
                <w:color w:val="1F497D"/>
                <w:szCs w:val="22"/>
              </w:rPr>
              <w:t>SR</w:t>
            </w:r>
            <w:r w:rsidRPr="00810CCD">
              <w:rPr>
                <w:b/>
                <w:color w:val="1F497D"/>
                <w:szCs w:val="22"/>
              </w:rPr>
              <w:t xml:space="preserve"> is not liable for any misinterpretation or misuse of the data.  However, notification of any errors or questions </w:t>
            </w:r>
            <w:r w:rsidR="00601FED" w:rsidRPr="00810CCD">
              <w:rPr>
                <w:b/>
                <w:color w:val="1F497D"/>
                <w:szCs w:val="22"/>
              </w:rPr>
              <w:t>on</w:t>
            </w:r>
            <w:r w:rsidRPr="00810CCD">
              <w:rPr>
                <w:b/>
                <w:color w:val="1F497D"/>
                <w:szCs w:val="22"/>
              </w:rPr>
              <w:t xml:space="preserve"> </w:t>
            </w:r>
            <w:r w:rsidR="00601FED" w:rsidRPr="00810CCD">
              <w:rPr>
                <w:b/>
                <w:color w:val="1F497D"/>
                <w:szCs w:val="22"/>
              </w:rPr>
              <w:t xml:space="preserve">data presented </w:t>
            </w:r>
            <w:r w:rsidR="00406610" w:rsidRPr="00810CCD">
              <w:rPr>
                <w:b/>
                <w:color w:val="1F497D"/>
                <w:szCs w:val="22"/>
              </w:rPr>
              <w:t xml:space="preserve">in this report </w:t>
            </w:r>
            <w:r w:rsidR="004C2CE6">
              <w:rPr>
                <w:b/>
                <w:color w:val="1F497D"/>
                <w:szCs w:val="22"/>
              </w:rPr>
              <w:t xml:space="preserve">will be appreciated and </w:t>
            </w:r>
            <w:r w:rsidRPr="00810CCD">
              <w:rPr>
                <w:b/>
                <w:color w:val="1F497D"/>
                <w:szCs w:val="22"/>
              </w:rPr>
              <w:t>can be directed to</w:t>
            </w:r>
            <w:r w:rsidR="004C2CE6">
              <w:rPr>
                <w:b/>
                <w:color w:val="1F497D"/>
                <w:szCs w:val="22"/>
              </w:rPr>
              <w:t xml:space="preserve"> Won-ok Kim, Director of OSR at the Saint </w:t>
            </w:r>
            <w:proofErr w:type="spellStart"/>
            <w:r w:rsidR="004C2CE6">
              <w:rPr>
                <w:b/>
                <w:color w:val="1F497D"/>
                <w:szCs w:val="22"/>
              </w:rPr>
              <w:t>Elizabeths</w:t>
            </w:r>
            <w:proofErr w:type="spellEnd"/>
            <w:r w:rsidR="004C2CE6">
              <w:rPr>
                <w:b/>
                <w:color w:val="1F497D"/>
                <w:szCs w:val="22"/>
              </w:rPr>
              <w:t xml:space="preserve"> </w:t>
            </w:r>
            <w:r w:rsidR="00AD341E">
              <w:rPr>
                <w:b/>
                <w:color w:val="1F497D"/>
                <w:szCs w:val="22"/>
              </w:rPr>
              <w:t>H</w:t>
            </w:r>
            <w:r w:rsidR="004C2CE6">
              <w:rPr>
                <w:b/>
                <w:color w:val="1F497D"/>
                <w:szCs w:val="22"/>
              </w:rPr>
              <w:t>ospital</w:t>
            </w:r>
            <w:r w:rsidR="0012461A">
              <w:rPr>
                <w:b/>
                <w:color w:val="1F497D"/>
                <w:szCs w:val="22"/>
              </w:rPr>
              <w:t>,</w:t>
            </w:r>
            <w:r w:rsidR="004C2CE6">
              <w:rPr>
                <w:b/>
                <w:color w:val="1F497D"/>
                <w:szCs w:val="22"/>
              </w:rPr>
              <w:t xml:space="preserve"> at</w:t>
            </w:r>
            <w:r w:rsidRPr="00810CCD">
              <w:rPr>
                <w:b/>
                <w:color w:val="1F497D"/>
                <w:szCs w:val="22"/>
              </w:rPr>
              <w:t xml:space="preserve"> </w:t>
            </w:r>
            <w:hyperlink r:id="rId11" w:history="1">
              <w:r w:rsidRPr="00810CCD">
                <w:rPr>
                  <w:rStyle w:val="Hyperlink"/>
                  <w:b/>
                  <w:color w:val="1F497D"/>
                  <w:sz w:val="22"/>
                </w:rPr>
                <w:t>Won-ok.Kim@dc.gov</w:t>
              </w:r>
            </w:hyperlink>
            <w:r w:rsidR="008A6047" w:rsidRPr="00810CCD">
              <w:rPr>
                <w:b/>
                <w:color w:val="1F497D"/>
                <w:szCs w:val="22"/>
              </w:rPr>
              <w:t xml:space="preserve"> or 202-299-5430</w:t>
            </w:r>
            <w:r w:rsidRPr="00810CCD">
              <w:rPr>
                <w:b/>
                <w:color w:val="1F497D"/>
                <w:szCs w:val="22"/>
              </w:rPr>
              <w:t>.</w:t>
            </w:r>
          </w:p>
        </w:tc>
      </w:tr>
    </w:tbl>
    <w:p w:rsidR="00371438" w:rsidRPr="00F968C3" w:rsidRDefault="00C957B7" w:rsidP="00B22E89">
      <w:pPr>
        <w:pStyle w:val="Title"/>
      </w:pPr>
      <w:bookmarkStart w:id="3" w:name="_Toc195935732"/>
      <w:r>
        <w:br w:type="page"/>
      </w:r>
      <w:bookmarkStart w:id="4" w:name="_Toc195935733"/>
      <w:bookmarkStart w:id="5" w:name="_Toc195935737"/>
      <w:bookmarkStart w:id="6" w:name="_Toc136850089"/>
      <w:bookmarkEnd w:id="3"/>
      <w:r w:rsidR="00371438" w:rsidRPr="00F968C3">
        <w:lastRenderedPageBreak/>
        <w:t>Executive Summary</w:t>
      </w:r>
    </w:p>
    <w:p w:rsidR="00E22D21" w:rsidRDefault="00E22D21" w:rsidP="007F40AE">
      <w:pPr>
        <w:pStyle w:val="BodyText"/>
        <w:rPr>
          <w:rFonts w:ascii="Calibri" w:hAnsi="Calibri"/>
        </w:rPr>
      </w:pPr>
    </w:p>
    <w:p w:rsidR="00093BBA" w:rsidRDefault="00E22D21" w:rsidP="007F40AE">
      <w:pPr>
        <w:pStyle w:val="BodyText"/>
        <w:rPr>
          <w:rFonts w:ascii="Calibri" w:hAnsi="Calibri"/>
        </w:rPr>
      </w:pPr>
      <w:r w:rsidRPr="00E22D21">
        <w:rPr>
          <w:rFonts w:ascii="Calibri" w:hAnsi="Calibri"/>
        </w:rPr>
        <w:t xml:space="preserve">Saint </w:t>
      </w:r>
      <w:proofErr w:type="spellStart"/>
      <w:r w:rsidRPr="00E22D21">
        <w:rPr>
          <w:rFonts w:ascii="Calibri" w:hAnsi="Calibri"/>
        </w:rPr>
        <w:t>Eliz</w:t>
      </w:r>
      <w:r>
        <w:rPr>
          <w:rFonts w:ascii="Calibri" w:hAnsi="Calibri"/>
        </w:rPr>
        <w:t>abeths</w:t>
      </w:r>
      <w:proofErr w:type="spellEnd"/>
      <w:r>
        <w:rPr>
          <w:rFonts w:ascii="Calibri" w:hAnsi="Calibri"/>
        </w:rPr>
        <w:t xml:space="preserve"> Hospital</w:t>
      </w:r>
      <w:r w:rsidRPr="00E22D21">
        <w:rPr>
          <w:rFonts w:ascii="Calibri" w:hAnsi="Calibri"/>
        </w:rPr>
        <w:t> </w:t>
      </w:r>
      <w:r w:rsidR="00C02F71">
        <w:rPr>
          <w:rFonts w:ascii="Calibri" w:hAnsi="Calibri"/>
        </w:rPr>
        <w:t>(</w:t>
      </w:r>
      <w:r w:rsidR="000C71A7">
        <w:rPr>
          <w:rFonts w:ascii="Calibri" w:hAnsi="Calibri"/>
        </w:rPr>
        <w:t>SE</w:t>
      </w:r>
      <w:r w:rsidR="00585FEE">
        <w:rPr>
          <w:rFonts w:ascii="Calibri" w:hAnsi="Calibri"/>
        </w:rPr>
        <w:t>H</w:t>
      </w:r>
      <w:r w:rsidR="000C71A7">
        <w:rPr>
          <w:rFonts w:ascii="Calibri" w:hAnsi="Calibri"/>
        </w:rPr>
        <w:t xml:space="preserve"> or Hospital</w:t>
      </w:r>
      <w:r w:rsidR="00C02F71">
        <w:rPr>
          <w:rFonts w:ascii="Calibri" w:hAnsi="Calibri"/>
        </w:rPr>
        <w:t xml:space="preserve">) </w:t>
      </w:r>
      <w:r w:rsidRPr="00E22D21">
        <w:rPr>
          <w:rFonts w:ascii="Calibri" w:hAnsi="Calibri"/>
        </w:rPr>
        <w:t xml:space="preserve">is </w:t>
      </w:r>
      <w:r>
        <w:rPr>
          <w:rFonts w:ascii="Calibri" w:hAnsi="Calibri"/>
        </w:rPr>
        <w:t xml:space="preserve">a </w:t>
      </w:r>
      <w:r w:rsidRPr="00E22D21">
        <w:rPr>
          <w:rFonts w:ascii="Calibri" w:hAnsi="Calibri"/>
        </w:rPr>
        <w:t>public psychiatric facility</w:t>
      </w:r>
      <w:r>
        <w:rPr>
          <w:rFonts w:ascii="Calibri" w:hAnsi="Calibri"/>
        </w:rPr>
        <w:t xml:space="preserve"> of </w:t>
      </w:r>
      <w:r w:rsidRPr="00E22D21">
        <w:rPr>
          <w:rFonts w:ascii="Calibri" w:hAnsi="Calibri"/>
        </w:rPr>
        <w:t xml:space="preserve">the </w:t>
      </w:r>
      <w:r>
        <w:rPr>
          <w:rFonts w:ascii="Calibri" w:hAnsi="Calibri"/>
        </w:rPr>
        <w:t>Government of the District of Columbia</w:t>
      </w:r>
      <w:r w:rsidR="00430332">
        <w:rPr>
          <w:rFonts w:ascii="Calibri" w:hAnsi="Calibri"/>
        </w:rPr>
        <w:t xml:space="preserve">, serving </w:t>
      </w:r>
      <w:r w:rsidRPr="00E22D21">
        <w:rPr>
          <w:rFonts w:ascii="Calibri" w:hAnsi="Calibri"/>
        </w:rPr>
        <w:t xml:space="preserve">individuals with serious </w:t>
      </w:r>
      <w:r w:rsidR="00C02F71">
        <w:rPr>
          <w:rFonts w:ascii="Calibri" w:hAnsi="Calibri"/>
        </w:rPr>
        <w:t xml:space="preserve">and persistent </w:t>
      </w:r>
      <w:r>
        <w:rPr>
          <w:rFonts w:ascii="Calibri" w:hAnsi="Calibri"/>
        </w:rPr>
        <w:t xml:space="preserve">mental illness </w:t>
      </w:r>
      <w:r w:rsidR="00C02F71">
        <w:rPr>
          <w:rFonts w:ascii="Calibri" w:hAnsi="Calibri"/>
        </w:rPr>
        <w:t>who need intensive inpatient care to support their recovery</w:t>
      </w:r>
      <w:r w:rsidRPr="00E22D21">
        <w:rPr>
          <w:rFonts w:ascii="Calibri" w:hAnsi="Calibri"/>
        </w:rPr>
        <w:t>.</w:t>
      </w:r>
      <w:r w:rsidR="00C02F71">
        <w:rPr>
          <w:rFonts w:ascii="Calibri" w:hAnsi="Calibri"/>
        </w:rPr>
        <w:t xml:space="preserve"> </w:t>
      </w:r>
      <w:r w:rsidR="00430332">
        <w:rPr>
          <w:rFonts w:ascii="Calibri" w:hAnsi="Calibri"/>
        </w:rPr>
        <w:t xml:space="preserve"> SEH</w:t>
      </w:r>
      <w:r w:rsidR="00C02F71">
        <w:rPr>
          <w:rFonts w:ascii="Calibri" w:hAnsi="Calibri"/>
        </w:rPr>
        <w:t xml:space="preserve"> also provides mental health evaluations and care to individuals committed by the courts.</w:t>
      </w:r>
      <w:r w:rsidR="000735DA">
        <w:rPr>
          <w:rFonts w:ascii="Calibri" w:hAnsi="Calibri"/>
        </w:rPr>
        <w:t xml:space="preserve">  F</w:t>
      </w:r>
      <w:r w:rsidR="00C02F71">
        <w:rPr>
          <w:rFonts w:ascii="Calibri" w:hAnsi="Calibri"/>
        </w:rPr>
        <w:t>ounded by the United States Congress in 185</w:t>
      </w:r>
      <w:r w:rsidR="00C97120">
        <w:rPr>
          <w:rFonts w:ascii="Calibri" w:hAnsi="Calibri"/>
        </w:rPr>
        <w:t>5</w:t>
      </w:r>
      <w:r w:rsidR="00C02F71">
        <w:rPr>
          <w:rFonts w:ascii="Calibri" w:hAnsi="Calibri"/>
        </w:rPr>
        <w:t xml:space="preserve">, </w:t>
      </w:r>
      <w:r w:rsidR="000735DA">
        <w:rPr>
          <w:rFonts w:ascii="Calibri" w:hAnsi="Calibri"/>
        </w:rPr>
        <w:t xml:space="preserve">SEH </w:t>
      </w:r>
      <w:r w:rsidR="00C02F71">
        <w:rPr>
          <w:rFonts w:ascii="Calibri" w:hAnsi="Calibri"/>
        </w:rPr>
        <w:t xml:space="preserve">was the first </w:t>
      </w:r>
      <w:r w:rsidR="003B00E3">
        <w:rPr>
          <w:rFonts w:ascii="Calibri" w:hAnsi="Calibri"/>
        </w:rPr>
        <w:t xml:space="preserve">federally operated </w:t>
      </w:r>
      <w:r w:rsidR="00C02F71">
        <w:rPr>
          <w:rFonts w:ascii="Calibri" w:hAnsi="Calibri"/>
        </w:rPr>
        <w:t>psychiatric hospital</w:t>
      </w:r>
      <w:r w:rsidR="000735DA">
        <w:rPr>
          <w:rFonts w:ascii="Calibri" w:hAnsi="Calibri"/>
        </w:rPr>
        <w:t xml:space="preserve"> </w:t>
      </w:r>
      <w:r w:rsidR="004D5350">
        <w:rPr>
          <w:rFonts w:ascii="Calibri" w:hAnsi="Calibri"/>
        </w:rPr>
        <w:t xml:space="preserve">in the United States </w:t>
      </w:r>
      <w:r w:rsidR="000735DA">
        <w:rPr>
          <w:rFonts w:ascii="Calibri" w:hAnsi="Calibri"/>
        </w:rPr>
        <w:t>and</w:t>
      </w:r>
      <w:r w:rsidR="00AC0231">
        <w:rPr>
          <w:rFonts w:ascii="Calibri" w:hAnsi="Calibri"/>
        </w:rPr>
        <w:t xml:space="preserve">, at its peak, served </w:t>
      </w:r>
      <w:r w:rsidR="00C02F71">
        <w:rPr>
          <w:rFonts w:ascii="Calibri" w:hAnsi="Calibri"/>
        </w:rPr>
        <w:t>thousands of</w:t>
      </w:r>
      <w:r w:rsidR="00AC0231">
        <w:rPr>
          <w:rFonts w:ascii="Calibri" w:hAnsi="Calibri"/>
        </w:rPr>
        <w:t xml:space="preserve"> individuals</w:t>
      </w:r>
      <w:r w:rsidR="00C02F71">
        <w:rPr>
          <w:rFonts w:ascii="Calibri" w:hAnsi="Calibri"/>
        </w:rPr>
        <w:t xml:space="preserve">.  </w:t>
      </w:r>
      <w:r w:rsidR="00430332">
        <w:rPr>
          <w:rFonts w:ascii="Calibri" w:hAnsi="Calibri"/>
        </w:rPr>
        <w:t xml:space="preserve">However, </w:t>
      </w:r>
      <w:r w:rsidR="00CF42BF">
        <w:rPr>
          <w:rFonts w:ascii="Calibri" w:hAnsi="Calibri"/>
        </w:rPr>
        <w:t>thanks to the nationwide</w:t>
      </w:r>
      <w:r w:rsidR="00093BBA">
        <w:rPr>
          <w:rFonts w:ascii="Calibri" w:hAnsi="Calibri"/>
        </w:rPr>
        <w:t xml:space="preserve"> effort</w:t>
      </w:r>
      <w:r w:rsidR="00CF42BF">
        <w:rPr>
          <w:rFonts w:ascii="Calibri" w:hAnsi="Calibri"/>
        </w:rPr>
        <w:t>s</w:t>
      </w:r>
      <w:r w:rsidR="00093BBA">
        <w:rPr>
          <w:rFonts w:ascii="Calibri" w:hAnsi="Calibri"/>
        </w:rPr>
        <w:t xml:space="preserve"> to </w:t>
      </w:r>
      <w:r w:rsidR="00430332">
        <w:rPr>
          <w:rFonts w:ascii="Calibri" w:hAnsi="Calibri"/>
        </w:rPr>
        <w:t>expand</w:t>
      </w:r>
      <w:r w:rsidR="00093BBA">
        <w:rPr>
          <w:rFonts w:ascii="Calibri" w:hAnsi="Calibri"/>
        </w:rPr>
        <w:t xml:space="preserve"> community-based health care, the </w:t>
      </w:r>
      <w:r w:rsidR="00CF42BF">
        <w:rPr>
          <w:rFonts w:ascii="Calibri" w:hAnsi="Calibri"/>
        </w:rPr>
        <w:t>in</w:t>
      </w:r>
      <w:r w:rsidR="00093BBA">
        <w:rPr>
          <w:rFonts w:ascii="Calibri" w:hAnsi="Calibri"/>
        </w:rPr>
        <w:t xml:space="preserve">patient population </w:t>
      </w:r>
      <w:r w:rsidR="00CF42BF">
        <w:rPr>
          <w:rFonts w:ascii="Calibri" w:hAnsi="Calibri"/>
        </w:rPr>
        <w:t xml:space="preserve">residing </w:t>
      </w:r>
      <w:r w:rsidR="00430332">
        <w:rPr>
          <w:rFonts w:ascii="Calibri" w:hAnsi="Calibri"/>
        </w:rPr>
        <w:t>at SEH</w:t>
      </w:r>
      <w:r w:rsidR="00093BBA">
        <w:rPr>
          <w:rFonts w:ascii="Calibri" w:hAnsi="Calibri"/>
        </w:rPr>
        <w:t xml:space="preserve"> </w:t>
      </w:r>
      <w:r w:rsidR="00B22E89">
        <w:rPr>
          <w:rFonts w:ascii="Calibri" w:hAnsi="Calibri"/>
        </w:rPr>
        <w:t xml:space="preserve">has </w:t>
      </w:r>
      <w:r w:rsidR="00093BBA">
        <w:rPr>
          <w:rFonts w:ascii="Calibri" w:hAnsi="Calibri"/>
        </w:rPr>
        <w:t>declined over time</w:t>
      </w:r>
      <w:r w:rsidR="00B36416">
        <w:rPr>
          <w:rFonts w:ascii="Calibri" w:hAnsi="Calibri"/>
        </w:rPr>
        <w:t xml:space="preserve"> although th</w:t>
      </w:r>
      <w:r w:rsidR="00B22E89">
        <w:rPr>
          <w:rFonts w:ascii="Calibri" w:hAnsi="Calibri"/>
        </w:rPr>
        <w:t>is</w:t>
      </w:r>
      <w:r w:rsidR="00B36416">
        <w:rPr>
          <w:rFonts w:ascii="Calibri" w:hAnsi="Calibri"/>
        </w:rPr>
        <w:t xml:space="preserve"> </w:t>
      </w:r>
      <w:r w:rsidR="00B22E89">
        <w:rPr>
          <w:rFonts w:ascii="Calibri" w:hAnsi="Calibri"/>
        </w:rPr>
        <w:t xml:space="preserve">downward </w:t>
      </w:r>
      <w:r w:rsidR="00B36416">
        <w:rPr>
          <w:rFonts w:ascii="Calibri" w:hAnsi="Calibri"/>
        </w:rPr>
        <w:t xml:space="preserve">trend slightly reversed in FY14 </w:t>
      </w:r>
      <w:r w:rsidR="00B22E89">
        <w:rPr>
          <w:rFonts w:ascii="Calibri" w:hAnsi="Calibri"/>
        </w:rPr>
        <w:t>with a high</w:t>
      </w:r>
      <w:r w:rsidR="00556B39">
        <w:rPr>
          <w:rFonts w:ascii="Calibri" w:hAnsi="Calibri"/>
        </w:rPr>
        <w:t xml:space="preserve">er-than-usual </w:t>
      </w:r>
      <w:r w:rsidR="00B22E89">
        <w:rPr>
          <w:rFonts w:ascii="Calibri" w:hAnsi="Calibri"/>
        </w:rPr>
        <w:t xml:space="preserve">number </w:t>
      </w:r>
      <w:r w:rsidR="00B36416">
        <w:rPr>
          <w:rFonts w:ascii="Calibri" w:hAnsi="Calibri"/>
        </w:rPr>
        <w:t xml:space="preserve">of admissions during </w:t>
      </w:r>
      <w:r w:rsidR="00556B39">
        <w:rPr>
          <w:rFonts w:ascii="Calibri" w:hAnsi="Calibri"/>
        </w:rPr>
        <w:t>that year</w:t>
      </w:r>
      <w:r w:rsidR="00D24457">
        <w:rPr>
          <w:rFonts w:ascii="Calibri" w:hAnsi="Calibri"/>
        </w:rPr>
        <w:t xml:space="preserve">.  </w:t>
      </w:r>
      <w:r w:rsidR="00B36416">
        <w:rPr>
          <w:rFonts w:ascii="Calibri" w:hAnsi="Calibri"/>
        </w:rPr>
        <w:t>As of</w:t>
      </w:r>
      <w:r w:rsidR="00D24457">
        <w:rPr>
          <w:rFonts w:ascii="Calibri" w:hAnsi="Calibri"/>
        </w:rPr>
        <w:t xml:space="preserve"> September </w:t>
      </w:r>
      <w:r w:rsidR="00093BBA">
        <w:rPr>
          <w:rFonts w:ascii="Calibri" w:hAnsi="Calibri"/>
        </w:rPr>
        <w:t>20</w:t>
      </w:r>
      <w:r w:rsidR="00430332">
        <w:rPr>
          <w:rFonts w:ascii="Calibri" w:hAnsi="Calibri"/>
        </w:rPr>
        <w:t>1</w:t>
      </w:r>
      <w:r w:rsidR="00B36416">
        <w:rPr>
          <w:rFonts w:ascii="Calibri" w:hAnsi="Calibri"/>
        </w:rPr>
        <w:t>4</w:t>
      </w:r>
      <w:r w:rsidR="00093BBA">
        <w:rPr>
          <w:rFonts w:ascii="Calibri" w:hAnsi="Calibri"/>
        </w:rPr>
        <w:t xml:space="preserve">, </w:t>
      </w:r>
      <w:r w:rsidR="00430332">
        <w:rPr>
          <w:rFonts w:ascii="Calibri" w:hAnsi="Calibri"/>
        </w:rPr>
        <w:t>SEH</w:t>
      </w:r>
      <w:r w:rsidR="00093BBA">
        <w:rPr>
          <w:rFonts w:ascii="Calibri" w:hAnsi="Calibri"/>
        </w:rPr>
        <w:t xml:space="preserve"> serv</w:t>
      </w:r>
      <w:r w:rsidR="00740480">
        <w:rPr>
          <w:rFonts w:ascii="Calibri" w:hAnsi="Calibri"/>
        </w:rPr>
        <w:t>ed</w:t>
      </w:r>
      <w:r w:rsidR="00093BBA">
        <w:rPr>
          <w:rFonts w:ascii="Calibri" w:hAnsi="Calibri"/>
        </w:rPr>
        <w:t xml:space="preserve"> a</w:t>
      </w:r>
      <w:r w:rsidR="00C97120">
        <w:rPr>
          <w:rFonts w:ascii="Calibri" w:hAnsi="Calibri"/>
        </w:rPr>
        <w:t xml:space="preserve">n average of </w:t>
      </w:r>
      <w:r w:rsidR="007A1682">
        <w:rPr>
          <w:rFonts w:ascii="Calibri" w:hAnsi="Calibri"/>
        </w:rPr>
        <w:t>2</w:t>
      </w:r>
      <w:r w:rsidR="00B36416">
        <w:rPr>
          <w:rFonts w:ascii="Calibri" w:hAnsi="Calibri"/>
        </w:rPr>
        <w:t>83</w:t>
      </w:r>
      <w:r w:rsidR="00093BBA">
        <w:rPr>
          <w:rFonts w:ascii="Calibri" w:hAnsi="Calibri"/>
        </w:rPr>
        <w:t xml:space="preserve"> individuals in care</w:t>
      </w:r>
      <w:r w:rsidR="00B64671">
        <w:rPr>
          <w:rFonts w:ascii="Calibri" w:hAnsi="Calibri"/>
        </w:rPr>
        <w:t xml:space="preserve"> (IIC</w:t>
      </w:r>
      <w:r w:rsidR="00A614E1">
        <w:rPr>
          <w:rFonts w:ascii="Calibri" w:hAnsi="Calibri"/>
        </w:rPr>
        <w:t>s</w:t>
      </w:r>
      <w:r w:rsidR="00B64671">
        <w:rPr>
          <w:rFonts w:ascii="Calibri" w:hAnsi="Calibri"/>
        </w:rPr>
        <w:t>)</w:t>
      </w:r>
      <w:r w:rsidR="001B0C8C">
        <w:rPr>
          <w:rFonts w:ascii="Calibri" w:hAnsi="Calibri"/>
        </w:rPr>
        <w:t xml:space="preserve"> on a given day</w:t>
      </w:r>
      <w:r w:rsidR="00093BBA">
        <w:rPr>
          <w:rFonts w:ascii="Calibri" w:hAnsi="Calibri"/>
        </w:rPr>
        <w:t>.</w:t>
      </w:r>
      <w:r w:rsidR="00F4283C">
        <w:rPr>
          <w:rFonts w:ascii="Calibri" w:hAnsi="Calibri"/>
        </w:rPr>
        <w:t xml:space="preserve">  </w:t>
      </w:r>
    </w:p>
    <w:p w:rsidR="00093BBA" w:rsidRDefault="00093BBA" w:rsidP="007F40AE">
      <w:pPr>
        <w:pStyle w:val="BodyText"/>
        <w:rPr>
          <w:rFonts w:ascii="Calibri" w:hAnsi="Calibri"/>
        </w:rPr>
      </w:pPr>
    </w:p>
    <w:p w:rsidR="002C324D" w:rsidRDefault="00093BBA" w:rsidP="002C324D">
      <w:pPr>
        <w:pStyle w:val="BodyText"/>
        <w:rPr>
          <w:rFonts w:ascii="Calibri" w:hAnsi="Calibri"/>
        </w:rPr>
      </w:pPr>
      <w:r>
        <w:rPr>
          <w:rFonts w:ascii="Calibri" w:hAnsi="Calibri"/>
        </w:rPr>
        <w:t xml:space="preserve">On June 25, 2007, the Government of the </w:t>
      </w:r>
      <w:r w:rsidR="00E20BF8">
        <w:rPr>
          <w:rFonts w:ascii="Calibri" w:hAnsi="Calibri"/>
        </w:rPr>
        <w:t>District of Columbia and the United States Department of Justice</w:t>
      </w:r>
      <w:r w:rsidR="000C71A7">
        <w:rPr>
          <w:rFonts w:ascii="Calibri" w:hAnsi="Calibri"/>
        </w:rPr>
        <w:t xml:space="preserve"> (DOJ)</w:t>
      </w:r>
      <w:r w:rsidR="00E20BF8">
        <w:rPr>
          <w:rFonts w:ascii="Calibri" w:hAnsi="Calibri"/>
        </w:rPr>
        <w:t xml:space="preserve"> signed a Settlement Agreement (Agreement) that </w:t>
      </w:r>
      <w:r w:rsidR="00961B0B">
        <w:rPr>
          <w:rFonts w:ascii="Calibri" w:hAnsi="Calibri"/>
        </w:rPr>
        <w:t>require</w:t>
      </w:r>
      <w:r w:rsidR="00740C2A">
        <w:rPr>
          <w:rFonts w:ascii="Calibri" w:hAnsi="Calibri"/>
        </w:rPr>
        <w:t>d</w:t>
      </w:r>
      <w:r w:rsidR="00961B0B">
        <w:rPr>
          <w:rFonts w:ascii="Calibri" w:hAnsi="Calibri"/>
        </w:rPr>
        <w:t xml:space="preserve"> </w:t>
      </w:r>
      <w:r w:rsidR="000C71A7">
        <w:rPr>
          <w:rFonts w:ascii="Calibri" w:hAnsi="Calibri"/>
        </w:rPr>
        <w:t>vigorous ef</w:t>
      </w:r>
      <w:r w:rsidR="00E20BF8">
        <w:rPr>
          <w:rFonts w:ascii="Calibri" w:hAnsi="Calibri"/>
        </w:rPr>
        <w:t>forts to improve the quality of patient care</w:t>
      </w:r>
      <w:r w:rsidR="000C71A7">
        <w:rPr>
          <w:rFonts w:ascii="Calibri" w:hAnsi="Calibri"/>
        </w:rPr>
        <w:t xml:space="preserve"> at SEH</w:t>
      </w:r>
      <w:r w:rsidR="00E20BF8">
        <w:rPr>
          <w:rFonts w:ascii="Calibri" w:hAnsi="Calibri"/>
        </w:rPr>
        <w:t xml:space="preserve">.  </w:t>
      </w:r>
      <w:r w:rsidR="000C71A7">
        <w:rPr>
          <w:rFonts w:ascii="Calibri" w:hAnsi="Calibri"/>
        </w:rPr>
        <w:t xml:space="preserve">In addition to the </w:t>
      </w:r>
      <w:r w:rsidR="00AC0231">
        <w:rPr>
          <w:rFonts w:ascii="Calibri" w:hAnsi="Calibri"/>
        </w:rPr>
        <w:t xml:space="preserve">Agreement’s </w:t>
      </w:r>
      <w:r w:rsidR="000C71A7">
        <w:rPr>
          <w:rFonts w:ascii="Calibri" w:hAnsi="Calibri"/>
        </w:rPr>
        <w:t xml:space="preserve">requirement </w:t>
      </w:r>
      <w:r w:rsidR="00AC0231">
        <w:rPr>
          <w:rFonts w:ascii="Calibri" w:hAnsi="Calibri"/>
        </w:rPr>
        <w:t xml:space="preserve">that the Hospital </w:t>
      </w:r>
      <w:r w:rsidR="000C71A7">
        <w:rPr>
          <w:rFonts w:ascii="Calibri" w:hAnsi="Calibri"/>
        </w:rPr>
        <w:t>track and analyze data for actionable indicators and targets, t</w:t>
      </w:r>
      <w:r w:rsidR="00E20BF8">
        <w:rPr>
          <w:rFonts w:ascii="Calibri" w:hAnsi="Calibri"/>
        </w:rPr>
        <w:t xml:space="preserve">he </w:t>
      </w:r>
      <w:r w:rsidRPr="00060B7F">
        <w:rPr>
          <w:rFonts w:ascii="Calibri" w:hAnsi="Calibri"/>
        </w:rPr>
        <w:t>leadership</w:t>
      </w:r>
      <w:r w:rsidR="000C71A7">
        <w:rPr>
          <w:rFonts w:ascii="Calibri" w:hAnsi="Calibri"/>
        </w:rPr>
        <w:t xml:space="preserve"> of the Hospital </w:t>
      </w:r>
      <w:r w:rsidRPr="00060B7F">
        <w:rPr>
          <w:rFonts w:ascii="Calibri" w:hAnsi="Calibri"/>
        </w:rPr>
        <w:t xml:space="preserve">further recognized the urgency of </w:t>
      </w:r>
      <w:r w:rsidR="000C71A7">
        <w:rPr>
          <w:rFonts w:ascii="Calibri" w:hAnsi="Calibri"/>
        </w:rPr>
        <w:t xml:space="preserve">improving data collection and </w:t>
      </w:r>
      <w:r w:rsidRPr="00060B7F">
        <w:rPr>
          <w:rFonts w:ascii="Calibri" w:hAnsi="Calibri"/>
        </w:rPr>
        <w:t>performance monitoring.</w:t>
      </w:r>
      <w:r w:rsidR="00B22E89">
        <w:rPr>
          <w:rFonts w:ascii="Calibri" w:hAnsi="Calibri"/>
        </w:rPr>
        <w:t xml:space="preserve">  </w:t>
      </w:r>
      <w:r w:rsidR="002C324D">
        <w:rPr>
          <w:rFonts w:ascii="Calibri" w:hAnsi="Calibri"/>
        </w:rPr>
        <w:t>T</w:t>
      </w:r>
      <w:r w:rsidR="00B22E89">
        <w:rPr>
          <w:rFonts w:ascii="Calibri" w:hAnsi="Calibri"/>
        </w:rPr>
        <w:t xml:space="preserve">he Hospital </w:t>
      </w:r>
      <w:r w:rsidR="00740C2A">
        <w:rPr>
          <w:rFonts w:ascii="Calibri" w:hAnsi="Calibri"/>
        </w:rPr>
        <w:t xml:space="preserve">successfully </w:t>
      </w:r>
      <w:r w:rsidR="00B22E89">
        <w:rPr>
          <w:rFonts w:ascii="Calibri" w:hAnsi="Calibri"/>
        </w:rPr>
        <w:t xml:space="preserve">demonstrated significant and consistent progress in improving the quality of services, </w:t>
      </w:r>
      <w:r w:rsidR="00556B39">
        <w:rPr>
          <w:rFonts w:ascii="Calibri" w:hAnsi="Calibri"/>
        </w:rPr>
        <w:t xml:space="preserve">culminating </w:t>
      </w:r>
      <w:r w:rsidR="00B22E89">
        <w:rPr>
          <w:rFonts w:ascii="Calibri" w:hAnsi="Calibri"/>
        </w:rPr>
        <w:t xml:space="preserve">a joint motion by </w:t>
      </w:r>
      <w:r w:rsidR="00B22E89" w:rsidRPr="003D41F5">
        <w:rPr>
          <w:rFonts w:ascii="Calibri" w:hAnsi="Calibri"/>
        </w:rPr>
        <w:t xml:space="preserve">the District and the </w:t>
      </w:r>
      <w:r w:rsidR="00B22E89">
        <w:rPr>
          <w:rFonts w:ascii="Calibri" w:hAnsi="Calibri"/>
        </w:rPr>
        <w:t>DOJ</w:t>
      </w:r>
      <w:r w:rsidR="00B22E89" w:rsidRPr="003D41F5">
        <w:rPr>
          <w:rFonts w:ascii="Calibri" w:hAnsi="Calibri"/>
        </w:rPr>
        <w:t xml:space="preserve"> </w:t>
      </w:r>
      <w:r w:rsidR="00556B39">
        <w:rPr>
          <w:rFonts w:ascii="Calibri" w:hAnsi="Calibri"/>
        </w:rPr>
        <w:t xml:space="preserve">filed on </w:t>
      </w:r>
      <w:r w:rsidR="00B22E89">
        <w:rPr>
          <w:rFonts w:ascii="Calibri" w:hAnsi="Calibri"/>
        </w:rPr>
        <w:t xml:space="preserve">August 28, 2014 </w:t>
      </w:r>
      <w:r w:rsidR="00B22E89" w:rsidRPr="003D41F5">
        <w:rPr>
          <w:rFonts w:ascii="Calibri" w:hAnsi="Calibri"/>
        </w:rPr>
        <w:t xml:space="preserve">to dismiss the </w:t>
      </w:r>
      <w:r w:rsidR="00B22E89">
        <w:rPr>
          <w:rFonts w:ascii="Calibri" w:hAnsi="Calibri"/>
        </w:rPr>
        <w:t>S</w:t>
      </w:r>
      <w:r w:rsidR="00B22E89" w:rsidRPr="003D41F5">
        <w:rPr>
          <w:rFonts w:ascii="Calibri" w:hAnsi="Calibri"/>
        </w:rPr>
        <w:t>ettlement</w:t>
      </w:r>
      <w:r w:rsidR="00B22E89">
        <w:rPr>
          <w:rFonts w:ascii="Calibri" w:hAnsi="Calibri"/>
        </w:rPr>
        <w:t xml:space="preserve"> A</w:t>
      </w:r>
      <w:r w:rsidR="00B22E89" w:rsidRPr="003D41F5">
        <w:rPr>
          <w:rFonts w:ascii="Calibri" w:hAnsi="Calibri"/>
        </w:rPr>
        <w:t>greement that mandate</w:t>
      </w:r>
      <w:r w:rsidR="00B22E89">
        <w:rPr>
          <w:rFonts w:ascii="Calibri" w:hAnsi="Calibri"/>
        </w:rPr>
        <w:t>d</w:t>
      </w:r>
      <w:r w:rsidR="00B22E89" w:rsidRPr="003D41F5">
        <w:rPr>
          <w:rFonts w:ascii="Calibri" w:hAnsi="Calibri"/>
        </w:rPr>
        <w:t xml:space="preserve"> federal oversight of patient care at </w:t>
      </w:r>
      <w:r w:rsidR="00740C2A">
        <w:rPr>
          <w:rFonts w:ascii="Calibri" w:hAnsi="Calibri"/>
        </w:rPr>
        <w:t>SEH</w:t>
      </w:r>
      <w:r w:rsidR="00B22E89" w:rsidRPr="003D41F5">
        <w:rPr>
          <w:rFonts w:ascii="Calibri" w:hAnsi="Calibri"/>
        </w:rPr>
        <w:t>. </w:t>
      </w:r>
      <w:r w:rsidR="002C324D">
        <w:rPr>
          <w:rFonts w:ascii="Calibri" w:hAnsi="Calibri"/>
        </w:rPr>
        <w:t xml:space="preserve"> </w:t>
      </w:r>
      <w:r w:rsidR="00556B39">
        <w:rPr>
          <w:rFonts w:ascii="Calibri" w:hAnsi="Calibri"/>
        </w:rPr>
        <w:t xml:space="preserve">The Court granted the motion, thereby lifting the requirement for federal oversight of patient care.  </w:t>
      </w:r>
      <w:r w:rsidR="002C324D">
        <w:rPr>
          <w:rFonts w:ascii="Calibri" w:hAnsi="Calibri"/>
        </w:rPr>
        <w:t>We believe that t</w:t>
      </w:r>
      <w:r w:rsidR="002C324D" w:rsidRPr="00650386">
        <w:rPr>
          <w:rFonts w:ascii="Calibri" w:hAnsi="Calibri"/>
        </w:rPr>
        <w:t>h</w:t>
      </w:r>
      <w:r w:rsidR="002C324D">
        <w:rPr>
          <w:rFonts w:ascii="Calibri" w:hAnsi="Calibri"/>
        </w:rPr>
        <w:t>is</w:t>
      </w:r>
      <w:r w:rsidR="002C324D" w:rsidRPr="00650386">
        <w:rPr>
          <w:rFonts w:ascii="Calibri" w:hAnsi="Calibri"/>
        </w:rPr>
        <w:t xml:space="preserve"> </w:t>
      </w:r>
      <w:r w:rsidR="002C324D" w:rsidRPr="00E25DD6">
        <w:rPr>
          <w:rFonts w:ascii="Calibri" w:hAnsi="Calibri"/>
          <w:i/>
        </w:rPr>
        <w:t>Trend Analysis Report</w:t>
      </w:r>
      <w:r w:rsidR="002C324D" w:rsidRPr="00650386">
        <w:rPr>
          <w:rFonts w:ascii="Calibri" w:hAnsi="Calibri"/>
        </w:rPr>
        <w:t xml:space="preserve">, along with </w:t>
      </w:r>
      <w:r w:rsidR="002C324D" w:rsidRPr="00E25DD6">
        <w:rPr>
          <w:rFonts w:ascii="Calibri" w:hAnsi="Calibri"/>
          <w:i/>
        </w:rPr>
        <w:t>PRISM</w:t>
      </w:r>
      <w:r w:rsidR="002C324D">
        <w:rPr>
          <w:rFonts w:ascii="Calibri" w:hAnsi="Calibri"/>
        </w:rPr>
        <w:t xml:space="preserve"> and our routine data collection and analysis activities, has contributed to </w:t>
      </w:r>
      <w:r w:rsidR="002C324D" w:rsidRPr="00650386">
        <w:rPr>
          <w:rFonts w:ascii="Calibri" w:hAnsi="Calibri"/>
        </w:rPr>
        <w:t xml:space="preserve">promoting a data-driven culture </w:t>
      </w:r>
      <w:r w:rsidR="002C324D">
        <w:rPr>
          <w:rFonts w:ascii="Calibri" w:hAnsi="Calibri"/>
        </w:rPr>
        <w:t xml:space="preserve">within the Hospital so </w:t>
      </w:r>
      <w:r w:rsidR="002C324D" w:rsidRPr="00650386">
        <w:rPr>
          <w:rFonts w:ascii="Calibri" w:hAnsi="Calibri"/>
        </w:rPr>
        <w:t>staff</w:t>
      </w:r>
      <w:r w:rsidR="002C324D">
        <w:rPr>
          <w:rFonts w:ascii="Calibri" w:hAnsi="Calibri"/>
        </w:rPr>
        <w:t xml:space="preserve"> at all levels proactively use</w:t>
      </w:r>
      <w:r w:rsidR="002C324D" w:rsidRPr="00650386">
        <w:rPr>
          <w:rFonts w:ascii="Calibri" w:hAnsi="Calibri"/>
        </w:rPr>
        <w:t xml:space="preserve"> data </w:t>
      </w:r>
      <w:r w:rsidR="002C324D">
        <w:rPr>
          <w:rFonts w:ascii="Calibri" w:hAnsi="Calibri"/>
        </w:rPr>
        <w:t>in</w:t>
      </w:r>
      <w:r w:rsidR="002C324D" w:rsidRPr="00650386">
        <w:rPr>
          <w:rFonts w:ascii="Calibri" w:hAnsi="Calibri"/>
        </w:rPr>
        <w:t xml:space="preserve"> assess</w:t>
      </w:r>
      <w:r w:rsidR="002C324D">
        <w:rPr>
          <w:rFonts w:ascii="Calibri" w:hAnsi="Calibri"/>
        </w:rPr>
        <w:t>ing</w:t>
      </w:r>
      <w:r w:rsidR="002C324D" w:rsidRPr="00650386">
        <w:rPr>
          <w:rFonts w:ascii="Calibri" w:hAnsi="Calibri"/>
        </w:rPr>
        <w:t xml:space="preserve"> </w:t>
      </w:r>
      <w:r w:rsidR="002C324D">
        <w:rPr>
          <w:rFonts w:ascii="Calibri" w:hAnsi="Calibri"/>
        </w:rPr>
        <w:t xml:space="preserve">our </w:t>
      </w:r>
      <w:r w:rsidR="002C324D" w:rsidRPr="00650386">
        <w:rPr>
          <w:rFonts w:ascii="Calibri" w:hAnsi="Calibri"/>
        </w:rPr>
        <w:t>service delivery</w:t>
      </w:r>
      <w:r w:rsidR="002C324D">
        <w:rPr>
          <w:rFonts w:ascii="Calibri" w:hAnsi="Calibri"/>
        </w:rPr>
        <w:t xml:space="preserve"> and patient care, </w:t>
      </w:r>
      <w:r w:rsidR="00556B39">
        <w:rPr>
          <w:rFonts w:ascii="Calibri" w:hAnsi="Calibri"/>
        </w:rPr>
        <w:t xml:space="preserve">and in reaching </w:t>
      </w:r>
      <w:r w:rsidR="002C324D">
        <w:rPr>
          <w:rFonts w:ascii="Calibri" w:hAnsi="Calibri"/>
        </w:rPr>
        <w:t xml:space="preserve">this milestone. </w:t>
      </w:r>
    </w:p>
    <w:p w:rsidR="002C324D" w:rsidRDefault="002C324D" w:rsidP="002A5A56">
      <w:pPr>
        <w:pStyle w:val="BodyText"/>
        <w:rPr>
          <w:rFonts w:ascii="Calibri" w:hAnsi="Calibri"/>
        </w:rPr>
      </w:pPr>
    </w:p>
    <w:p w:rsidR="003D41F5" w:rsidRDefault="002C324D" w:rsidP="002A5A56">
      <w:pPr>
        <w:pStyle w:val="BodyText"/>
        <w:rPr>
          <w:rFonts w:ascii="Calibri" w:hAnsi="Calibri"/>
        </w:rPr>
      </w:pPr>
      <w:r>
        <w:rPr>
          <w:rFonts w:ascii="Calibri" w:hAnsi="Calibri"/>
        </w:rPr>
        <w:t xml:space="preserve">The </w:t>
      </w:r>
      <w:r w:rsidRPr="00060B7F">
        <w:rPr>
          <w:rFonts w:ascii="Calibri" w:hAnsi="Calibri"/>
        </w:rPr>
        <w:t xml:space="preserve">Office of </w:t>
      </w:r>
      <w:r>
        <w:rPr>
          <w:rFonts w:ascii="Calibri" w:hAnsi="Calibri"/>
        </w:rPr>
        <w:t>Statistics and Reporting (OSR)</w:t>
      </w:r>
      <w:r>
        <w:rPr>
          <w:rStyle w:val="FootnoteReference"/>
          <w:rFonts w:ascii="Calibri" w:hAnsi="Calibri"/>
        </w:rPr>
        <w:footnoteReference w:id="1"/>
      </w:r>
      <w:r>
        <w:rPr>
          <w:rFonts w:ascii="Calibri" w:hAnsi="Calibri"/>
        </w:rPr>
        <w:t xml:space="preserve"> </w:t>
      </w:r>
      <w:r w:rsidR="007F40AE" w:rsidRPr="00060B7F">
        <w:rPr>
          <w:rFonts w:ascii="Calibri" w:hAnsi="Calibri"/>
        </w:rPr>
        <w:t xml:space="preserve">published the first edition of the </w:t>
      </w:r>
      <w:r w:rsidR="007F40AE" w:rsidRPr="00E25DD6">
        <w:rPr>
          <w:rFonts w:ascii="Calibri" w:hAnsi="Calibri"/>
          <w:i/>
        </w:rPr>
        <w:t>Trend Analysis Report</w:t>
      </w:r>
      <w:r>
        <w:rPr>
          <w:rFonts w:ascii="Calibri" w:hAnsi="Calibri"/>
        </w:rPr>
        <w:t xml:space="preserve"> on June 25, 2007</w:t>
      </w:r>
      <w:r w:rsidR="00740C2A">
        <w:rPr>
          <w:rFonts w:ascii="Calibri" w:hAnsi="Calibri"/>
        </w:rPr>
        <w:t xml:space="preserve"> and bi</w:t>
      </w:r>
      <w:r w:rsidR="00340A2D">
        <w:rPr>
          <w:rFonts w:ascii="Calibri" w:hAnsi="Calibri"/>
        </w:rPr>
        <w:t xml:space="preserve">-monthly thereafter.  The </w:t>
      </w:r>
      <w:r w:rsidR="00340A2D" w:rsidRPr="00E25DD6">
        <w:rPr>
          <w:rFonts w:ascii="Calibri" w:hAnsi="Calibri"/>
          <w:i/>
        </w:rPr>
        <w:t>Trend Analysis Report</w:t>
      </w:r>
      <w:r w:rsidR="00340A2D">
        <w:rPr>
          <w:rFonts w:ascii="Calibri" w:hAnsi="Calibri"/>
        </w:rPr>
        <w:t xml:space="preserve"> </w:t>
      </w:r>
      <w:r w:rsidR="00E20BF8">
        <w:rPr>
          <w:rFonts w:ascii="Calibri" w:hAnsi="Calibri"/>
        </w:rPr>
        <w:t xml:space="preserve">was replaced by </w:t>
      </w:r>
      <w:r w:rsidR="00340A2D">
        <w:rPr>
          <w:rFonts w:ascii="Calibri" w:hAnsi="Calibri"/>
        </w:rPr>
        <w:t xml:space="preserve">a </w:t>
      </w:r>
      <w:r w:rsidR="00E25DD6">
        <w:rPr>
          <w:rFonts w:ascii="Calibri" w:hAnsi="Calibri"/>
        </w:rPr>
        <w:t xml:space="preserve">new </w:t>
      </w:r>
      <w:r w:rsidR="00340A2D">
        <w:rPr>
          <w:rFonts w:ascii="Calibri" w:hAnsi="Calibri"/>
        </w:rPr>
        <w:t>monthly report</w:t>
      </w:r>
      <w:r w:rsidR="00C97120">
        <w:rPr>
          <w:rFonts w:ascii="Calibri" w:hAnsi="Calibri"/>
        </w:rPr>
        <w:t>,</w:t>
      </w:r>
      <w:r w:rsidR="00340A2D">
        <w:rPr>
          <w:rFonts w:ascii="Calibri" w:hAnsi="Calibri"/>
        </w:rPr>
        <w:t xml:space="preserve"> </w:t>
      </w:r>
      <w:r w:rsidR="00E20BF8" w:rsidRPr="00740480">
        <w:rPr>
          <w:rFonts w:ascii="Calibri" w:hAnsi="Calibri"/>
          <w:i/>
        </w:rPr>
        <w:t>PRISM</w:t>
      </w:r>
      <w:r w:rsidR="00263310" w:rsidRPr="00E25DD6">
        <w:rPr>
          <w:rFonts w:ascii="Calibri" w:hAnsi="Calibri"/>
          <w:i/>
        </w:rPr>
        <w:t xml:space="preserve"> (Performance Related Information for Staff and Managers)</w:t>
      </w:r>
      <w:r w:rsidR="00C97120">
        <w:rPr>
          <w:rFonts w:ascii="Calibri" w:hAnsi="Calibri"/>
        </w:rPr>
        <w:t>, i</w:t>
      </w:r>
      <w:r w:rsidR="00340A2D">
        <w:rPr>
          <w:rFonts w:ascii="Calibri" w:hAnsi="Calibri"/>
        </w:rPr>
        <w:t xml:space="preserve">n </w:t>
      </w:r>
      <w:r w:rsidR="00340A2D" w:rsidRPr="00060B7F">
        <w:rPr>
          <w:rFonts w:ascii="Calibri" w:hAnsi="Calibri"/>
        </w:rPr>
        <w:t>April 2009</w:t>
      </w:r>
      <w:r w:rsidR="007F40AE" w:rsidRPr="00060B7F">
        <w:rPr>
          <w:rFonts w:ascii="Calibri" w:hAnsi="Calibri"/>
        </w:rPr>
        <w:t xml:space="preserve">. </w:t>
      </w:r>
      <w:r w:rsidR="00BA7EAC">
        <w:rPr>
          <w:rFonts w:ascii="Calibri" w:hAnsi="Calibri"/>
        </w:rPr>
        <w:t xml:space="preserve"> </w:t>
      </w:r>
      <w:r w:rsidR="00340A2D">
        <w:rPr>
          <w:rFonts w:ascii="Calibri" w:hAnsi="Calibri"/>
        </w:rPr>
        <w:t xml:space="preserve">Since then, </w:t>
      </w:r>
      <w:r w:rsidR="00BA7EAC" w:rsidRPr="00740480">
        <w:rPr>
          <w:rFonts w:ascii="Calibri" w:hAnsi="Calibri"/>
          <w:i/>
        </w:rPr>
        <w:t>PRISM</w:t>
      </w:r>
      <w:r w:rsidR="00BA7EAC">
        <w:rPr>
          <w:rFonts w:ascii="Calibri" w:hAnsi="Calibri"/>
        </w:rPr>
        <w:t xml:space="preserve"> </w:t>
      </w:r>
      <w:r w:rsidR="00340A2D">
        <w:rPr>
          <w:rFonts w:ascii="Calibri" w:hAnsi="Calibri"/>
        </w:rPr>
        <w:t xml:space="preserve">has been </w:t>
      </w:r>
      <w:r w:rsidR="00BA7EAC">
        <w:rPr>
          <w:rFonts w:ascii="Calibri" w:hAnsi="Calibri"/>
        </w:rPr>
        <w:t xml:space="preserve">serving as a primary </w:t>
      </w:r>
      <w:r w:rsidR="00340A2D">
        <w:rPr>
          <w:rFonts w:ascii="Calibri" w:hAnsi="Calibri"/>
        </w:rPr>
        <w:t>statistical report that present</w:t>
      </w:r>
      <w:r w:rsidR="00326032">
        <w:rPr>
          <w:rFonts w:ascii="Calibri" w:hAnsi="Calibri"/>
        </w:rPr>
        <w:t>s</w:t>
      </w:r>
      <w:r w:rsidR="00340A2D">
        <w:rPr>
          <w:rFonts w:ascii="Calibri" w:hAnsi="Calibri"/>
        </w:rPr>
        <w:t xml:space="preserve"> monthly data with 12-month trend</w:t>
      </w:r>
      <w:r w:rsidR="00AC0231">
        <w:rPr>
          <w:rFonts w:ascii="Calibri" w:hAnsi="Calibri"/>
        </w:rPr>
        <w:t>s</w:t>
      </w:r>
      <w:r w:rsidR="00C26EC1">
        <w:rPr>
          <w:rFonts w:ascii="Calibri" w:hAnsi="Calibri"/>
        </w:rPr>
        <w:t xml:space="preserve"> </w:t>
      </w:r>
      <w:r w:rsidR="00BA7EAC">
        <w:rPr>
          <w:rFonts w:ascii="Calibri" w:hAnsi="Calibri"/>
        </w:rPr>
        <w:t xml:space="preserve">on </w:t>
      </w:r>
      <w:r w:rsidR="00C26EC1">
        <w:rPr>
          <w:rFonts w:ascii="Calibri" w:hAnsi="Calibri"/>
        </w:rPr>
        <w:t>census</w:t>
      </w:r>
      <w:r w:rsidR="000C71A7">
        <w:rPr>
          <w:rFonts w:ascii="Calibri" w:hAnsi="Calibri"/>
        </w:rPr>
        <w:t>, basic demographics, and selected performance indicators</w:t>
      </w:r>
      <w:r w:rsidR="00C97120">
        <w:rPr>
          <w:rFonts w:ascii="Calibri" w:hAnsi="Calibri"/>
        </w:rPr>
        <w:t>,</w:t>
      </w:r>
      <w:r w:rsidR="00C26EC1">
        <w:rPr>
          <w:rFonts w:ascii="Calibri" w:hAnsi="Calibri"/>
        </w:rPr>
        <w:t xml:space="preserve"> while </w:t>
      </w:r>
      <w:r w:rsidR="002C6D94">
        <w:rPr>
          <w:rFonts w:ascii="Calibri" w:hAnsi="Calibri"/>
        </w:rPr>
        <w:t xml:space="preserve">the </w:t>
      </w:r>
      <w:r w:rsidR="002C6D94" w:rsidRPr="00E25DD6">
        <w:rPr>
          <w:rFonts w:ascii="Calibri" w:hAnsi="Calibri"/>
          <w:i/>
        </w:rPr>
        <w:t>Trend Analysis Report</w:t>
      </w:r>
      <w:r w:rsidR="002C6D94">
        <w:rPr>
          <w:rFonts w:ascii="Calibri" w:hAnsi="Calibri"/>
        </w:rPr>
        <w:t xml:space="preserve"> </w:t>
      </w:r>
      <w:r w:rsidR="00E25DD6">
        <w:rPr>
          <w:rFonts w:ascii="Calibri" w:hAnsi="Calibri"/>
        </w:rPr>
        <w:t xml:space="preserve">was transformed </w:t>
      </w:r>
      <w:r w:rsidR="00FF6253">
        <w:rPr>
          <w:rFonts w:ascii="Calibri" w:hAnsi="Calibri"/>
        </w:rPr>
        <w:t>into</w:t>
      </w:r>
      <w:r w:rsidR="002C6D94">
        <w:rPr>
          <w:rFonts w:ascii="Calibri" w:hAnsi="Calibri"/>
        </w:rPr>
        <w:t xml:space="preserve"> an annual report </w:t>
      </w:r>
      <w:r w:rsidR="00340A2D">
        <w:rPr>
          <w:rFonts w:ascii="Calibri" w:hAnsi="Calibri"/>
        </w:rPr>
        <w:t>provid</w:t>
      </w:r>
      <w:r w:rsidR="00E25DD6">
        <w:rPr>
          <w:rFonts w:ascii="Calibri" w:hAnsi="Calibri"/>
        </w:rPr>
        <w:t>ing</w:t>
      </w:r>
      <w:r w:rsidR="00340A2D">
        <w:rPr>
          <w:rFonts w:ascii="Calibri" w:hAnsi="Calibri"/>
        </w:rPr>
        <w:t xml:space="preserve"> </w:t>
      </w:r>
      <w:r w:rsidR="002C6D94">
        <w:rPr>
          <w:rFonts w:ascii="Calibri" w:hAnsi="Calibri"/>
        </w:rPr>
        <w:t xml:space="preserve">data </w:t>
      </w:r>
      <w:r w:rsidR="00AC0231">
        <w:rPr>
          <w:rFonts w:ascii="Calibri" w:hAnsi="Calibri"/>
        </w:rPr>
        <w:t xml:space="preserve">and </w:t>
      </w:r>
      <w:r w:rsidR="00340A2D">
        <w:rPr>
          <w:rFonts w:ascii="Calibri" w:hAnsi="Calibri"/>
        </w:rPr>
        <w:t>long-term trend</w:t>
      </w:r>
      <w:r w:rsidR="00AC0231">
        <w:rPr>
          <w:rFonts w:ascii="Calibri" w:hAnsi="Calibri"/>
        </w:rPr>
        <w:t>s</w:t>
      </w:r>
      <w:r w:rsidR="00340A2D">
        <w:rPr>
          <w:rFonts w:ascii="Calibri" w:hAnsi="Calibri"/>
        </w:rPr>
        <w:t xml:space="preserve"> </w:t>
      </w:r>
      <w:r w:rsidR="00AC0231">
        <w:rPr>
          <w:rFonts w:ascii="Calibri" w:hAnsi="Calibri"/>
        </w:rPr>
        <w:t xml:space="preserve">with </w:t>
      </w:r>
      <w:r w:rsidR="00340A2D">
        <w:rPr>
          <w:rFonts w:ascii="Calibri" w:hAnsi="Calibri"/>
        </w:rPr>
        <w:t>more in-depth analys</w:t>
      </w:r>
      <w:r w:rsidR="00AC0231">
        <w:rPr>
          <w:rFonts w:ascii="Calibri" w:hAnsi="Calibri"/>
        </w:rPr>
        <w:t>e</w:t>
      </w:r>
      <w:r w:rsidR="00340A2D">
        <w:rPr>
          <w:rFonts w:ascii="Calibri" w:hAnsi="Calibri"/>
        </w:rPr>
        <w:t xml:space="preserve">s </w:t>
      </w:r>
      <w:r w:rsidR="00C26EC1">
        <w:rPr>
          <w:rFonts w:ascii="Calibri" w:hAnsi="Calibri"/>
        </w:rPr>
        <w:t>in a variety of</w:t>
      </w:r>
      <w:r w:rsidR="007151EA">
        <w:rPr>
          <w:rFonts w:ascii="Calibri" w:hAnsi="Calibri"/>
        </w:rPr>
        <w:t xml:space="preserve"> </w:t>
      </w:r>
      <w:r w:rsidR="00C26EC1">
        <w:rPr>
          <w:rFonts w:ascii="Calibri" w:hAnsi="Calibri"/>
        </w:rPr>
        <w:t>areas</w:t>
      </w:r>
      <w:r w:rsidR="008D0D08">
        <w:rPr>
          <w:rFonts w:ascii="Calibri" w:hAnsi="Calibri"/>
        </w:rPr>
        <w:t xml:space="preserve"> related to patient care</w:t>
      </w:r>
      <w:r w:rsidR="002C6D94">
        <w:rPr>
          <w:rFonts w:ascii="Calibri" w:hAnsi="Calibri"/>
        </w:rPr>
        <w:t>.</w:t>
      </w:r>
      <w:r w:rsidR="002A5A56">
        <w:rPr>
          <w:rFonts w:ascii="Calibri" w:hAnsi="Calibri"/>
        </w:rPr>
        <w:t xml:space="preserve">  </w:t>
      </w:r>
      <w:r w:rsidR="003D41F5">
        <w:rPr>
          <w:rFonts w:ascii="Calibri" w:hAnsi="Calibri"/>
        </w:rPr>
        <w:t>The Hospital expand</w:t>
      </w:r>
      <w:r w:rsidR="007151EA">
        <w:rPr>
          <w:rFonts w:ascii="Calibri" w:hAnsi="Calibri"/>
        </w:rPr>
        <w:t>ed</w:t>
      </w:r>
      <w:r w:rsidR="003D41F5">
        <w:rPr>
          <w:rFonts w:ascii="Calibri" w:hAnsi="Calibri"/>
        </w:rPr>
        <w:t xml:space="preserve"> its data collection and analysis capacity </w:t>
      </w:r>
      <w:r w:rsidR="000010D5">
        <w:rPr>
          <w:rFonts w:ascii="Calibri" w:hAnsi="Calibri"/>
        </w:rPr>
        <w:t xml:space="preserve">each year </w:t>
      </w:r>
      <w:r w:rsidR="003D41F5">
        <w:rPr>
          <w:rFonts w:ascii="Calibri" w:hAnsi="Calibri"/>
        </w:rPr>
        <w:t xml:space="preserve">through its electronic medical record system </w:t>
      </w:r>
      <w:r w:rsidR="00FF6253">
        <w:rPr>
          <w:rFonts w:ascii="Calibri" w:hAnsi="Calibri"/>
        </w:rPr>
        <w:t>(</w:t>
      </w:r>
      <w:r w:rsidR="003D41F5" w:rsidRPr="003D41F5">
        <w:rPr>
          <w:rFonts w:ascii="Calibri" w:hAnsi="Calibri"/>
          <w:i/>
        </w:rPr>
        <w:t>Avata</w:t>
      </w:r>
      <w:r w:rsidR="00FF6253">
        <w:rPr>
          <w:rFonts w:ascii="Calibri" w:hAnsi="Calibri"/>
          <w:i/>
        </w:rPr>
        <w:t>r</w:t>
      </w:r>
      <w:r w:rsidR="00FF6253">
        <w:rPr>
          <w:rFonts w:ascii="Calibri" w:hAnsi="Calibri"/>
        </w:rPr>
        <w:t xml:space="preserve">) </w:t>
      </w:r>
      <w:r w:rsidR="007151EA">
        <w:rPr>
          <w:rFonts w:ascii="Calibri" w:hAnsi="Calibri"/>
        </w:rPr>
        <w:t>and other databases</w:t>
      </w:r>
      <w:r w:rsidR="000010D5">
        <w:rPr>
          <w:rFonts w:ascii="Calibri" w:hAnsi="Calibri"/>
        </w:rPr>
        <w:t xml:space="preserve"> </w:t>
      </w:r>
      <w:r w:rsidR="00FF6253">
        <w:rPr>
          <w:rFonts w:ascii="Calibri" w:hAnsi="Calibri"/>
        </w:rPr>
        <w:t xml:space="preserve">developed by </w:t>
      </w:r>
      <w:r w:rsidR="000010D5">
        <w:rPr>
          <w:rFonts w:ascii="Calibri" w:hAnsi="Calibri"/>
        </w:rPr>
        <w:t>OSR</w:t>
      </w:r>
      <w:r w:rsidR="007151EA">
        <w:rPr>
          <w:rFonts w:ascii="Calibri" w:hAnsi="Calibri"/>
        </w:rPr>
        <w:t xml:space="preserve">, and the </w:t>
      </w:r>
      <w:r w:rsidR="007151EA" w:rsidRPr="007151EA">
        <w:rPr>
          <w:rFonts w:ascii="Calibri" w:hAnsi="Calibri"/>
          <w:i/>
        </w:rPr>
        <w:t>Trend Analysis Report</w:t>
      </w:r>
      <w:r w:rsidR="007151EA">
        <w:rPr>
          <w:rFonts w:ascii="Calibri" w:hAnsi="Calibri"/>
        </w:rPr>
        <w:t xml:space="preserve"> continue</w:t>
      </w:r>
      <w:r w:rsidR="00740C2A">
        <w:rPr>
          <w:rFonts w:ascii="Calibri" w:hAnsi="Calibri"/>
        </w:rPr>
        <w:t>s</w:t>
      </w:r>
      <w:r w:rsidR="007151EA">
        <w:rPr>
          <w:rFonts w:ascii="Calibri" w:hAnsi="Calibri"/>
        </w:rPr>
        <w:t xml:space="preserve"> to evolve </w:t>
      </w:r>
      <w:r w:rsidR="00740C2A">
        <w:rPr>
          <w:rFonts w:ascii="Calibri" w:hAnsi="Calibri"/>
        </w:rPr>
        <w:t xml:space="preserve">to </w:t>
      </w:r>
      <w:r w:rsidR="007151EA">
        <w:rPr>
          <w:rFonts w:ascii="Calibri" w:hAnsi="Calibri"/>
        </w:rPr>
        <w:t>reflect the expanded scope of data available.</w:t>
      </w:r>
    </w:p>
    <w:p w:rsidR="0010291E" w:rsidRDefault="0010291E" w:rsidP="00FA5902">
      <w:pPr>
        <w:pStyle w:val="BodyText"/>
        <w:rPr>
          <w:rFonts w:ascii="Calibri" w:hAnsi="Calibri"/>
        </w:rPr>
      </w:pPr>
    </w:p>
    <w:p w:rsidR="00821BEE" w:rsidRDefault="0010291E" w:rsidP="00DC4271">
      <w:pPr>
        <w:pStyle w:val="BodyText"/>
        <w:rPr>
          <w:rFonts w:ascii="Calibri" w:hAnsi="Calibri"/>
        </w:rPr>
      </w:pPr>
      <w:r w:rsidRPr="00060B7F">
        <w:rPr>
          <w:rFonts w:ascii="Calibri" w:hAnsi="Calibri"/>
        </w:rPr>
        <w:t xml:space="preserve">Areas covered in this </w:t>
      </w:r>
      <w:r w:rsidR="00C97120" w:rsidRPr="00C97120">
        <w:rPr>
          <w:rFonts w:ascii="Calibri" w:hAnsi="Calibri"/>
          <w:i/>
        </w:rPr>
        <w:t>Trend Analysis R</w:t>
      </w:r>
      <w:r w:rsidRPr="00C97120">
        <w:rPr>
          <w:rFonts w:ascii="Calibri" w:hAnsi="Calibri"/>
          <w:i/>
        </w:rPr>
        <w:t>eport</w:t>
      </w:r>
      <w:r w:rsidRPr="00060B7F">
        <w:rPr>
          <w:rFonts w:ascii="Calibri" w:hAnsi="Calibri"/>
        </w:rPr>
        <w:t xml:space="preserve"> include the Hospital’s census</w:t>
      </w:r>
      <w:r w:rsidR="00C84322">
        <w:rPr>
          <w:rFonts w:ascii="Calibri" w:hAnsi="Calibri"/>
        </w:rPr>
        <w:t>,</w:t>
      </w:r>
      <w:r w:rsidRPr="00060B7F">
        <w:rPr>
          <w:rFonts w:ascii="Calibri" w:hAnsi="Calibri"/>
        </w:rPr>
        <w:t xml:space="preserve"> admission</w:t>
      </w:r>
      <w:r w:rsidR="00C84322">
        <w:rPr>
          <w:rFonts w:ascii="Calibri" w:hAnsi="Calibri"/>
        </w:rPr>
        <w:t>,</w:t>
      </w:r>
      <w:r w:rsidRPr="00060B7F">
        <w:rPr>
          <w:rFonts w:ascii="Calibri" w:hAnsi="Calibri"/>
        </w:rPr>
        <w:t xml:space="preserve"> discharge and transfer information</w:t>
      </w:r>
      <w:r w:rsidR="00156F81">
        <w:rPr>
          <w:rFonts w:ascii="Calibri" w:hAnsi="Calibri"/>
        </w:rPr>
        <w:t>;</w:t>
      </w:r>
      <w:r>
        <w:rPr>
          <w:rFonts w:ascii="Calibri" w:hAnsi="Calibri"/>
        </w:rPr>
        <w:t xml:space="preserve"> </w:t>
      </w:r>
      <w:r w:rsidRPr="00060B7F">
        <w:rPr>
          <w:rFonts w:ascii="Calibri" w:hAnsi="Calibri"/>
        </w:rPr>
        <w:t xml:space="preserve">demographic characteristics of </w:t>
      </w:r>
      <w:r>
        <w:rPr>
          <w:rFonts w:ascii="Calibri" w:hAnsi="Calibri"/>
        </w:rPr>
        <w:t>individuals in care</w:t>
      </w:r>
      <w:r w:rsidR="00156F81">
        <w:rPr>
          <w:rFonts w:ascii="Calibri" w:hAnsi="Calibri"/>
        </w:rPr>
        <w:t>;</w:t>
      </w:r>
      <w:r w:rsidRPr="00060B7F">
        <w:rPr>
          <w:rFonts w:ascii="Calibri" w:hAnsi="Calibri"/>
        </w:rPr>
        <w:t xml:space="preserve"> length</w:t>
      </w:r>
      <w:r w:rsidR="003F2522">
        <w:rPr>
          <w:rFonts w:ascii="Calibri" w:hAnsi="Calibri"/>
        </w:rPr>
        <w:t>s</w:t>
      </w:r>
      <w:r w:rsidRPr="00060B7F">
        <w:rPr>
          <w:rFonts w:ascii="Calibri" w:hAnsi="Calibri"/>
        </w:rPr>
        <w:t xml:space="preserve"> of stay</w:t>
      </w:r>
      <w:r w:rsidR="00156F81">
        <w:rPr>
          <w:rFonts w:ascii="Calibri" w:hAnsi="Calibri"/>
        </w:rPr>
        <w:t>;</w:t>
      </w:r>
      <w:r w:rsidRPr="00060B7F">
        <w:rPr>
          <w:rFonts w:ascii="Calibri" w:hAnsi="Calibri"/>
        </w:rPr>
        <w:t xml:space="preserve"> readmissions</w:t>
      </w:r>
      <w:r w:rsidR="00156F81">
        <w:rPr>
          <w:rFonts w:ascii="Calibri" w:hAnsi="Calibri"/>
        </w:rPr>
        <w:t>;</w:t>
      </w:r>
      <w:r w:rsidRPr="00060B7F">
        <w:rPr>
          <w:rFonts w:ascii="Calibri" w:hAnsi="Calibri"/>
        </w:rPr>
        <w:t xml:space="preserve"> clinical profile captured in all five axes of DSM-IV-TR</w:t>
      </w:r>
      <w:r>
        <w:rPr>
          <w:rFonts w:ascii="Calibri" w:hAnsi="Calibri"/>
        </w:rPr>
        <w:t xml:space="preserve"> and </w:t>
      </w:r>
      <w:r w:rsidR="004B7728">
        <w:rPr>
          <w:rFonts w:ascii="Calibri" w:hAnsi="Calibri"/>
        </w:rPr>
        <w:t>multi-disciplinary</w:t>
      </w:r>
      <w:r>
        <w:rPr>
          <w:rFonts w:ascii="Calibri" w:hAnsi="Calibri"/>
        </w:rPr>
        <w:t xml:space="preserve"> assessments</w:t>
      </w:r>
      <w:r w:rsidR="00156F81">
        <w:rPr>
          <w:rFonts w:ascii="Calibri" w:hAnsi="Calibri"/>
        </w:rPr>
        <w:t>;</w:t>
      </w:r>
      <w:r>
        <w:rPr>
          <w:rFonts w:ascii="Calibri" w:hAnsi="Calibri"/>
        </w:rPr>
        <w:t xml:space="preserve"> </w:t>
      </w:r>
      <w:r w:rsidRPr="00060B7F">
        <w:rPr>
          <w:rFonts w:ascii="Calibri" w:hAnsi="Calibri"/>
        </w:rPr>
        <w:t xml:space="preserve">and </w:t>
      </w:r>
      <w:r>
        <w:rPr>
          <w:rFonts w:ascii="Calibri" w:hAnsi="Calibri"/>
        </w:rPr>
        <w:t xml:space="preserve">findings from </w:t>
      </w:r>
      <w:r w:rsidRPr="00060B7F">
        <w:rPr>
          <w:rFonts w:ascii="Calibri" w:hAnsi="Calibri"/>
        </w:rPr>
        <w:t>unusual incident</w:t>
      </w:r>
      <w:r>
        <w:rPr>
          <w:rFonts w:ascii="Calibri" w:hAnsi="Calibri"/>
        </w:rPr>
        <w:t xml:space="preserve"> data</w:t>
      </w:r>
      <w:r w:rsidR="003F2522">
        <w:rPr>
          <w:rFonts w:ascii="Calibri" w:hAnsi="Calibri"/>
        </w:rPr>
        <w:t xml:space="preserve"> including </w:t>
      </w:r>
      <w:r w:rsidR="00740480">
        <w:rPr>
          <w:rFonts w:ascii="Calibri" w:hAnsi="Calibri"/>
        </w:rPr>
        <w:t>violence, falls, and injury</w:t>
      </w:r>
      <w:r w:rsidRPr="00060B7F">
        <w:rPr>
          <w:rFonts w:ascii="Calibri" w:hAnsi="Calibri"/>
        </w:rPr>
        <w:t xml:space="preserve">.  Analysis results are presented visually in charts </w:t>
      </w:r>
      <w:r w:rsidR="003F2522">
        <w:rPr>
          <w:rFonts w:ascii="Calibri" w:hAnsi="Calibri"/>
        </w:rPr>
        <w:t>and</w:t>
      </w:r>
      <w:r w:rsidRPr="00060B7F">
        <w:rPr>
          <w:rFonts w:ascii="Calibri" w:hAnsi="Calibri"/>
        </w:rPr>
        <w:t xml:space="preserve"> tables, along with </w:t>
      </w:r>
      <w:r w:rsidRPr="00060B7F">
        <w:rPr>
          <w:rFonts w:ascii="Calibri" w:hAnsi="Calibri"/>
        </w:rPr>
        <w:lastRenderedPageBreak/>
        <w:t>bullet points describing</w:t>
      </w:r>
      <w:r w:rsidR="00525E2D">
        <w:rPr>
          <w:rFonts w:ascii="Calibri" w:hAnsi="Calibri"/>
        </w:rPr>
        <w:t xml:space="preserve"> </w:t>
      </w:r>
      <w:r w:rsidRPr="00060B7F">
        <w:rPr>
          <w:rFonts w:ascii="Calibri" w:hAnsi="Calibri"/>
        </w:rPr>
        <w:t xml:space="preserve">findings and interpretations </w:t>
      </w:r>
      <w:r w:rsidR="009C363A">
        <w:rPr>
          <w:rFonts w:ascii="Calibri" w:hAnsi="Calibri"/>
        </w:rPr>
        <w:t xml:space="preserve">in detail </w:t>
      </w:r>
      <w:r w:rsidR="00525E2D">
        <w:rPr>
          <w:rFonts w:ascii="Calibri" w:hAnsi="Calibri"/>
        </w:rPr>
        <w:t>for</w:t>
      </w:r>
      <w:r w:rsidRPr="00060B7F">
        <w:rPr>
          <w:rFonts w:ascii="Calibri" w:hAnsi="Calibri"/>
        </w:rPr>
        <w:t xml:space="preserve"> every section</w:t>
      </w:r>
      <w:r w:rsidR="009C363A">
        <w:rPr>
          <w:rFonts w:ascii="Calibri" w:hAnsi="Calibri"/>
        </w:rPr>
        <w:t xml:space="preserve">.  </w:t>
      </w:r>
      <w:r w:rsidR="003F2522">
        <w:rPr>
          <w:rFonts w:ascii="Calibri" w:hAnsi="Calibri"/>
        </w:rPr>
        <w:t>Below</w:t>
      </w:r>
      <w:r w:rsidR="00532601">
        <w:rPr>
          <w:rFonts w:ascii="Calibri" w:hAnsi="Calibri"/>
        </w:rPr>
        <w:t xml:space="preserve"> are some </w:t>
      </w:r>
      <w:r w:rsidR="00C97120">
        <w:rPr>
          <w:rFonts w:ascii="Calibri" w:hAnsi="Calibri"/>
        </w:rPr>
        <w:t xml:space="preserve">highlighted </w:t>
      </w:r>
      <w:r w:rsidR="00532601">
        <w:rPr>
          <w:rFonts w:ascii="Calibri" w:hAnsi="Calibri"/>
        </w:rPr>
        <w:t>trends</w:t>
      </w:r>
      <w:r w:rsidR="00C97120">
        <w:rPr>
          <w:rFonts w:ascii="Calibri" w:hAnsi="Calibri"/>
        </w:rPr>
        <w:t xml:space="preserve"> of the key findings</w:t>
      </w:r>
      <w:r w:rsidR="00532601">
        <w:rPr>
          <w:rFonts w:ascii="Calibri" w:hAnsi="Calibri"/>
        </w:rPr>
        <w:t>.</w:t>
      </w:r>
    </w:p>
    <w:p w:rsidR="00EA358A" w:rsidRDefault="00EA358A" w:rsidP="00DC4271">
      <w:pPr>
        <w:pStyle w:val="BodyText"/>
        <w:rPr>
          <w:rFonts w:ascii="Calibri" w:hAnsi="Calibri"/>
        </w:rPr>
      </w:pPr>
    </w:p>
    <w:p w:rsidR="00296831" w:rsidRDefault="00BA3CE6" w:rsidP="00BA3CE6">
      <w:pPr>
        <w:pStyle w:val="BodyText"/>
        <w:rPr>
          <w:rFonts w:ascii="Calibri" w:hAnsi="Calibri"/>
        </w:rPr>
      </w:pPr>
      <w:r>
        <w:rPr>
          <w:rFonts w:ascii="Calibri" w:hAnsi="Calibri"/>
        </w:rPr>
        <w:t>T</w:t>
      </w:r>
      <w:r w:rsidR="00CF0BB3" w:rsidRPr="00015DE2">
        <w:rPr>
          <w:rFonts w:ascii="Calibri" w:hAnsi="Calibri"/>
        </w:rPr>
        <w:t>he Hospital</w:t>
      </w:r>
      <w:r w:rsidR="001E5E45">
        <w:rPr>
          <w:rFonts w:ascii="Calibri" w:hAnsi="Calibri"/>
        </w:rPr>
        <w:t xml:space="preserve">’s historic downward trend </w:t>
      </w:r>
      <w:r w:rsidR="00740C2A">
        <w:rPr>
          <w:rFonts w:ascii="Calibri" w:hAnsi="Calibri"/>
        </w:rPr>
        <w:t>in its</w:t>
      </w:r>
      <w:r w:rsidR="001E5E45">
        <w:rPr>
          <w:rFonts w:ascii="Calibri" w:hAnsi="Calibri"/>
        </w:rPr>
        <w:t xml:space="preserve"> census reversed in FY14</w:t>
      </w:r>
      <w:r w:rsidR="00740C2A">
        <w:rPr>
          <w:rFonts w:ascii="Calibri" w:hAnsi="Calibri"/>
        </w:rPr>
        <w:t>,</w:t>
      </w:r>
      <w:r w:rsidR="001E5E45">
        <w:rPr>
          <w:rFonts w:ascii="Calibri" w:hAnsi="Calibri"/>
        </w:rPr>
        <w:t xml:space="preserve"> as the number of admissions continued to increase, exceeding the number of discharges</w:t>
      </w:r>
      <w:r w:rsidR="00740C2A">
        <w:rPr>
          <w:rFonts w:ascii="Calibri" w:hAnsi="Calibri"/>
        </w:rPr>
        <w:t>;</w:t>
      </w:r>
      <w:r w:rsidR="001E5E45">
        <w:rPr>
          <w:rFonts w:ascii="Calibri" w:hAnsi="Calibri"/>
        </w:rPr>
        <w:t xml:space="preserve"> the Hospital recorded its lowest average daily census in its</w:t>
      </w:r>
      <w:r w:rsidR="00740C2A">
        <w:rPr>
          <w:rFonts w:ascii="Calibri" w:hAnsi="Calibri"/>
        </w:rPr>
        <w:t xml:space="preserve"> recent </w:t>
      </w:r>
      <w:r w:rsidR="001E5E45">
        <w:rPr>
          <w:rFonts w:ascii="Calibri" w:hAnsi="Calibri"/>
        </w:rPr>
        <w:t xml:space="preserve">history </w:t>
      </w:r>
      <w:r w:rsidR="004D5350">
        <w:rPr>
          <w:rFonts w:ascii="Calibri" w:hAnsi="Calibri"/>
        </w:rPr>
        <w:t xml:space="preserve">at 249 </w:t>
      </w:r>
      <w:r w:rsidR="00C3311E">
        <w:rPr>
          <w:rFonts w:ascii="Calibri" w:hAnsi="Calibri"/>
        </w:rPr>
        <w:t>as of</w:t>
      </w:r>
      <w:r w:rsidR="001E5E45">
        <w:rPr>
          <w:rFonts w:ascii="Calibri" w:hAnsi="Calibri"/>
        </w:rPr>
        <w:t xml:space="preserve"> </w:t>
      </w:r>
      <w:r w:rsidR="001E5E45" w:rsidRPr="001E5E45">
        <w:rPr>
          <w:rFonts w:ascii="Calibri" w:hAnsi="Calibri"/>
        </w:rPr>
        <w:t xml:space="preserve">July 2013, </w:t>
      </w:r>
      <w:r w:rsidR="001E5E45">
        <w:rPr>
          <w:rFonts w:ascii="Calibri" w:hAnsi="Calibri"/>
        </w:rPr>
        <w:t xml:space="preserve">but the census </w:t>
      </w:r>
      <w:r w:rsidR="001E5E45" w:rsidRPr="001E5E45">
        <w:rPr>
          <w:rFonts w:ascii="Calibri" w:hAnsi="Calibri"/>
        </w:rPr>
        <w:t>increased to 283 by September 2014, the highest in several years</w:t>
      </w:r>
      <w:r w:rsidR="00C3311E">
        <w:rPr>
          <w:rFonts w:ascii="Calibri" w:hAnsi="Calibri"/>
        </w:rPr>
        <w:t xml:space="preserve">.  This </w:t>
      </w:r>
      <w:r w:rsidR="00C13733">
        <w:rPr>
          <w:rFonts w:ascii="Calibri" w:hAnsi="Calibri"/>
        </w:rPr>
        <w:t>wa</w:t>
      </w:r>
      <w:r w:rsidR="00C3311E">
        <w:rPr>
          <w:rFonts w:ascii="Calibri" w:hAnsi="Calibri"/>
        </w:rPr>
        <w:t>s</w:t>
      </w:r>
      <w:r w:rsidR="004D5350">
        <w:rPr>
          <w:rFonts w:ascii="Calibri" w:hAnsi="Calibri"/>
        </w:rPr>
        <w:t xml:space="preserve"> </w:t>
      </w:r>
      <w:r w:rsidR="00C3311E">
        <w:rPr>
          <w:rFonts w:ascii="Calibri" w:hAnsi="Calibri"/>
        </w:rPr>
        <w:t>driven</w:t>
      </w:r>
      <w:r w:rsidR="003302B0">
        <w:rPr>
          <w:rFonts w:ascii="Calibri" w:hAnsi="Calibri"/>
        </w:rPr>
        <w:t xml:space="preserve"> </w:t>
      </w:r>
      <w:r w:rsidR="00C3311E">
        <w:rPr>
          <w:rFonts w:ascii="Calibri" w:hAnsi="Calibri"/>
        </w:rPr>
        <w:t xml:space="preserve">primarily </w:t>
      </w:r>
      <w:r w:rsidR="003302B0">
        <w:rPr>
          <w:rFonts w:ascii="Calibri" w:hAnsi="Calibri"/>
        </w:rPr>
        <w:t xml:space="preserve">by a noticeable increase </w:t>
      </w:r>
      <w:r w:rsidR="00740C2A">
        <w:rPr>
          <w:rFonts w:ascii="Calibri" w:hAnsi="Calibri"/>
        </w:rPr>
        <w:t>in</w:t>
      </w:r>
      <w:r w:rsidR="003302B0">
        <w:rPr>
          <w:rFonts w:ascii="Calibri" w:hAnsi="Calibri"/>
        </w:rPr>
        <w:t xml:space="preserve"> </w:t>
      </w:r>
      <w:r w:rsidR="00E14500">
        <w:rPr>
          <w:rFonts w:ascii="Calibri" w:hAnsi="Calibri"/>
        </w:rPr>
        <w:t>admissions</w:t>
      </w:r>
      <w:r w:rsidR="00740C2A">
        <w:rPr>
          <w:rFonts w:ascii="Calibri" w:hAnsi="Calibri"/>
        </w:rPr>
        <w:t xml:space="preserve"> of individuals</w:t>
      </w:r>
      <w:r w:rsidR="00E14500">
        <w:rPr>
          <w:rFonts w:ascii="Calibri" w:hAnsi="Calibri"/>
        </w:rPr>
        <w:t xml:space="preserve"> </w:t>
      </w:r>
      <w:r w:rsidR="001E5E45">
        <w:rPr>
          <w:rFonts w:ascii="Calibri" w:hAnsi="Calibri"/>
        </w:rPr>
        <w:t xml:space="preserve">with a </w:t>
      </w:r>
      <w:r w:rsidR="00E14500" w:rsidRPr="00A614E1">
        <w:rPr>
          <w:rFonts w:ascii="Calibri" w:hAnsi="Calibri"/>
        </w:rPr>
        <w:t>p</w:t>
      </w:r>
      <w:r w:rsidR="001E5E45" w:rsidRPr="00A614E1">
        <w:rPr>
          <w:rFonts w:ascii="Calibri" w:hAnsi="Calibri"/>
        </w:rPr>
        <w:t>re-trial</w:t>
      </w:r>
      <w:r w:rsidR="001E5E45">
        <w:rPr>
          <w:rFonts w:ascii="Calibri" w:hAnsi="Calibri"/>
        </w:rPr>
        <w:t xml:space="preserve"> legal status (</w:t>
      </w:r>
      <w:r w:rsidR="001E5E45" w:rsidRPr="00E14500">
        <w:rPr>
          <w:rFonts w:ascii="Calibri" w:hAnsi="Calibri"/>
          <w:i/>
        </w:rPr>
        <w:t>Pre-trial</w:t>
      </w:r>
      <w:r w:rsidR="001E5E45">
        <w:rPr>
          <w:rFonts w:ascii="Calibri" w:hAnsi="Calibri"/>
        </w:rPr>
        <w:t xml:space="preserve">), which increased by 21% </w:t>
      </w:r>
      <w:r w:rsidR="00C3311E">
        <w:rPr>
          <w:rFonts w:ascii="Calibri" w:hAnsi="Calibri"/>
        </w:rPr>
        <w:t xml:space="preserve">in FY14 </w:t>
      </w:r>
      <w:r w:rsidR="001E5E45">
        <w:rPr>
          <w:rFonts w:ascii="Calibri" w:hAnsi="Calibri"/>
        </w:rPr>
        <w:t xml:space="preserve">from </w:t>
      </w:r>
      <w:r w:rsidR="00740C2A">
        <w:rPr>
          <w:rFonts w:ascii="Calibri" w:hAnsi="Calibri"/>
        </w:rPr>
        <w:t xml:space="preserve">the </w:t>
      </w:r>
      <w:r w:rsidR="001E5E45">
        <w:rPr>
          <w:rFonts w:ascii="Calibri" w:hAnsi="Calibri"/>
        </w:rPr>
        <w:t>FY13</w:t>
      </w:r>
      <w:r w:rsidR="00740C2A">
        <w:rPr>
          <w:rFonts w:ascii="Calibri" w:hAnsi="Calibri"/>
        </w:rPr>
        <w:t xml:space="preserve"> level</w:t>
      </w:r>
      <w:r w:rsidR="001E5E45">
        <w:rPr>
          <w:rFonts w:ascii="Calibri" w:hAnsi="Calibri"/>
        </w:rPr>
        <w:t>.</w:t>
      </w:r>
      <w:r w:rsidR="00C3311E">
        <w:rPr>
          <w:rFonts w:ascii="Calibri" w:hAnsi="Calibri"/>
        </w:rPr>
        <w:t xml:space="preserve">  The </w:t>
      </w:r>
      <w:r w:rsidR="00E14500">
        <w:rPr>
          <w:rFonts w:ascii="Calibri" w:hAnsi="Calibri"/>
        </w:rPr>
        <w:t xml:space="preserve">increase of </w:t>
      </w:r>
      <w:r w:rsidR="00E14500" w:rsidRPr="00E14500">
        <w:rPr>
          <w:rFonts w:ascii="Calibri" w:hAnsi="Calibri"/>
          <w:i/>
        </w:rPr>
        <w:t>Pre-trial</w:t>
      </w:r>
      <w:r w:rsidR="00E14500">
        <w:rPr>
          <w:rFonts w:ascii="Calibri" w:hAnsi="Calibri"/>
        </w:rPr>
        <w:t xml:space="preserve"> </w:t>
      </w:r>
      <w:r w:rsidR="00C3311E">
        <w:rPr>
          <w:rFonts w:ascii="Calibri" w:hAnsi="Calibri"/>
        </w:rPr>
        <w:t xml:space="preserve">admissions, however, </w:t>
      </w:r>
      <w:r w:rsidR="00E14500">
        <w:rPr>
          <w:rFonts w:ascii="Calibri" w:hAnsi="Calibri"/>
        </w:rPr>
        <w:t xml:space="preserve">contributed to </w:t>
      </w:r>
      <w:r w:rsidR="00C3311E">
        <w:rPr>
          <w:rFonts w:ascii="Calibri" w:hAnsi="Calibri"/>
        </w:rPr>
        <w:t xml:space="preserve">a reduction </w:t>
      </w:r>
      <w:r w:rsidR="004B7728">
        <w:rPr>
          <w:rFonts w:ascii="Calibri" w:hAnsi="Calibri"/>
        </w:rPr>
        <w:t>in</w:t>
      </w:r>
      <w:r w:rsidR="00C3311E">
        <w:rPr>
          <w:rFonts w:ascii="Calibri" w:hAnsi="Calibri"/>
        </w:rPr>
        <w:t xml:space="preserve"> length of stay (LOS)</w:t>
      </w:r>
      <w:r w:rsidR="00B64671">
        <w:rPr>
          <w:rFonts w:ascii="Calibri" w:hAnsi="Calibri"/>
        </w:rPr>
        <w:t xml:space="preserve"> for individuals remaining in care: </w:t>
      </w:r>
      <w:r w:rsidR="00A614E1">
        <w:rPr>
          <w:rFonts w:ascii="Calibri" w:hAnsi="Calibri"/>
        </w:rPr>
        <w:t>in general,</w:t>
      </w:r>
      <w:r w:rsidR="00C3311E">
        <w:rPr>
          <w:rFonts w:ascii="Calibri" w:hAnsi="Calibri"/>
        </w:rPr>
        <w:t xml:space="preserve"> </w:t>
      </w:r>
      <w:r w:rsidR="00C3311E" w:rsidRPr="00C3311E">
        <w:rPr>
          <w:rFonts w:ascii="Calibri" w:hAnsi="Calibri"/>
          <w:i/>
        </w:rPr>
        <w:t>Pre-trial</w:t>
      </w:r>
      <w:r w:rsidR="00C3311E">
        <w:rPr>
          <w:rFonts w:ascii="Calibri" w:hAnsi="Calibri"/>
        </w:rPr>
        <w:t xml:space="preserve"> admissions stay </w:t>
      </w:r>
      <w:r w:rsidR="00B64671">
        <w:rPr>
          <w:rFonts w:ascii="Calibri" w:hAnsi="Calibri"/>
        </w:rPr>
        <w:t xml:space="preserve">in care </w:t>
      </w:r>
      <w:r w:rsidR="00C3311E">
        <w:rPr>
          <w:rFonts w:ascii="Calibri" w:hAnsi="Calibri"/>
        </w:rPr>
        <w:t xml:space="preserve">for a much shorter time period than those admitted with a </w:t>
      </w:r>
      <w:r w:rsidR="00C3311E" w:rsidRPr="00A614E1">
        <w:rPr>
          <w:rFonts w:ascii="Calibri" w:hAnsi="Calibri"/>
        </w:rPr>
        <w:t>civil</w:t>
      </w:r>
      <w:r w:rsidR="00C3311E">
        <w:rPr>
          <w:rFonts w:ascii="Calibri" w:hAnsi="Calibri"/>
        </w:rPr>
        <w:t xml:space="preserve"> legal status </w:t>
      </w:r>
      <w:r w:rsidR="00A614E1">
        <w:rPr>
          <w:rFonts w:ascii="Calibri" w:hAnsi="Calibri"/>
        </w:rPr>
        <w:t>(</w:t>
      </w:r>
      <w:r w:rsidR="00A614E1" w:rsidRPr="00A614E1">
        <w:rPr>
          <w:rFonts w:ascii="Calibri" w:hAnsi="Calibri"/>
          <w:i/>
        </w:rPr>
        <w:t>Civil</w:t>
      </w:r>
      <w:r w:rsidR="00A614E1">
        <w:rPr>
          <w:rFonts w:ascii="Calibri" w:hAnsi="Calibri"/>
        </w:rPr>
        <w:t xml:space="preserve">) </w:t>
      </w:r>
      <w:r w:rsidR="00C3311E">
        <w:rPr>
          <w:rFonts w:ascii="Calibri" w:hAnsi="Calibri"/>
        </w:rPr>
        <w:t xml:space="preserve">or a </w:t>
      </w:r>
      <w:r w:rsidR="00C3311E" w:rsidRPr="00A614E1">
        <w:rPr>
          <w:rFonts w:ascii="Calibri" w:hAnsi="Calibri"/>
        </w:rPr>
        <w:t>post-trial</w:t>
      </w:r>
      <w:r w:rsidR="00C3311E">
        <w:rPr>
          <w:rFonts w:ascii="Calibri" w:hAnsi="Calibri"/>
        </w:rPr>
        <w:t xml:space="preserve"> legal status</w:t>
      </w:r>
      <w:r w:rsidR="00A614E1">
        <w:rPr>
          <w:rFonts w:ascii="Calibri" w:hAnsi="Calibri"/>
        </w:rPr>
        <w:t xml:space="preserve"> (</w:t>
      </w:r>
      <w:r w:rsidR="00A614E1" w:rsidRPr="00A614E1">
        <w:rPr>
          <w:rFonts w:ascii="Calibri" w:hAnsi="Calibri"/>
          <w:i/>
        </w:rPr>
        <w:t>Post-trial</w:t>
      </w:r>
      <w:r w:rsidR="00A614E1">
        <w:rPr>
          <w:rFonts w:ascii="Calibri" w:hAnsi="Calibri"/>
        </w:rPr>
        <w:t>)</w:t>
      </w:r>
      <w:r w:rsidR="00C3311E">
        <w:rPr>
          <w:rFonts w:ascii="Calibri" w:hAnsi="Calibri"/>
        </w:rPr>
        <w:t xml:space="preserve">. </w:t>
      </w:r>
      <w:r w:rsidR="00296831">
        <w:rPr>
          <w:rFonts w:ascii="Calibri" w:hAnsi="Calibri"/>
        </w:rPr>
        <w:t xml:space="preserve"> </w:t>
      </w:r>
      <w:r w:rsidR="00B64671">
        <w:rPr>
          <w:rFonts w:ascii="Calibri" w:hAnsi="Calibri"/>
        </w:rPr>
        <w:t>In addition</w:t>
      </w:r>
      <w:r w:rsidR="00296831">
        <w:rPr>
          <w:rFonts w:ascii="Calibri" w:hAnsi="Calibri"/>
        </w:rPr>
        <w:t>, the Hospital continued to make concerted efforts to discharge long-term residents, reducing the percentage of</w:t>
      </w:r>
      <w:r w:rsidR="00B64671">
        <w:rPr>
          <w:rFonts w:ascii="Calibri" w:hAnsi="Calibri"/>
        </w:rPr>
        <w:t xml:space="preserve"> IICs</w:t>
      </w:r>
      <w:r w:rsidR="00296831">
        <w:rPr>
          <w:rFonts w:ascii="Calibri" w:hAnsi="Calibri"/>
        </w:rPr>
        <w:t xml:space="preserve"> with 10 year or longer LOS.  As </w:t>
      </w:r>
      <w:r w:rsidR="00E14500">
        <w:rPr>
          <w:rFonts w:ascii="Calibri" w:hAnsi="Calibri"/>
        </w:rPr>
        <w:t xml:space="preserve">a result, the median LOS for individuals remaining in care </w:t>
      </w:r>
      <w:r w:rsidR="00296831">
        <w:rPr>
          <w:rFonts w:ascii="Calibri" w:hAnsi="Calibri"/>
        </w:rPr>
        <w:t xml:space="preserve">significantly </w:t>
      </w:r>
      <w:r w:rsidR="00E14500">
        <w:rPr>
          <w:rFonts w:ascii="Calibri" w:hAnsi="Calibri"/>
        </w:rPr>
        <w:t>declin</w:t>
      </w:r>
      <w:r w:rsidR="00DA227D">
        <w:rPr>
          <w:rFonts w:ascii="Calibri" w:hAnsi="Calibri"/>
        </w:rPr>
        <w:t>e</w:t>
      </w:r>
      <w:r w:rsidR="00296831">
        <w:rPr>
          <w:rFonts w:ascii="Calibri" w:hAnsi="Calibri"/>
        </w:rPr>
        <w:t>d</w:t>
      </w:r>
      <w:r w:rsidR="00DA227D">
        <w:rPr>
          <w:rFonts w:ascii="Calibri" w:hAnsi="Calibri"/>
        </w:rPr>
        <w:t xml:space="preserve"> </w:t>
      </w:r>
      <w:r w:rsidR="00E14500">
        <w:rPr>
          <w:rFonts w:ascii="Calibri" w:hAnsi="Calibri"/>
        </w:rPr>
        <w:t>in FY1</w:t>
      </w:r>
      <w:r w:rsidR="00DA227D">
        <w:rPr>
          <w:rFonts w:ascii="Calibri" w:hAnsi="Calibri"/>
        </w:rPr>
        <w:t>4</w:t>
      </w:r>
      <w:r w:rsidR="00296831">
        <w:rPr>
          <w:rFonts w:ascii="Calibri" w:hAnsi="Calibri"/>
        </w:rPr>
        <w:t xml:space="preserve">, reaching its lowest level at 394 days (13 months) as of September 30, 2014.  </w:t>
      </w:r>
      <w:r w:rsidR="00795A87">
        <w:rPr>
          <w:rFonts w:ascii="Calibri" w:hAnsi="Calibri"/>
        </w:rPr>
        <w:t>However,</w:t>
      </w:r>
      <w:r w:rsidR="006C4338">
        <w:rPr>
          <w:rFonts w:ascii="Calibri" w:hAnsi="Calibri"/>
        </w:rPr>
        <w:t xml:space="preserve"> the </w:t>
      </w:r>
      <w:r w:rsidR="00A614E1">
        <w:rPr>
          <w:rFonts w:ascii="Calibri" w:hAnsi="Calibri"/>
        </w:rPr>
        <w:t>LOS</w:t>
      </w:r>
      <w:r w:rsidR="006C4338">
        <w:rPr>
          <w:rFonts w:ascii="Calibri" w:hAnsi="Calibri"/>
        </w:rPr>
        <w:t xml:space="preserve"> for </w:t>
      </w:r>
      <w:r w:rsidR="00C13733">
        <w:rPr>
          <w:rFonts w:ascii="Calibri" w:hAnsi="Calibri"/>
        </w:rPr>
        <w:t>IICs</w:t>
      </w:r>
      <w:r w:rsidR="00A614E1">
        <w:rPr>
          <w:rFonts w:ascii="Calibri" w:hAnsi="Calibri"/>
        </w:rPr>
        <w:t xml:space="preserve"> </w:t>
      </w:r>
      <w:r w:rsidR="00795A87">
        <w:rPr>
          <w:rFonts w:ascii="Calibri" w:hAnsi="Calibri"/>
        </w:rPr>
        <w:t xml:space="preserve">admitted during FY14 is longer than that of </w:t>
      </w:r>
      <w:r w:rsidR="00C13733">
        <w:rPr>
          <w:rFonts w:ascii="Calibri" w:hAnsi="Calibri"/>
        </w:rPr>
        <w:t xml:space="preserve">IICs admitted during </w:t>
      </w:r>
      <w:r w:rsidR="00795A87">
        <w:rPr>
          <w:rFonts w:ascii="Calibri" w:hAnsi="Calibri"/>
        </w:rPr>
        <w:t xml:space="preserve">FY13, particularly </w:t>
      </w:r>
      <w:r w:rsidR="00C13733">
        <w:rPr>
          <w:rFonts w:ascii="Calibri" w:hAnsi="Calibri"/>
        </w:rPr>
        <w:t>for</w:t>
      </w:r>
      <w:r w:rsidR="00795A87">
        <w:rPr>
          <w:rFonts w:ascii="Calibri" w:hAnsi="Calibri"/>
        </w:rPr>
        <w:t xml:space="preserve"> </w:t>
      </w:r>
      <w:r w:rsidR="00795A87" w:rsidRPr="00795A87">
        <w:rPr>
          <w:rFonts w:ascii="Calibri" w:hAnsi="Calibri"/>
          <w:i/>
        </w:rPr>
        <w:t>Civil</w:t>
      </w:r>
      <w:r w:rsidR="00795A87">
        <w:rPr>
          <w:rFonts w:ascii="Calibri" w:hAnsi="Calibri"/>
        </w:rPr>
        <w:t xml:space="preserve"> admissions.</w:t>
      </w:r>
      <w:r w:rsidR="001405B6">
        <w:rPr>
          <w:rFonts w:ascii="Calibri" w:hAnsi="Calibri"/>
        </w:rPr>
        <w:t xml:space="preserve">  </w:t>
      </w:r>
      <w:r w:rsidR="00795A87">
        <w:rPr>
          <w:rFonts w:ascii="Calibri" w:hAnsi="Calibri"/>
        </w:rPr>
        <w:t>Sixty-eight percent (</w:t>
      </w:r>
      <w:r w:rsidR="001405B6">
        <w:rPr>
          <w:rFonts w:ascii="Calibri" w:hAnsi="Calibri"/>
        </w:rPr>
        <w:t>68</w:t>
      </w:r>
      <w:r w:rsidR="006C4338">
        <w:rPr>
          <w:rFonts w:ascii="Calibri" w:hAnsi="Calibri"/>
        </w:rPr>
        <w:t>%</w:t>
      </w:r>
      <w:r w:rsidR="00795A87">
        <w:rPr>
          <w:rFonts w:ascii="Calibri" w:hAnsi="Calibri"/>
        </w:rPr>
        <w:t>)</w:t>
      </w:r>
      <w:r w:rsidR="006C4338">
        <w:rPr>
          <w:rFonts w:ascii="Calibri" w:hAnsi="Calibri"/>
        </w:rPr>
        <w:t xml:space="preserve"> of </w:t>
      </w:r>
      <w:r w:rsidR="001405B6" w:rsidRPr="001405B6">
        <w:rPr>
          <w:rFonts w:ascii="Calibri" w:hAnsi="Calibri"/>
          <w:i/>
        </w:rPr>
        <w:t>Civil</w:t>
      </w:r>
      <w:r w:rsidR="001405B6">
        <w:rPr>
          <w:rFonts w:ascii="Calibri" w:hAnsi="Calibri"/>
        </w:rPr>
        <w:t xml:space="preserve"> </w:t>
      </w:r>
      <w:r w:rsidR="006C4338">
        <w:rPr>
          <w:rFonts w:ascii="Calibri" w:hAnsi="Calibri"/>
        </w:rPr>
        <w:t xml:space="preserve">admissions </w:t>
      </w:r>
      <w:r w:rsidR="001405B6">
        <w:rPr>
          <w:rFonts w:ascii="Calibri" w:hAnsi="Calibri"/>
        </w:rPr>
        <w:t>in FY14 were discharged wit</w:t>
      </w:r>
      <w:r w:rsidR="00A614E1">
        <w:rPr>
          <w:rFonts w:ascii="Calibri" w:hAnsi="Calibri"/>
        </w:rPr>
        <w:t>hin 90</w:t>
      </w:r>
      <w:r w:rsidR="00740C2A">
        <w:rPr>
          <w:rFonts w:ascii="Calibri" w:hAnsi="Calibri"/>
        </w:rPr>
        <w:t xml:space="preserve"> </w:t>
      </w:r>
      <w:r w:rsidR="00A614E1">
        <w:rPr>
          <w:rFonts w:ascii="Calibri" w:hAnsi="Calibri"/>
        </w:rPr>
        <w:t xml:space="preserve">days, whereas 78% of </w:t>
      </w:r>
      <w:r w:rsidR="00A614E1" w:rsidRPr="00A614E1">
        <w:rPr>
          <w:rFonts w:ascii="Calibri" w:hAnsi="Calibri"/>
          <w:i/>
        </w:rPr>
        <w:t>Civil</w:t>
      </w:r>
      <w:r w:rsidR="00A614E1">
        <w:rPr>
          <w:rFonts w:ascii="Calibri" w:hAnsi="Calibri"/>
        </w:rPr>
        <w:t xml:space="preserve"> </w:t>
      </w:r>
      <w:r w:rsidR="001405B6">
        <w:rPr>
          <w:rFonts w:ascii="Calibri" w:hAnsi="Calibri"/>
        </w:rPr>
        <w:t>admissions</w:t>
      </w:r>
      <w:r w:rsidR="00A614E1">
        <w:rPr>
          <w:rFonts w:ascii="Calibri" w:hAnsi="Calibri"/>
        </w:rPr>
        <w:t xml:space="preserve"> in FY13</w:t>
      </w:r>
      <w:r w:rsidR="00795A87">
        <w:rPr>
          <w:rFonts w:ascii="Calibri" w:hAnsi="Calibri"/>
        </w:rPr>
        <w:t xml:space="preserve"> were discharged within the same time frame</w:t>
      </w:r>
      <w:r w:rsidR="001405B6">
        <w:rPr>
          <w:rFonts w:ascii="Calibri" w:hAnsi="Calibri"/>
        </w:rPr>
        <w:t>.</w:t>
      </w:r>
    </w:p>
    <w:p w:rsidR="001E5E45" w:rsidRDefault="001E5E45" w:rsidP="00BA3CE6">
      <w:pPr>
        <w:pStyle w:val="BodyText"/>
        <w:rPr>
          <w:rFonts w:ascii="Calibri" w:hAnsi="Calibri"/>
        </w:rPr>
      </w:pPr>
    </w:p>
    <w:p w:rsidR="001405B6" w:rsidRDefault="006C4338" w:rsidP="001405B6">
      <w:pPr>
        <w:pStyle w:val="BodyText"/>
        <w:rPr>
          <w:rFonts w:ascii="Calibri" w:hAnsi="Calibri"/>
        </w:rPr>
      </w:pPr>
      <w:r>
        <w:rPr>
          <w:rFonts w:ascii="Calibri" w:hAnsi="Calibri"/>
        </w:rPr>
        <w:t xml:space="preserve">Despite an increase of admissions and census in FY14, the Hospital’s elopement rate </w:t>
      </w:r>
      <w:r w:rsidR="001405B6" w:rsidRPr="001405B6">
        <w:rPr>
          <w:rFonts w:ascii="Calibri" w:hAnsi="Calibri"/>
        </w:rPr>
        <w:t>(</w:t>
      </w:r>
      <w:r w:rsidR="00301726">
        <w:rPr>
          <w:rFonts w:ascii="Calibri" w:hAnsi="Calibri"/>
        </w:rPr>
        <w:t>0.</w:t>
      </w:r>
      <w:r w:rsidR="00CF2129">
        <w:rPr>
          <w:rFonts w:ascii="Calibri" w:hAnsi="Calibri"/>
        </w:rPr>
        <w:t>0</w:t>
      </w:r>
      <w:r w:rsidR="00301726">
        <w:rPr>
          <w:rFonts w:ascii="Calibri" w:hAnsi="Calibri"/>
        </w:rPr>
        <w:t xml:space="preserve">8 </w:t>
      </w:r>
      <w:r w:rsidR="001405B6" w:rsidRPr="001405B6">
        <w:rPr>
          <w:rFonts w:ascii="Calibri" w:hAnsi="Calibri"/>
        </w:rPr>
        <w:t>per 1000 patient days)</w:t>
      </w:r>
      <w:r w:rsidR="001405B6">
        <w:rPr>
          <w:rFonts w:ascii="Calibri" w:hAnsi="Calibri"/>
        </w:rPr>
        <w:t xml:space="preserve"> </w:t>
      </w:r>
      <w:r>
        <w:rPr>
          <w:rFonts w:ascii="Calibri" w:hAnsi="Calibri"/>
        </w:rPr>
        <w:t xml:space="preserve">is </w:t>
      </w:r>
      <w:r w:rsidR="00E14500" w:rsidRPr="00E14500">
        <w:rPr>
          <w:rFonts w:ascii="Calibri" w:hAnsi="Calibri"/>
        </w:rPr>
        <w:t>considerably lower than the previous year and well below the national average</w:t>
      </w:r>
      <w:r w:rsidR="001405B6">
        <w:rPr>
          <w:rFonts w:ascii="Calibri" w:hAnsi="Calibri"/>
        </w:rPr>
        <w:t xml:space="preserve"> </w:t>
      </w:r>
      <w:r w:rsidR="001405B6" w:rsidRPr="001405B6">
        <w:rPr>
          <w:rFonts w:ascii="Calibri" w:hAnsi="Calibri"/>
        </w:rPr>
        <w:t>(0.13 NPR</w:t>
      </w:r>
      <w:r w:rsidR="001405B6">
        <w:rPr>
          <w:rStyle w:val="FootnoteReference"/>
          <w:rFonts w:ascii="Calibri" w:hAnsi="Calibri"/>
        </w:rPr>
        <w:footnoteReference w:id="2"/>
      </w:r>
      <w:r w:rsidR="001405B6" w:rsidRPr="001405B6">
        <w:rPr>
          <w:rFonts w:ascii="Calibri" w:hAnsi="Calibri"/>
        </w:rPr>
        <w:t>).</w:t>
      </w:r>
      <w:r>
        <w:rPr>
          <w:rFonts w:ascii="Calibri" w:hAnsi="Calibri"/>
        </w:rPr>
        <w:t xml:space="preserve">  </w:t>
      </w:r>
      <w:r w:rsidR="001405B6">
        <w:rPr>
          <w:rFonts w:ascii="Calibri" w:hAnsi="Calibri"/>
        </w:rPr>
        <w:t>This</w:t>
      </w:r>
      <w:r w:rsidR="001405B6" w:rsidRPr="001405B6">
        <w:rPr>
          <w:rFonts w:ascii="Calibri" w:hAnsi="Calibri"/>
        </w:rPr>
        <w:t xml:space="preserve"> </w:t>
      </w:r>
      <w:r w:rsidR="001405B6">
        <w:rPr>
          <w:rFonts w:ascii="Calibri" w:hAnsi="Calibri"/>
        </w:rPr>
        <w:t xml:space="preserve">appears to </w:t>
      </w:r>
      <w:r w:rsidR="00CF2129">
        <w:rPr>
          <w:rFonts w:ascii="Calibri" w:hAnsi="Calibri"/>
        </w:rPr>
        <w:t xml:space="preserve">have resulted from </w:t>
      </w:r>
      <w:r w:rsidR="001405B6" w:rsidRPr="001405B6">
        <w:rPr>
          <w:rFonts w:ascii="Calibri" w:hAnsi="Calibri"/>
        </w:rPr>
        <w:t xml:space="preserve">the </w:t>
      </w:r>
      <w:r w:rsidR="00CF2129">
        <w:rPr>
          <w:rFonts w:ascii="Calibri" w:hAnsi="Calibri"/>
        </w:rPr>
        <w:t xml:space="preserve">Hospital’s </w:t>
      </w:r>
      <w:r w:rsidR="001405B6" w:rsidRPr="001405B6">
        <w:rPr>
          <w:rFonts w:ascii="Calibri" w:hAnsi="Calibri"/>
        </w:rPr>
        <w:t>improve</w:t>
      </w:r>
      <w:r w:rsidR="001405B6">
        <w:rPr>
          <w:rFonts w:ascii="Calibri" w:hAnsi="Calibri"/>
        </w:rPr>
        <w:t xml:space="preserve">ment </w:t>
      </w:r>
      <w:r w:rsidR="00795A87">
        <w:rPr>
          <w:rFonts w:ascii="Calibri" w:hAnsi="Calibri"/>
        </w:rPr>
        <w:t>in the identification and</w:t>
      </w:r>
      <w:r w:rsidR="001405B6" w:rsidRPr="001405B6">
        <w:rPr>
          <w:rFonts w:ascii="Calibri" w:hAnsi="Calibri"/>
        </w:rPr>
        <w:t xml:space="preserve"> monitoring o</w:t>
      </w:r>
      <w:r w:rsidR="00795A87">
        <w:rPr>
          <w:rFonts w:ascii="Calibri" w:hAnsi="Calibri"/>
        </w:rPr>
        <w:t>f</w:t>
      </w:r>
      <w:r w:rsidR="001405B6" w:rsidRPr="001405B6">
        <w:rPr>
          <w:rFonts w:ascii="Calibri" w:hAnsi="Calibri"/>
        </w:rPr>
        <w:t xml:space="preserve"> individuals at risk of elopement</w:t>
      </w:r>
      <w:r w:rsidR="00795A87">
        <w:rPr>
          <w:rFonts w:ascii="Calibri" w:hAnsi="Calibri"/>
        </w:rPr>
        <w:t>,</w:t>
      </w:r>
      <w:r w:rsidR="001405B6" w:rsidRPr="001405B6">
        <w:rPr>
          <w:rFonts w:ascii="Calibri" w:hAnsi="Calibri"/>
        </w:rPr>
        <w:t xml:space="preserve"> </w:t>
      </w:r>
      <w:r w:rsidR="00795A87">
        <w:rPr>
          <w:rFonts w:ascii="Calibri" w:hAnsi="Calibri"/>
        </w:rPr>
        <w:t xml:space="preserve">its </w:t>
      </w:r>
      <w:r w:rsidR="001405B6" w:rsidRPr="001405B6">
        <w:rPr>
          <w:rFonts w:ascii="Calibri" w:hAnsi="Calibri"/>
        </w:rPr>
        <w:t>strengthened policy on privilege</w:t>
      </w:r>
      <w:r w:rsidR="004B7728">
        <w:rPr>
          <w:rFonts w:ascii="Calibri" w:hAnsi="Calibri"/>
        </w:rPr>
        <w:t xml:space="preserve"> use</w:t>
      </w:r>
      <w:r w:rsidR="00795A87">
        <w:rPr>
          <w:rFonts w:ascii="Calibri" w:hAnsi="Calibri"/>
        </w:rPr>
        <w:t>, and</w:t>
      </w:r>
      <w:r w:rsidR="00CF2129">
        <w:rPr>
          <w:rFonts w:ascii="Calibri" w:hAnsi="Calibri"/>
        </w:rPr>
        <w:t xml:space="preserve"> its</w:t>
      </w:r>
      <w:r w:rsidR="00795A87">
        <w:rPr>
          <w:rFonts w:ascii="Calibri" w:hAnsi="Calibri"/>
        </w:rPr>
        <w:t xml:space="preserve"> improved </w:t>
      </w:r>
      <w:r w:rsidR="001405B6" w:rsidRPr="001405B6">
        <w:rPr>
          <w:rFonts w:ascii="Calibri" w:hAnsi="Calibri"/>
        </w:rPr>
        <w:t>security overall</w:t>
      </w:r>
      <w:r w:rsidR="00301726">
        <w:rPr>
          <w:rFonts w:ascii="Calibri" w:hAnsi="Calibri"/>
        </w:rPr>
        <w:t xml:space="preserve"> in FY14</w:t>
      </w:r>
      <w:r w:rsidR="001405B6" w:rsidRPr="001405B6">
        <w:rPr>
          <w:rFonts w:ascii="Calibri" w:hAnsi="Calibri"/>
        </w:rPr>
        <w:t>.</w:t>
      </w:r>
    </w:p>
    <w:p w:rsidR="001405B6" w:rsidRDefault="001405B6" w:rsidP="001405B6">
      <w:pPr>
        <w:pStyle w:val="BodyText"/>
        <w:rPr>
          <w:rFonts w:ascii="Calibri" w:hAnsi="Calibri"/>
        </w:rPr>
      </w:pPr>
    </w:p>
    <w:p w:rsidR="00DA227D" w:rsidRPr="00FE2B54" w:rsidRDefault="00FA2A14" w:rsidP="00FE2B54">
      <w:pPr>
        <w:pStyle w:val="BodyText"/>
        <w:rPr>
          <w:rFonts w:ascii="Calibri" w:hAnsi="Calibri"/>
        </w:rPr>
      </w:pPr>
      <w:r>
        <w:rPr>
          <w:rFonts w:ascii="Calibri" w:hAnsi="Calibri"/>
        </w:rPr>
        <w:t>T</w:t>
      </w:r>
      <w:r w:rsidR="006C4338">
        <w:rPr>
          <w:rFonts w:ascii="Calibri" w:hAnsi="Calibri"/>
        </w:rPr>
        <w:t>he r</w:t>
      </w:r>
      <w:r w:rsidR="00EF655A">
        <w:rPr>
          <w:rFonts w:ascii="Calibri" w:hAnsi="Calibri"/>
        </w:rPr>
        <w:t>eadmission rate</w:t>
      </w:r>
      <w:r w:rsidR="006C4338">
        <w:rPr>
          <w:rFonts w:ascii="Calibri" w:hAnsi="Calibri"/>
        </w:rPr>
        <w:t xml:space="preserve"> </w:t>
      </w:r>
      <w:r w:rsidR="00CF2129">
        <w:rPr>
          <w:rFonts w:ascii="Calibri" w:hAnsi="Calibri"/>
        </w:rPr>
        <w:t>for</w:t>
      </w:r>
      <w:r w:rsidR="006C4338">
        <w:rPr>
          <w:rFonts w:ascii="Calibri" w:hAnsi="Calibri"/>
        </w:rPr>
        <w:t xml:space="preserve"> the Hospital </w:t>
      </w:r>
      <w:r w:rsidR="00FE2B54">
        <w:rPr>
          <w:rFonts w:ascii="Calibri" w:hAnsi="Calibri"/>
        </w:rPr>
        <w:t xml:space="preserve">also </w:t>
      </w:r>
      <w:r w:rsidR="006C4338">
        <w:rPr>
          <w:rFonts w:ascii="Calibri" w:hAnsi="Calibri"/>
        </w:rPr>
        <w:t xml:space="preserve">significantly </w:t>
      </w:r>
      <w:r w:rsidR="00EF655A">
        <w:rPr>
          <w:rFonts w:ascii="Calibri" w:hAnsi="Calibri"/>
        </w:rPr>
        <w:t>decreased</w:t>
      </w:r>
      <w:r w:rsidR="006C4338">
        <w:rPr>
          <w:rFonts w:ascii="Calibri" w:hAnsi="Calibri"/>
        </w:rPr>
        <w:t xml:space="preserve"> in FY14</w:t>
      </w:r>
      <w:r w:rsidR="00FE2B54">
        <w:rPr>
          <w:rFonts w:ascii="Calibri" w:hAnsi="Calibri"/>
        </w:rPr>
        <w:t xml:space="preserve"> at all levels: </w:t>
      </w:r>
      <w:r w:rsidR="00FE2B54" w:rsidRPr="00FE2B54">
        <w:rPr>
          <w:rFonts w:ascii="Calibri" w:hAnsi="Calibri"/>
        </w:rPr>
        <w:t>30-day, 90-day, and 180-day readmission</w:t>
      </w:r>
      <w:r w:rsidR="00301726">
        <w:rPr>
          <w:rFonts w:ascii="Calibri" w:hAnsi="Calibri"/>
        </w:rPr>
        <w:t>s</w:t>
      </w:r>
      <w:r w:rsidR="00FE2B54" w:rsidRPr="00FE2B54">
        <w:rPr>
          <w:rFonts w:ascii="Calibri" w:hAnsi="Calibri"/>
        </w:rPr>
        <w:t xml:space="preserve">.  </w:t>
      </w:r>
      <w:r w:rsidR="00CF2129">
        <w:rPr>
          <w:rFonts w:ascii="Calibri" w:hAnsi="Calibri"/>
        </w:rPr>
        <w:t>In p</w:t>
      </w:r>
      <w:r w:rsidR="00FE2B54" w:rsidRPr="00FE2B54">
        <w:rPr>
          <w:rFonts w:ascii="Calibri" w:hAnsi="Calibri"/>
        </w:rPr>
        <w:t xml:space="preserve">articular, the 30-day readmission rate in FY14 (2.3%) </w:t>
      </w:r>
      <w:r w:rsidR="00FE2B54">
        <w:rPr>
          <w:rFonts w:ascii="Calibri" w:hAnsi="Calibri"/>
        </w:rPr>
        <w:t>is much lower than the national average (6.9%</w:t>
      </w:r>
      <w:r>
        <w:rPr>
          <w:rFonts w:ascii="Calibri" w:hAnsi="Calibri"/>
        </w:rPr>
        <w:t xml:space="preserve"> NPR</w:t>
      </w:r>
      <w:r w:rsidR="00FE2B54">
        <w:rPr>
          <w:rFonts w:ascii="Calibri" w:hAnsi="Calibri"/>
        </w:rPr>
        <w:t xml:space="preserve">) as well as the previous year’s </w:t>
      </w:r>
      <w:r w:rsidR="00CF2129">
        <w:rPr>
          <w:rFonts w:ascii="Calibri" w:hAnsi="Calibri"/>
        </w:rPr>
        <w:t xml:space="preserve">rate </w:t>
      </w:r>
      <w:r w:rsidR="00FE2B54" w:rsidRPr="00FE2B54">
        <w:rPr>
          <w:rFonts w:ascii="Calibri" w:hAnsi="Calibri"/>
        </w:rPr>
        <w:t>(5.6%)</w:t>
      </w:r>
      <w:r w:rsidR="00957585">
        <w:rPr>
          <w:rFonts w:ascii="Calibri" w:hAnsi="Calibri"/>
        </w:rPr>
        <w:t xml:space="preserve">. </w:t>
      </w:r>
      <w:r w:rsidR="00301726">
        <w:rPr>
          <w:rFonts w:ascii="Calibri" w:hAnsi="Calibri"/>
        </w:rPr>
        <w:t xml:space="preserve"> Overall, about 16% of discharges </w:t>
      </w:r>
      <w:r w:rsidR="00CF2129">
        <w:rPr>
          <w:rFonts w:ascii="Calibri" w:hAnsi="Calibri"/>
        </w:rPr>
        <w:t xml:space="preserve">were readmitted to </w:t>
      </w:r>
      <w:r w:rsidR="00301726">
        <w:rPr>
          <w:rFonts w:ascii="Calibri" w:hAnsi="Calibri"/>
        </w:rPr>
        <w:t xml:space="preserve">the Hospital within 180 days </w:t>
      </w:r>
      <w:r w:rsidR="00CF2129">
        <w:rPr>
          <w:rFonts w:ascii="Calibri" w:hAnsi="Calibri"/>
        </w:rPr>
        <w:t>of</w:t>
      </w:r>
      <w:r w:rsidR="00301726">
        <w:rPr>
          <w:rFonts w:ascii="Calibri" w:hAnsi="Calibri"/>
        </w:rPr>
        <w:t xml:space="preserve"> discharges. Further analysis on characteristics of </w:t>
      </w:r>
      <w:r w:rsidR="00AB7093">
        <w:rPr>
          <w:rFonts w:ascii="Calibri" w:hAnsi="Calibri"/>
        </w:rPr>
        <w:t>IICs</w:t>
      </w:r>
      <w:r w:rsidR="00301726">
        <w:rPr>
          <w:rFonts w:ascii="Calibri" w:hAnsi="Calibri"/>
        </w:rPr>
        <w:t xml:space="preserve"> readmitted suggests that </w:t>
      </w:r>
      <w:r w:rsidR="00DA227D" w:rsidRPr="00957585">
        <w:rPr>
          <w:rFonts w:ascii="Calibri" w:hAnsi="Calibri"/>
          <w:i/>
        </w:rPr>
        <w:t>Post-trial</w:t>
      </w:r>
      <w:r w:rsidR="00957585">
        <w:rPr>
          <w:rFonts w:ascii="Calibri" w:hAnsi="Calibri"/>
        </w:rPr>
        <w:t xml:space="preserve"> </w:t>
      </w:r>
      <w:r w:rsidR="00301726">
        <w:rPr>
          <w:rFonts w:ascii="Calibri" w:hAnsi="Calibri"/>
        </w:rPr>
        <w:t>discharges transferred to the community as outpatients</w:t>
      </w:r>
      <w:r w:rsidR="00957585">
        <w:rPr>
          <w:rFonts w:ascii="Calibri" w:hAnsi="Calibri"/>
        </w:rPr>
        <w:t xml:space="preserve">, </w:t>
      </w:r>
      <w:r w:rsidR="00301726">
        <w:rPr>
          <w:rFonts w:ascii="Calibri" w:hAnsi="Calibri"/>
        </w:rPr>
        <w:t xml:space="preserve">elderly population, </w:t>
      </w:r>
      <w:r w:rsidR="00957585">
        <w:rPr>
          <w:rFonts w:ascii="Calibri" w:hAnsi="Calibri"/>
        </w:rPr>
        <w:t xml:space="preserve">and those who had a shorter LOS </w:t>
      </w:r>
      <w:r w:rsidR="00301726">
        <w:rPr>
          <w:rFonts w:ascii="Calibri" w:hAnsi="Calibri"/>
        </w:rPr>
        <w:t xml:space="preserve">in the previous hospitalization </w:t>
      </w:r>
      <w:r w:rsidR="00DA227D" w:rsidRPr="00FE2B54">
        <w:rPr>
          <w:rFonts w:ascii="Calibri" w:hAnsi="Calibri"/>
        </w:rPr>
        <w:t xml:space="preserve">are the most likely to </w:t>
      </w:r>
      <w:r w:rsidR="00CF2129">
        <w:rPr>
          <w:rFonts w:ascii="Calibri" w:hAnsi="Calibri"/>
        </w:rPr>
        <w:t xml:space="preserve">be readmitted </w:t>
      </w:r>
      <w:r w:rsidR="00DA227D" w:rsidRPr="00FE2B54">
        <w:rPr>
          <w:rFonts w:ascii="Calibri" w:hAnsi="Calibri"/>
        </w:rPr>
        <w:t>to the Hospital</w:t>
      </w:r>
      <w:r w:rsidR="00957585">
        <w:rPr>
          <w:rFonts w:ascii="Calibri" w:hAnsi="Calibri"/>
        </w:rPr>
        <w:t xml:space="preserve"> </w:t>
      </w:r>
      <w:r w:rsidR="00CF2129">
        <w:rPr>
          <w:rFonts w:ascii="Calibri" w:hAnsi="Calibri"/>
        </w:rPr>
        <w:t>in the short term</w:t>
      </w:r>
      <w:r w:rsidR="00DA227D" w:rsidRPr="00FE2B54">
        <w:rPr>
          <w:rFonts w:ascii="Calibri" w:hAnsi="Calibri"/>
        </w:rPr>
        <w:t>.</w:t>
      </w:r>
    </w:p>
    <w:p w:rsidR="00DA227D" w:rsidRDefault="00DA227D" w:rsidP="00DC4271">
      <w:pPr>
        <w:pStyle w:val="BodyText"/>
        <w:rPr>
          <w:rFonts w:ascii="Calibri" w:hAnsi="Calibri"/>
        </w:rPr>
      </w:pPr>
    </w:p>
    <w:p w:rsidR="00CC6073" w:rsidRDefault="007D70E3" w:rsidP="002F24AD">
      <w:pPr>
        <w:pStyle w:val="BodyText"/>
        <w:rPr>
          <w:rFonts w:ascii="Calibri" w:hAnsi="Calibri"/>
        </w:rPr>
      </w:pPr>
      <w:r w:rsidRPr="007D70E3">
        <w:rPr>
          <w:rFonts w:ascii="Calibri" w:hAnsi="Calibri"/>
        </w:rPr>
        <w:t xml:space="preserve">The percentage of </w:t>
      </w:r>
      <w:r w:rsidR="00CF2129">
        <w:rPr>
          <w:rFonts w:ascii="Calibri" w:hAnsi="Calibri"/>
        </w:rPr>
        <w:t>IICs</w:t>
      </w:r>
      <w:r>
        <w:rPr>
          <w:rFonts w:ascii="Calibri" w:hAnsi="Calibri"/>
        </w:rPr>
        <w:t xml:space="preserve"> who were 60 years or older </w:t>
      </w:r>
      <w:r w:rsidR="00CF2129">
        <w:rPr>
          <w:rFonts w:ascii="Calibri" w:hAnsi="Calibri"/>
        </w:rPr>
        <w:t xml:space="preserve">and those who were under 40 years consistently increased among individuals remaining in care </w:t>
      </w:r>
      <w:r>
        <w:rPr>
          <w:rFonts w:ascii="Calibri" w:hAnsi="Calibri"/>
        </w:rPr>
        <w:t xml:space="preserve">over the past several years.  </w:t>
      </w:r>
      <w:r w:rsidR="00CC6073">
        <w:rPr>
          <w:rFonts w:ascii="Calibri" w:hAnsi="Calibri"/>
        </w:rPr>
        <w:t xml:space="preserve">During FY14, female admissions increased while their discharges decreased, raising the percentage of females remaining in care from 25% </w:t>
      </w:r>
      <w:r w:rsidR="004B7728">
        <w:rPr>
          <w:rFonts w:ascii="Calibri" w:hAnsi="Calibri"/>
        </w:rPr>
        <w:t>as of</w:t>
      </w:r>
      <w:r w:rsidR="00CC6073">
        <w:rPr>
          <w:rFonts w:ascii="Calibri" w:hAnsi="Calibri"/>
        </w:rPr>
        <w:t xml:space="preserve"> September 2013 to </w:t>
      </w:r>
      <w:r w:rsidRPr="007D70E3">
        <w:rPr>
          <w:rFonts w:ascii="Calibri" w:hAnsi="Calibri"/>
        </w:rPr>
        <w:t>33%</w:t>
      </w:r>
      <w:r>
        <w:rPr>
          <w:rFonts w:ascii="Calibri" w:hAnsi="Calibri"/>
        </w:rPr>
        <w:t xml:space="preserve"> </w:t>
      </w:r>
      <w:r w:rsidR="00CC6073">
        <w:rPr>
          <w:rFonts w:ascii="Calibri" w:hAnsi="Calibri"/>
        </w:rPr>
        <w:t>as of September 2014</w:t>
      </w:r>
      <w:r w:rsidRPr="007D70E3">
        <w:rPr>
          <w:rFonts w:ascii="Calibri" w:hAnsi="Calibri"/>
        </w:rPr>
        <w:t>.</w:t>
      </w:r>
      <w:r>
        <w:rPr>
          <w:rFonts w:ascii="Calibri" w:hAnsi="Calibri"/>
        </w:rPr>
        <w:t xml:space="preserve">  </w:t>
      </w:r>
    </w:p>
    <w:p w:rsidR="00CC6073" w:rsidRDefault="00CC6073" w:rsidP="002F24AD">
      <w:pPr>
        <w:pStyle w:val="BodyText"/>
        <w:rPr>
          <w:rFonts w:ascii="Calibri" w:hAnsi="Calibri"/>
        </w:rPr>
      </w:pPr>
    </w:p>
    <w:p w:rsidR="002F24AD" w:rsidRDefault="007D70E3" w:rsidP="002F24AD">
      <w:pPr>
        <w:pStyle w:val="BodyText"/>
        <w:rPr>
          <w:rFonts w:ascii="Calibri" w:hAnsi="Calibri"/>
        </w:rPr>
      </w:pPr>
      <w:r>
        <w:rPr>
          <w:rFonts w:ascii="Calibri" w:hAnsi="Calibri"/>
        </w:rPr>
        <w:t xml:space="preserve">With the continued increase of older adults in care, </w:t>
      </w:r>
      <w:r w:rsidR="0002396F">
        <w:rPr>
          <w:rFonts w:ascii="Calibri" w:hAnsi="Calibri"/>
        </w:rPr>
        <w:t xml:space="preserve">the percentage of individuals </w:t>
      </w:r>
      <w:r w:rsidR="00032103" w:rsidRPr="00015DE2">
        <w:rPr>
          <w:rFonts w:ascii="Calibri" w:hAnsi="Calibri"/>
        </w:rPr>
        <w:t xml:space="preserve">with </w:t>
      </w:r>
      <w:r w:rsidR="000F4F35" w:rsidRPr="00015DE2">
        <w:rPr>
          <w:rFonts w:ascii="Calibri" w:hAnsi="Calibri"/>
        </w:rPr>
        <w:t>a major</w:t>
      </w:r>
      <w:r w:rsidR="00032103" w:rsidRPr="00015DE2">
        <w:rPr>
          <w:rFonts w:ascii="Calibri" w:hAnsi="Calibri"/>
        </w:rPr>
        <w:t xml:space="preserve"> medical condition or physical disorder</w:t>
      </w:r>
      <w:r w:rsidR="0002396F">
        <w:rPr>
          <w:rFonts w:ascii="Calibri" w:hAnsi="Calibri"/>
        </w:rPr>
        <w:t xml:space="preserve"> </w:t>
      </w:r>
      <w:r>
        <w:rPr>
          <w:rFonts w:ascii="Calibri" w:hAnsi="Calibri"/>
        </w:rPr>
        <w:t>increased</w:t>
      </w:r>
      <w:r w:rsidR="00E70308">
        <w:rPr>
          <w:rFonts w:ascii="Calibri" w:hAnsi="Calibri"/>
        </w:rPr>
        <w:t xml:space="preserve">, and nearly half of individuals in </w:t>
      </w:r>
      <w:r w:rsidR="00CC6073">
        <w:rPr>
          <w:rFonts w:ascii="Calibri" w:hAnsi="Calibri"/>
        </w:rPr>
        <w:t xml:space="preserve">SEH </w:t>
      </w:r>
      <w:r w:rsidR="00E70308">
        <w:rPr>
          <w:rFonts w:ascii="Calibri" w:hAnsi="Calibri"/>
        </w:rPr>
        <w:t xml:space="preserve">care are diagnosed with hypertension. </w:t>
      </w:r>
      <w:r w:rsidR="00B61567">
        <w:rPr>
          <w:rFonts w:ascii="Calibri" w:hAnsi="Calibri"/>
        </w:rPr>
        <w:t xml:space="preserve"> </w:t>
      </w:r>
      <w:r w:rsidR="00E70308" w:rsidRPr="007D70E3">
        <w:rPr>
          <w:rFonts w:ascii="Calibri" w:hAnsi="Calibri"/>
        </w:rPr>
        <w:t xml:space="preserve">The </w:t>
      </w:r>
      <w:r w:rsidR="00E70308">
        <w:rPr>
          <w:rFonts w:ascii="Calibri" w:hAnsi="Calibri"/>
        </w:rPr>
        <w:t xml:space="preserve">obesity rate, though, </w:t>
      </w:r>
      <w:r w:rsidR="00E70308" w:rsidRPr="007D70E3">
        <w:rPr>
          <w:rFonts w:ascii="Calibri" w:hAnsi="Calibri"/>
        </w:rPr>
        <w:t>declined for two consecutive years</w:t>
      </w:r>
      <w:r w:rsidR="00E70308">
        <w:rPr>
          <w:rFonts w:ascii="Calibri" w:hAnsi="Calibri"/>
        </w:rPr>
        <w:t>:</w:t>
      </w:r>
      <w:r w:rsidR="00E70308" w:rsidRPr="007D70E3">
        <w:rPr>
          <w:rFonts w:ascii="Calibri" w:hAnsi="Calibri"/>
        </w:rPr>
        <w:t xml:space="preserve"> as of September 2014, 37% were obese as their </w:t>
      </w:r>
      <w:r w:rsidR="00E70308" w:rsidRPr="00F01770">
        <w:rPr>
          <w:rFonts w:ascii="Calibri" w:hAnsi="Calibri"/>
          <w:i/>
        </w:rPr>
        <w:t>Body Mass Index</w:t>
      </w:r>
      <w:r w:rsidR="00E70308" w:rsidRPr="007D70E3">
        <w:rPr>
          <w:rFonts w:ascii="Calibri" w:hAnsi="Calibri"/>
        </w:rPr>
        <w:t xml:space="preserve"> </w:t>
      </w:r>
      <w:r w:rsidR="00E70308">
        <w:rPr>
          <w:rFonts w:ascii="Calibri" w:hAnsi="Calibri"/>
        </w:rPr>
        <w:t>(</w:t>
      </w:r>
      <w:r w:rsidR="00E70308" w:rsidRPr="007D70E3">
        <w:rPr>
          <w:rFonts w:ascii="Calibri" w:hAnsi="Calibri"/>
        </w:rPr>
        <w:t>BMI</w:t>
      </w:r>
      <w:r w:rsidR="00E70308">
        <w:rPr>
          <w:rFonts w:ascii="Calibri" w:hAnsi="Calibri"/>
        </w:rPr>
        <w:t>)</w:t>
      </w:r>
      <w:r w:rsidR="00E70308" w:rsidRPr="007D70E3">
        <w:rPr>
          <w:rFonts w:ascii="Calibri" w:hAnsi="Calibri"/>
        </w:rPr>
        <w:t xml:space="preserve"> was 30 or above</w:t>
      </w:r>
      <w:r w:rsidR="00E70308">
        <w:rPr>
          <w:rFonts w:ascii="Calibri" w:hAnsi="Calibri"/>
        </w:rPr>
        <w:t xml:space="preserve"> while </w:t>
      </w:r>
      <w:r w:rsidR="00CC6073">
        <w:rPr>
          <w:rFonts w:ascii="Calibri" w:hAnsi="Calibri"/>
        </w:rPr>
        <w:t xml:space="preserve">more than </w:t>
      </w:r>
      <w:r w:rsidR="00E70308">
        <w:rPr>
          <w:rFonts w:ascii="Calibri" w:hAnsi="Calibri"/>
        </w:rPr>
        <w:t>40% were obese in the previous two years</w:t>
      </w:r>
      <w:r w:rsidR="00E70308" w:rsidRPr="007D70E3">
        <w:rPr>
          <w:rFonts w:ascii="Calibri" w:hAnsi="Calibri"/>
        </w:rPr>
        <w:t xml:space="preserve">. </w:t>
      </w:r>
      <w:r w:rsidR="00CC6073">
        <w:rPr>
          <w:rFonts w:ascii="Calibri" w:hAnsi="Calibri"/>
        </w:rPr>
        <w:t xml:space="preserve"> Additionally, </w:t>
      </w:r>
      <w:r w:rsidR="00CC6073">
        <w:rPr>
          <w:rFonts w:ascii="Calibri" w:hAnsi="Calibri"/>
        </w:rPr>
        <w:lastRenderedPageBreak/>
        <w:t xml:space="preserve">34% of individuals in SEH care were considered to be overweight as their BMI was 25 or higher but below 30.  </w:t>
      </w:r>
      <w:r w:rsidR="00E70308" w:rsidRPr="007D70E3">
        <w:rPr>
          <w:rFonts w:ascii="Calibri" w:hAnsi="Calibri"/>
        </w:rPr>
        <w:t>Th</w:t>
      </w:r>
      <w:r w:rsidR="00E70308">
        <w:rPr>
          <w:rFonts w:ascii="Calibri" w:hAnsi="Calibri"/>
        </w:rPr>
        <w:t>e obesity rate of the Hospital’s population</w:t>
      </w:r>
      <w:r w:rsidR="00E70308" w:rsidRPr="007D70E3">
        <w:rPr>
          <w:rFonts w:ascii="Calibri" w:hAnsi="Calibri"/>
        </w:rPr>
        <w:t xml:space="preserve"> is only slightly higher than the obesity rate of </w:t>
      </w:r>
      <w:r w:rsidR="00CC6073">
        <w:rPr>
          <w:rFonts w:ascii="Calibri" w:hAnsi="Calibri"/>
        </w:rPr>
        <w:t xml:space="preserve">the </w:t>
      </w:r>
      <w:r w:rsidR="00E70308" w:rsidRPr="007D70E3">
        <w:rPr>
          <w:rFonts w:ascii="Calibri" w:hAnsi="Calibri"/>
        </w:rPr>
        <w:t>US adult population (35%) but significantly higher than that of</w:t>
      </w:r>
      <w:r w:rsidR="00CC6073">
        <w:rPr>
          <w:rFonts w:ascii="Calibri" w:hAnsi="Calibri"/>
        </w:rPr>
        <w:t xml:space="preserve"> the adult population in the District of Columbia </w:t>
      </w:r>
      <w:r w:rsidR="00E70308" w:rsidRPr="007D70E3">
        <w:rPr>
          <w:rFonts w:ascii="Calibri" w:hAnsi="Calibri"/>
        </w:rPr>
        <w:t>(23%).</w:t>
      </w:r>
      <w:r w:rsidR="00E70308">
        <w:rPr>
          <w:rFonts w:ascii="Calibri" w:hAnsi="Calibri"/>
        </w:rPr>
        <w:t xml:space="preserve">  Our further analysis illustrates that</w:t>
      </w:r>
      <w:r w:rsidR="002F24AD" w:rsidRPr="00E70308">
        <w:rPr>
          <w:rFonts w:ascii="Calibri" w:hAnsi="Calibri"/>
        </w:rPr>
        <w:t xml:space="preserve"> a majority of </w:t>
      </w:r>
      <w:r w:rsidR="00C62398">
        <w:rPr>
          <w:rFonts w:ascii="Calibri" w:hAnsi="Calibri"/>
        </w:rPr>
        <w:t>IICs</w:t>
      </w:r>
      <w:r w:rsidR="00B61567">
        <w:rPr>
          <w:rFonts w:ascii="Calibri" w:hAnsi="Calibri"/>
        </w:rPr>
        <w:t xml:space="preserve"> </w:t>
      </w:r>
      <w:r w:rsidR="002F24AD">
        <w:rPr>
          <w:rFonts w:ascii="Calibri" w:hAnsi="Calibri"/>
        </w:rPr>
        <w:t xml:space="preserve">gain </w:t>
      </w:r>
      <w:r w:rsidR="002F24AD" w:rsidRPr="00E70308">
        <w:rPr>
          <w:rFonts w:ascii="Calibri" w:hAnsi="Calibri"/>
        </w:rPr>
        <w:t xml:space="preserve">weight </w:t>
      </w:r>
      <w:r w:rsidR="002F24AD">
        <w:rPr>
          <w:rFonts w:ascii="Calibri" w:hAnsi="Calibri"/>
        </w:rPr>
        <w:t>quickly upon admission;</w:t>
      </w:r>
      <w:r w:rsidR="002F24AD" w:rsidRPr="00E70308">
        <w:rPr>
          <w:rFonts w:ascii="Calibri" w:hAnsi="Calibri"/>
        </w:rPr>
        <w:t xml:space="preserve"> among individuals admitted in FY14, 79% gained weight within 3 to 30 days </w:t>
      </w:r>
      <w:r w:rsidR="004B5B22">
        <w:rPr>
          <w:rFonts w:ascii="Calibri" w:hAnsi="Calibri"/>
        </w:rPr>
        <w:t xml:space="preserve">of </w:t>
      </w:r>
      <w:r w:rsidR="002F24AD" w:rsidRPr="00E70308">
        <w:rPr>
          <w:rFonts w:ascii="Calibri" w:hAnsi="Calibri"/>
        </w:rPr>
        <w:t>admission</w:t>
      </w:r>
      <w:r w:rsidR="002F24AD">
        <w:rPr>
          <w:rFonts w:ascii="Calibri" w:hAnsi="Calibri"/>
        </w:rPr>
        <w:t>.  Their obesity rate increase</w:t>
      </w:r>
      <w:r w:rsidR="002C7092">
        <w:rPr>
          <w:rFonts w:ascii="Calibri" w:hAnsi="Calibri"/>
        </w:rPr>
        <w:t>d</w:t>
      </w:r>
      <w:r w:rsidR="002F24AD">
        <w:rPr>
          <w:rFonts w:ascii="Calibri" w:hAnsi="Calibri"/>
        </w:rPr>
        <w:t xml:space="preserve"> as they stay</w:t>
      </w:r>
      <w:r w:rsidR="002C7092">
        <w:rPr>
          <w:rFonts w:ascii="Calibri" w:hAnsi="Calibri"/>
        </w:rPr>
        <w:t>ed</w:t>
      </w:r>
      <w:r w:rsidR="002F24AD">
        <w:rPr>
          <w:rFonts w:ascii="Calibri" w:hAnsi="Calibri"/>
        </w:rPr>
        <w:t xml:space="preserve"> in care longer; </w:t>
      </w:r>
      <w:r w:rsidR="00E70308" w:rsidRPr="00E70308">
        <w:rPr>
          <w:rFonts w:ascii="Calibri" w:hAnsi="Calibri"/>
        </w:rPr>
        <w:t xml:space="preserve">only 26% of individuals admitted in FY14 </w:t>
      </w:r>
      <w:r w:rsidR="002C7092">
        <w:rPr>
          <w:rFonts w:ascii="Calibri" w:hAnsi="Calibri"/>
        </w:rPr>
        <w:t xml:space="preserve">were obese </w:t>
      </w:r>
      <w:r w:rsidR="00E70308" w:rsidRPr="00E70308">
        <w:rPr>
          <w:rFonts w:ascii="Calibri" w:hAnsi="Calibri"/>
        </w:rPr>
        <w:t xml:space="preserve">at the time of admission, but the obesity rate </w:t>
      </w:r>
      <w:r w:rsidR="00B61567">
        <w:rPr>
          <w:rFonts w:ascii="Calibri" w:hAnsi="Calibri"/>
        </w:rPr>
        <w:t xml:space="preserve">in </w:t>
      </w:r>
      <w:r w:rsidR="00E70308" w:rsidRPr="00E70308">
        <w:rPr>
          <w:rFonts w:ascii="Calibri" w:hAnsi="Calibri"/>
        </w:rPr>
        <w:t>the same admission group increased to 38% by 61-90 day</w:t>
      </w:r>
      <w:r w:rsidR="004B5B22">
        <w:rPr>
          <w:rFonts w:ascii="Calibri" w:hAnsi="Calibri"/>
        </w:rPr>
        <w:t>s following admission</w:t>
      </w:r>
      <w:r w:rsidR="00E70308" w:rsidRPr="00E70308">
        <w:rPr>
          <w:rFonts w:ascii="Calibri" w:hAnsi="Calibri"/>
        </w:rPr>
        <w:t xml:space="preserve">.  </w:t>
      </w:r>
    </w:p>
    <w:p w:rsidR="002F24AD" w:rsidRDefault="002F24AD" w:rsidP="002F24AD">
      <w:pPr>
        <w:pStyle w:val="BodyText"/>
        <w:rPr>
          <w:rFonts w:ascii="Calibri" w:hAnsi="Calibri"/>
        </w:rPr>
      </w:pPr>
    </w:p>
    <w:p w:rsidR="007D70E3" w:rsidRPr="007D70E3" w:rsidRDefault="007D70E3" w:rsidP="007D70E3">
      <w:pPr>
        <w:pStyle w:val="BodyText"/>
        <w:rPr>
          <w:rFonts w:ascii="Calibri" w:hAnsi="Calibri"/>
        </w:rPr>
      </w:pPr>
      <w:r w:rsidRPr="007D70E3">
        <w:rPr>
          <w:rFonts w:ascii="Calibri" w:hAnsi="Calibri"/>
        </w:rPr>
        <w:t xml:space="preserve">The percentage of individuals with </w:t>
      </w:r>
      <w:r w:rsidR="002C7092">
        <w:rPr>
          <w:rFonts w:ascii="Calibri" w:hAnsi="Calibri"/>
        </w:rPr>
        <w:t xml:space="preserve">co-occurring psychiatric and </w:t>
      </w:r>
      <w:r w:rsidRPr="007D70E3">
        <w:rPr>
          <w:rFonts w:ascii="Calibri" w:hAnsi="Calibri"/>
        </w:rPr>
        <w:t>substance use disorder</w:t>
      </w:r>
      <w:r w:rsidR="002C7092">
        <w:rPr>
          <w:rFonts w:ascii="Calibri" w:hAnsi="Calibri"/>
        </w:rPr>
        <w:t>s</w:t>
      </w:r>
      <w:r w:rsidRPr="007D70E3">
        <w:rPr>
          <w:rFonts w:ascii="Calibri" w:hAnsi="Calibri"/>
        </w:rPr>
        <w:t xml:space="preserve"> decreased for two consecutive years but still </w:t>
      </w:r>
      <w:r w:rsidR="004B5B22">
        <w:rPr>
          <w:rFonts w:ascii="Calibri" w:hAnsi="Calibri"/>
        </w:rPr>
        <w:t xml:space="preserve">a </w:t>
      </w:r>
      <w:r w:rsidRPr="007D70E3">
        <w:rPr>
          <w:rFonts w:ascii="Calibri" w:hAnsi="Calibri"/>
        </w:rPr>
        <w:t xml:space="preserve">half (50%) of </w:t>
      </w:r>
      <w:r w:rsidR="00C62398">
        <w:rPr>
          <w:rFonts w:ascii="Calibri" w:hAnsi="Calibri"/>
        </w:rPr>
        <w:t>IICs</w:t>
      </w:r>
      <w:r w:rsidRPr="007D70E3">
        <w:rPr>
          <w:rFonts w:ascii="Calibri" w:hAnsi="Calibri"/>
        </w:rPr>
        <w:t xml:space="preserve"> were diagnosed with a substance use disorder as of September 2014.</w:t>
      </w:r>
      <w:r w:rsidR="001E602C">
        <w:rPr>
          <w:rFonts w:ascii="Calibri" w:hAnsi="Calibri"/>
        </w:rPr>
        <w:t xml:space="preserve">  Particularly, </w:t>
      </w:r>
      <w:r w:rsidR="00B61567">
        <w:rPr>
          <w:rFonts w:ascii="Calibri" w:hAnsi="Calibri"/>
        </w:rPr>
        <w:t>the percentage of IICs</w:t>
      </w:r>
      <w:r w:rsidR="001E602C">
        <w:rPr>
          <w:rFonts w:ascii="Calibri" w:hAnsi="Calibri"/>
        </w:rPr>
        <w:t xml:space="preserve"> with a nicotine use related disorder significantly decreased.  </w:t>
      </w:r>
      <w:r w:rsidR="00B61567">
        <w:rPr>
          <w:rFonts w:ascii="Calibri" w:hAnsi="Calibri"/>
        </w:rPr>
        <w:t xml:space="preserve">The percentage of IICs with </w:t>
      </w:r>
      <w:r w:rsidR="001E602C">
        <w:rPr>
          <w:rFonts w:ascii="Calibri" w:hAnsi="Calibri"/>
        </w:rPr>
        <w:t>an al</w:t>
      </w:r>
      <w:r w:rsidRPr="007D70E3">
        <w:rPr>
          <w:rFonts w:ascii="Calibri" w:hAnsi="Calibri"/>
        </w:rPr>
        <w:t xml:space="preserve">cohol use related disorder also decreased </w:t>
      </w:r>
      <w:r w:rsidR="00B61567">
        <w:rPr>
          <w:rFonts w:ascii="Calibri" w:hAnsi="Calibri"/>
        </w:rPr>
        <w:t xml:space="preserve">from the previous year </w:t>
      </w:r>
      <w:r w:rsidR="001E602C">
        <w:rPr>
          <w:rFonts w:ascii="Calibri" w:hAnsi="Calibri"/>
        </w:rPr>
        <w:t>b</w:t>
      </w:r>
      <w:r w:rsidRPr="007D70E3">
        <w:rPr>
          <w:rFonts w:ascii="Calibri" w:hAnsi="Calibri"/>
        </w:rPr>
        <w:t xml:space="preserve">ut alcohol is </w:t>
      </w:r>
      <w:r w:rsidR="00F4199C">
        <w:rPr>
          <w:rFonts w:ascii="Calibri" w:hAnsi="Calibri"/>
        </w:rPr>
        <w:t xml:space="preserve">still </w:t>
      </w:r>
      <w:r w:rsidR="001E602C">
        <w:rPr>
          <w:rFonts w:ascii="Calibri" w:hAnsi="Calibri"/>
        </w:rPr>
        <w:t xml:space="preserve">identified as </w:t>
      </w:r>
      <w:r w:rsidRPr="007D70E3">
        <w:rPr>
          <w:rFonts w:ascii="Calibri" w:hAnsi="Calibri"/>
        </w:rPr>
        <w:t>the most frequently used substance</w:t>
      </w:r>
      <w:r w:rsidR="00F4199C">
        <w:rPr>
          <w:rFonts w:ascii="Calibri" w:hAnsi="Calibri"/>
        </w:rPr>
        <w:t xml:space="preserve"> at 24%</w:t>
      </w:r>
      <w:r w:rsidRPr="007D70E3">
        <w:rPr>
          <w:rFonts w:ascii="Calibri" w:hAnsi="Calibri"/>
        </w:rPr>
        <w:t>.</w:t>
      </w:r>
    </w:p>
    <w:p w:rsidR="002C7092" w:rsidRDefault="002C7092" w:rsidP="00DC4271">
      <w:pPr>
        <w:pStyle w:val="BodyText"/>
        <w:rPr>
          <w:rFonts w:ascii="Calibri" w:hAnsi="Calibri"/>
        </w:rPr>
      </w:pPr>
    </w:p>
    <w:p w:rsidR="00FE327C" w:rsidRDefault="001E602C" w:rsidP="00FE327C">
      <w:pPr>
        <w:pStyle w:val="BodyText"/>
        <w:rPr>
          <w:rFonts w:ascii="Calibri" w:hAnsi="Calibri"/>
        </w:rPr>
      </w:pPr>
      <w:r>
        <w:rPr>
          <w:rFonts w:ascii="Calibri" w:hAnsi="Calibri"/>
        </w:rPr>
        <w:t xml:space="preserve">The increase of admissions and </w:t>
      </w:r>
      <w:r w:rsidR="00B61567">
        <w:rPr>
          <w:rFonts w:ascii="Calibri" w:hAnsi="Calibri"/>
        </w:rPr>
        <w:t xml:space="preserve">census in FY14 contributed to a sizable </w:t>
      </w:r>
      <w:r>
        <w:rPr>
          <w:rFonts w:ascii="Calibri" w:hAnsi="Calibri"/>
        </w:rPr>
        <w:t>increase of unusual incidents (UI),</w:t>
      </w:r>
      <w:r w:rsidR="00B61567">
        <w:rPr>
          <w:rFonts w:ascii="Calibri" w:hAnsi="Calibri"/>
        </w:rPr>
        <w:t xml:space="preserve"> </w:t>
      </w:r>
      <w:r>
        <w:rPr>
          <w:rFonts w:ascii="Calibri" w:hAnsi="Calibri"/>
        </w:rPr>
        <w:t>particularly violence related incidents</w:t>
      </w:r>
      <w:r w:rsidR="00DF1D83">
        <w:rPr>
          <w:rFonts w:ascii="Calibri" w:hAnsi="Calibri"/>
        </w:rPr>
        <w:t>.</w:t>
      </w:r>
      <w:r>
        <w:rPr>
          <w:rFonts w:ascii="Calibri" w:hAnsi="Calibri"/>
        </w:rPr>
        <w:t xml:space="preserve">  During FY14, </w:t>
      </w:r>
      <w:proofErr w:type="gramStart"/>
      <w:r>
        <w:rPr>
          <w:rFonts w:ascii="Calibri" w:hAnsi="Calibri"/>
        </w:rPr>
        <w:t>an average of 193 UIs w</w:t>
      </w:r>
      <w:r w:rsidR="004B7728">
        <w:rPr>
          <w:rFonts w:ascii="Calibri" w:hAnsi="Calibri"/>
        </w:rPr>
        <w:t>ere</w:t>
      </w:r>
      <w:proofErr w:type="gramEnd"/>
      <w:r>
        <w:rPr>
          <w:rFonts w:ascii="Calibri" w:hAnsi="Calibri"/>
        </w:rPr>
        <w:t xml:space="preserve"> reported per month</w:t>
      </w:r>
      <w:r w:rsidR="00DF1D83">
        <w:rPr>
          <w:rFonts w:ascii="Calibri" w:hAnsi="Calibri"/>
        </w:rPr>
        <w:t>, a</w:t>
      </w:r>
      <w:r>
        <w:rPr>
          <w:rFonts w:ascii="Calibri" w:hAnsi="Calibri"/>
        </w:rPr>
        <w:t xml:space="preserve">n increase of 28% from FY13.  </w:t>
      </w:r>
      <w:r w:rsidR="00FE327C">
        <w:rPr>
          <w:rFonts w:ascii="Calibri" w:hAnsi="Calibri"/>
        </w:rPr>
        <w:t xml:space="preserve">The number of </w:t>
      </w:r>
      <w:r w:rsidR="00FE327C" w:rsidRPr="002C7092">
        <w:rPr>
          <w:rFonts w:ascii="Calibri" w:hAnsi="Calibri"/>
        </w:rPr>
        <w:t xml:space="preserve">physical assaults </w:t>
      </w:r>
      <w:r w:rsidR="00FE327C">
        <w:rPr>
          <w:rFonts w:ascii="Calibri" w:hAnsi="Calibri"/>
        </w:rPr>
        <w:t xml:space="preserve">and aggressive behaviors </w:t>
      </w:r>
      <w:r w:rsidR="00B61567">
        <w:rPr>
          <w:rFonts w:ascii="Calibri" w:hAnsi="Calibri"/>
        </w:rPr>
        <w:t>that do</w:t>
      </w:r>
      <w:r w:rsidR="004B5B22">
        <w:rPr>
          <w:rFonts w:ascii="Calibri" w:hAnsi="Calibri"/>
        </w:rPr>
        <w:t xml:space="preserve"> not</w:t>
      </w:r>
      <w:r w:rsidR="00B61567">
        <w:rPr>
          <w:rFonts w:ascii="Calibri" w:hAnsi="Calibri"/>
        </w:rPr>
        <w:t xml:space="preserve"> involve </w:t>
      </w:r>
      <w:r w:rsidR="00FE327C">
        <w:rPr>
          <w:rFonts w:ascii="Calibri" w:hAnsi="Calibri"/>
        </w:rPr>
        <w:t xml:space="preserve">physical contact both increased </w:t>
      </w:r>
      <w:r w:rsidR="00FE327C" w:rsidRPr="002C7092">
        <w:rPr>
          <w:rFonts w:ascii="Calibri" w:hAnsi="Calibri"/>
        </w:rPr>
        <w:t>in FY14</w:t>
      </w:r>
      <w:r w:rsidR="00FE327C">
        <w:rPr>
          <w:rFonts w:ascii="Calibri" w:hAnsi="Calibri"/>
        </w:rPr>
        <w:t xml:space="preserve">.  But, </w:t>
      </w:r>
      <w:r w:rsidR="00B61567">
        <w:rPr>
          <w:rFonts w:ascii="Calibri" w:hAnsi="Calibri"/>
        </w:rPr>
        <w:t xml:space="preserve">it is noteworthy to recognize that </w:t>
      </w:r>
      <w:r w:rsidR="00FE327C" w:rsidRPr="002C7092">
        <w:rPr>
          <w:rFonts w:ascii="Calibri" w:hAnsi="Calibri"/>
        </w:rPr>
        <w:t>the relative frequency of physical assaults compared with aggressive behaviors continued to decrease</w:t>
      </w:r>
      <w:r w:rsidR="00FE327C">
        <w:rPr>
          <w:rFonts w:ascii="Calibri" w:hAnsi="Calibri"/>
        </w:rPr>
        <w:t xml:space="preserve"> over the past four years</w:t>
      </w:r>
      <w:r w:rsidR="00FE327C" w:rsidRPr="002C7092">
        <w:rPr>
          <w:rFonts w:ascii="Calibri" w:hAnsi="Calibri"/>
        </w:rPr>
        <w:t>.  This trend may be attributed to improved responses and interventions to a violent event by the treatment team</w:t>
      </w:r>
      <w:r w:rsidR="00DF1D83">
        <w:rPr>
          <w:rFonts w:ascii="Calibri" w:hAnsi="Calibri"/>
        </w:rPr>
        <w:t>s</w:t>
      </w:r>
      <w:r w:rsidR="00FE327C" w:rsidRPr="002C7092">
        <w:rPr>
          <w:rFonts w:ascii="Calibri" w:hAnsi="Calibri"/>
        </w:rPr>
        <w:t xml:space="preserve"> as they successfully prevented many aggressive behavior</w:t>
      </w:r>
      <w:r w:rsidR="00F4199C">
        <w:rPr>
          <w:rFonts w:ascii="Calibri" w:hAnsi="Calibri"/>
        </w:rPr>
        <w:t xml:space="preserve"> incidents</w:t>
      </w:r>
      <w:r w:rsidR="00FE327C" w:rsidRPr="002C7092">
        <w:rPr>
          <w:rFonts w:ascii="Calibri" w:hAnsi="Calibri"/>
        </w:rPr>
        <w:t xml:space="preserve"> from turning into assaults.</w:t>
      </w:r>
      <w:r w:rsidR="00F4199C">
        <w:rPr>
          <w:rFonts w:ascii="Calibri" w:hAnsi="Calibri"/>
        </w:rPr>
        <w:t xml:space="preserve">  An increase in the use of seclusion</w:t>
      </w:r>
      <w:r w:rsidR="00B61567">
        <w:rPr>
          <w:rFonts w:ascii="Calibri" w:hAnsi="Calibri"/>
        </w:rPr>
        <w:t>s</w:t>
      </w:r>
      <w:r w:rsidR="00F4199C">
        <w:rPr>
          <w:rFonts w:ascii="Calibri" w:hAnsi="Calibri"/>
        </w:rPr>
        <w:t xml:space="preserve"> and restraint</w:t>
      </w:r>
      <w:r w:rsidR="00B61567">
        <w:rPr>
          <w:rFonts w:ascii="Calibri" w:hAnsi="Calibri"/>
        </w:rPr>
        <w:t>s</w:t>
      </w:r>
      <w:r w:rsidR="00F4199C">
        <w:rPr>
          <w:rFonts w:ascii="Calibri" w:hAnsi="Calibri"/>
        </w:rPr>
        <w:t xml:space="preserve"> for aggressive behaviors </w:t>
      </w:r>
      <w:r w:rsidR="00B61567">
        <w:rPr>
          <w:rFonts w:ascii="Calibri" w:hAnsi="Calibri"/>
        </w:rPr>
        <w:t>during</w:t>
      </w:r>
      <w:r w:rsidR="007B0382">
        <w:rPr>
          <w:rFonts w:ascii="Calibri" w:hAnsi="Calibri"/>
        </w:rPr>
        <w:t xml:space="preserve"> FY13 and</w:t>
      </w:r>
      <w:r w:rsidR="00F4199C">
        <w:rPr>
          <w:rFonts w:ascii="Calibri" w:hAnsi="Calibri"/>
        </w:rPr>
        <w:t xml:space="preserve"> FY14 </w:t>
      </w:r>
      <w:r w:rsidR="007B0382">
        <w:rPr>
          <w:rFonts w:ascii="Calibri" w:hAnsi="Calibri"/>
        </w:rPr>
        <w:t xml:space="preserve">also </w:t>
      </w:r>
      <w:r w:rsidR="00F4199C">
        <w:rPr>
          <w:rFonts w:ascii="Calibri" w:hAnsi="Calibri"/>
        </w:rPr>
        <w:t>support</w:t>
      </w:r>
      <w:r w:rsidR="00B61567">
        <w:rPr>
          <w:rFonts w:ascii="Calibri" w:hAnsi="Calibri"/>
        </w:rPr>
        <w:t>s</w:t>
      </w:r>
      <w:r w:rsidR="00F4199C">
        <w:rPr>
          <w:rFonts w:ascii="Calibri" w:hAnsi="Calibri"/>
        </w:rPr>
        <w:t xml:space="preserve"> this </w:t>
      </w:r>
      <w:r w:rsidR="007B0382">
        <w:rPr>
          <w:rFonts w:ascii="Calibri" w:hAnsi="Calibri"/>
        </w:rPr>
        <w:t>view: s</w:t>
      </w:r>
      <w:r w:rsidR="00F4199C">
        <w:rPr>
          <w:rFonts w:ascii="Calibri" w:hAnsi="Calibri"/>
        </w:rPr>
        <w:t>eclusion</w:t>
      </w:r>
      <w:r w:rsidR="007B0382">
        <w:rPr>
          <w:rFonts w:ascii="Calibri" w:hAnsi="Calibri"/>
        </w:rPr>
        <w:t>s</w:t>
      </w:r>
      <w:r w:rsidR="00F4199C">
        <w:rPr>
          <w:rFonts w:ascii="Calibri" w:hAnsi="Calibri"/>
        </w:rPr>
        <w:t xml:space="preserve"> and restraint</w:t>
      </w:r>
      <w:r w:rsidR="007B0382">
        <w:rPr>
          <w:rFonts w:ascii="Calibri" w:hAnsi="Calibri"/>
        </w:rPr>
        <w:t>s</w:t>
      </w:r>
      <w:r w:rsidR="00F4199C">
        <w:rPr>
          <w:rFonts w:ascii="Calibri" w:hAnsi="Calibri"/>
        </w:rPr>
        <w:t xml:space="preserve"> were use</w:t>
      </w:r>
      <w:r w:rsidR="007B0382">
        <w:rPr>
          <w:rFonts w:ascii="Calibri" w:hAnsi="Calibri"/>
        </w:rPr>
        <w:t>d</w:t>
      </w:r>
      <w:r w:rsidR="00F4199C">
        <w:rPr>
          <w:rFonts w:ascii="Calibri" w:hAnsi="Calibri"/>
        </w:rPr>
        <w:t xml:space="preserve"> </w:t>
      </w:r>
      <w:r w:rsidR="007B0382">
        <w:rPr>
          <w:rFonts w:ascii="Calibri" w:hAnsi="Calibri"/>
        </w:rPr>
        <w:t xml:space="preserve">much </w:t>
      </w:r>
      <w:r w:rsidR="00F4199C">
        <w:rPr>
          <w:rFonts w:ascii="Calibri" w:hAnsi="Calibri"/>
        </w:rPr>
        <w:t xml:space="preserve">more frequently </w:t>
      </w:r>
      <w:r w:rsidR="007B0382">
        <w:rPr>
          <w:rFonts w:ascii="Calibri" w:hAnsi="Calibri"/>
        </w:rPr>
        <w:t xml:space="preserve">for incidents categorized as aggressive behaviors with no physical contact than for physical assaults </w:t>
      </w:r>
      <w:r w:rsidR="004B5B22">
        <w:rPr>
          <w:rFonts w:ascii="Calibri" w:hAnsi="Calibri"/>
        </w:rPr>
        <w:t xml:space="preserve">in FY13 and FY14, as </w:t>
      </w:r>
      <w:r w:rsidR="007B0382">
        <w:rPr>
          <w:rFonts w:ascii="Calibri" w:hAnsi="Calibri"/>
        </w:rPr>
        <w:t>compared with FY11 and FY12.</w:t>
      </w:r>
    </w:p>
    <w:p w:rsidR="00FE327C" w:rsidRDefault="00FE327C" w:rsidP="002C7092">
      <w:pPr>
        <w:pStyle w:val="BodyText"/>
        <w:rPr>
          <w:rFonts w:ascii="Calibri" w:hAnsi="Calibri"/>
        </w:rPr>
      </w:pPr>
    </w:p>
    <w:p w:rsidR="002C7092" w:rsidRPr="002C7092" w:rsidRDefault="001E602C" w:rsidP="002C7092">
      <w:pPr>
        <w:pStyle w:val="BodyText"/>
        <w:rPr>
          <w:rFonts w:ascii="Calibri" w:hAnsi="Calibri"/>
        </w:rPr>
      </w:pPr>
      <w:r>
        <w:rPr>
          <w:rFonts w:ascii="Calibri" w:hAnsi="Calibri"/>
        </w:rPr>
        <w:t xml:space="preserve">A </w:t>
      </w:r>
      <w:r w:rsidR="002C7092" w:rsidRPr="002C7092">
        <w:rPr>
          <w:rFonts w:ascii="Calibri" w:hAnsi="Calibri"/>
        </w:rPr>
        <w:t>majority of violence related incidents</w:t>
      </w:r>
      <w:r w:rsidR="00FE327C">
        <w:rPr>
          <w:rFonts w:ascii="Calibri" w:hAnsi="Calibri"/>
        </w:rPr>
        <w:t xml:space="preserve">, particularly severe ones, were </w:t>
      </w:r>
      <w:r w:rsidR="0065607B">
        <w:rPr>
          <w:rFonts w:ascii="Calibri" w:hAnsi="Calibri"/>
        </w:rPr>
        <w:t>disproportionately</w:t>
      </w:r>
      <w:r w:rsidR="002C7092" w:rsidRPr="002C7092">
        <w:rPr>
          <w:rFonts w:ascii="Calibri" w:hAnsi="Calibri"/>
        </w:rPr>
        <w:t xml:space="preserve"> triggered by </w:t>
      </w:r>
      <w:r w:rsidR="004B5B22">
        <w:rPr>
          <w:rFonts w:ascii="Calibri" w:hAnsi="Calibri"/>
        </w:rPr>
        <w:t xml:space="preserve">newly </w:t>
      </w:r>
      <w:r w:rsidR="00FE327C">
        <w:rPr>
          <w:rFonts w:ascii="Calibri" w:hAnsi="Calibri"/>
        </w:rPr>
        <w:t>admitted individuals with a</w:t>
      </w:r>
      <w:r w:rsidR="007B0382">
        <w:rPr>
          <w:rFonts w:ascii="Calibri" w:hAnsi="Calibri"/>
        </w:rPr>
        <w:t xml:space="preserve"> pre-trial </w:t>
      </w:r>
      <w:r w:rsidR="00FE327C">
        <w:rPr>
          <w:rFonts w:ascii="Calibri" w:hAnsi="Calibri"/>
        </w:rPr>
        <w:t>legal status</w:t>
      </w:r>
      <w:r w:rsidR="002C7092" w:rsidRPr="002C7092">
        <w:rPr>
          <w:rFonts w:ascii="Calibri" w:hAnsi="Calibri"/>
        </w:rPr>
        <w:t xml:space="preserve">: </w:t>
      </w:r>
      <w:r w:rsidR="00FE327C">
        <w:rPr>
          <w:rFonts w:ascii="Calibri" w:hAnsi="Calibri"/>
        </w:rPr>
        <w:t xml:space="preserve">one out of four </w:t>
      </w:r>
      <w:r w:rsidR="007B0382">
        <w:rPr>
          <w:rFonts w:ascii="Calibri" w:hAnsi="Calibri"/>
        </w:rPr>
        <w:t xml:space="preserve">aggressors for physical </w:t>
      </w:r>
      <w:r w:rsidR="00FE327C">
        <w:rPr>
          <w:rFonts w:ascii="Calibri" w:hAnsi="Calibri"/>
        </w:rPr>
        <w:t xml:space="preserve">assaults or </w:t>
      </w:r>
      <w:r w:rsidR="007B0382">
        <w:rPr>
          <w:rFonts w:ascii="Calibri" w:hAnsi="Calibri"/>
        </w:rPr>
        <w:t xml:space="preserve">aggressive behaviors </w:t>
      </w:r>
      <w:r w:rsidR="00FE327C">
        <w:rPr>
          <w:rFonts w:ascii="Calibri" w:hAnsi="Calibri"/>
        </w:rPr>
        <w:t xml:space="preserve">was </w:t>
      </w:r>
      <w:r w:rsidR="007B0382">
        <w:rPr>
          <w:rFonts w:ascii="Calibri" w:hAnsi="Calibri"/>
        </w:rPr>
        <w:t>an IIC</w:t>
      </w:r>
      <w:r w:rsidR="00FE327C">
        <w:rPr>
          <w:rFonts w:ascii="Calibri" w:hAnsi="Calibri"/>
        </w:rPr>
        <w:t xml:space="preserve"> </w:t>
      </w:r>
      <w:r w:rsidR="007B0382">
        <w:rPr>
          <w:rFonts w:ascii="Calibri" w:hAnsi="Calibri"/>
        </w:rPr>
        <w:t xml:space="preserve">who had been in care </w:t>
      </w:r>
      <w:r w:rsidR="00FE327C">
        <w:rPr>
          <w:rFonts w:ascii="Calibri" w:hAnsi="Calibri"/>
        </w:rPr>
        <w:t xml:space="preserve">for less than 30 days, and two out of </w:t>
      </w:r>
      <w:r w:rsidR="007B0382">
        <w:rPr>
          <w:rFonts w:ascii="Calibri" w:hAnsi="Calibri"/>
        </w:rPr>
        <w:t xml:space="preserve">three </w:t>
      </w:r>
      <w:r w:rsidR="00FE327C">
        <w:rPr>
          <w:rFonts w:ascii="Calibri" w:hAnsi="Calibri"/>
        </w:rPr>
        <w:t xml:space="preserve">aggressors </w:t>
      </w:r>
      <w:r w:rsidR="007B0382">
        <w:rPr>
          <w:rFonts w:ascii="Calibri" w:hAnsi="Calibri"/>
        </w:rPr>
        <w:t>who triggered</w:t>
      </w:r>
      <w:r w:rsidR="00FE327C">
        <w:rPr>
          <w:rFonts w:ascii="Calibri" w:hAnsi="Calibri"/>
        </w:rPr>
        <w:t xml:space="preserve"> severe violence UIs were</w:t>
      </w:r>
      <w:r w:rsidR="0069227F">
        <w:rPr>
          <w:rFonts w:ascii="Calibri" w:hAnsi="Calibri"/>
        </w:rPr>
        <w:t xml:space="preserve"> IICs admitted with a pre-trial legal status</w:t>
      </w:r>
      <w:r w:rsidR="00FE327C">
        <w:rPr>
          <w:rFonts w:ascii="Calibri" w:hAnsi="Calibri"/>
        </w:rPr>
        <w:t xml:space="preserve">.  </w:t>
      </w:r>
      <w:r w:rsidR="002C7092" w:rsidRPr="002C7092">
        <w:rPr>
          <w:rFonts w:ascii="Calibri" w:hAnsi="Calibri"/>
        </w:rPr>
        <w:t xml:space="preserve">Often times, a small number of the same </w:t>
      </w:r>
      <w:r w:rsidR="00C62398">
        <w:rPr>
          <w:rFonts w:ascii="Calibri" w:hAnsi="Calibri"/>
        </w:rPr>
        <w:t>IICs</w:t>
      </w:r>
      <w:r w:rsidR="002C7092" w:rsidRPr="002C7092">
        <w:rPr>
          <w:rFonts w:ascii="Calibri" w:hAnsi="Calibri"/>
        </w:rPr>
        <w:t xml:space="preserve"> </w:t>
      </w:r>
      <w:r w:rsidR="004B5B22">
        <w:rPr>
          <w:rFonts w:ascii="Calibri" w:hAnsi="Calibri"/>
        </w:rPr>
        <w:t xml:space="preserve">are </w:t>
      </w:r>
      <w:r w:rsidR="002C7092" w:rsidRPr="002C7092">
        <w:rPr>
          <w:rFonts w:ascii="Calibri" w:hAnsi="Calibri"/>
        </w:rPr>
        <w:t>repeatedly involved in violence related incidents: du</w:t>
      </w:r>
      <w:r w:rsidR="0018325E">
        <w:rPr>
          <w:rFonts w:ascii="Calibri" w:hAnsi="Calibri"/>
        </w:rPr>
        <w:t xml:space="preserve">ring FY14, only 25 individuals, </w:t>
      </w:r>
      <w:r w:rsidR="002C7092" w:rsidRPr="002C7092">
        <w:rPr>
          <w:rFonts w:ascii="Calibri" w:hAnsi="Calibri"/>
        </w:rPr>
        <w:t>less than 4% of all individuals served</w:t>
      </w:r>
      <w:r w:rsidR="0018325E">
        <w:rPr>
          <w:rFonts w:ascii="Calibri" w:hAnsi="Calibri"/>
        </w:rPr>
        <w:t>,</w:t>
      </w:r>
      <w:r w:rsidR="002C7092" w:rsidRPr="002C7092">
        <w:rPr>
          <w:rFonts w:ascii="Calibri" w:hAnsi="Calibri"/>
        </w:rPr>
        <w:t xml:space="preserve"> were accountable for nearly half (46%) of physical assaults or aggressive behaviors.  Victimization is also frequently repeated: dur</w:t>
      </w:r>
      <w:r w:rsidR="0018325E">
        <w:rPr>
          <w:rFonts w:ascii="Calibri" w:hAnsi="Calibri"/>
        </w:rPr>
        <w:t>ing FY14, each of 15 IICs</w:t>
      </w:r>
      <w:r w:rsidR="002C7092" w:rsidRPr="002C7092">
        <w:rPr>
          <w:rFonts w:ascii="Calibri" w:hAnsi="Calibri"/>
        </w:rPr>
        <w:t xml:space="preserve"> and 9 employees </w:t>
      </w:r>
      <w:r w:rsidR="0018325E">
        <w:rPr>
          <w:rFonts w:ascii="Calibri" w:hAnsi="Calibri"/>
        </w:rPr>
        <w:t>was</w:t>
      </w:r>
      <w:r w:rsidR="002C7092" w:rsidRPr="002C7092">
        <w:rPr>
          <w:rFonts w:ascii="Calibri" w:hAnsi="Calibri"/>
        </w:rPr>
        <w:t xml:space="preserve"> victimized </w:t>
      </w:r>
      <w:r w:rsidR="0018325E">
        <w:rPr>
          <w:rFonts w:ascii="Calibri" w:hAnsi="Calibri"/>
        </w:rPr>
        <w:t>in</w:t>
      </w:r>
      <w:r w:rsidR="002C7092" w:rsidRPr="002C7092">
        <w:rPr>
          <w:rFonts w:ascii="Calibri" w:hAnsi="Calibri"/>
        </w:rPr>
        <w:t xml:space="preserve"> physical assaults or aggressive behaviors for </w:t>
      </w:r>
      <w:r w:rsidR="0018325E">
        <w:rPr>
          <w:rFonts w:ascii="Calibri" w:hAnsi="Calibri"/>
        </w:rPr>
        <w:t xml:space="preserve">a total of </w:t>
      </w:r>
      <w:r w:rsidR="002C7092" w:rsidRPr="002C7092">
        <w:rPr>
          <w:rFonts w:ascii="Calibri" w:hAnsi="Calibri"/>
        </w:rPr>
        <w:t>five (5) times or more.</w:t>
      </w:r>
      <w:r w:rsidR="00FE327C">
        <w:rPr>
          <w:rFonts w:ascii="Calibri" w:hAnsi="Calibri"/>
        </w:rPr>
        <w:t xml:space="preserve"> </w:t>
      </w:r>
      <w:r w:rsidR="0018325E">
        <w:rPr>
          <w:rFonts w:ascii="Calibri" w:hAnsi="Calibri"/>
        </w:rPr>
        <w:t xml:space="preserve"> An increase of violence related incidents in FY14 </w:t>
      </w:r>
      <w:r w:rsidR="0065607B">
        <w:rPr>
          <w:rFonts w:ascii="Calibri" w:hAnsi="Calibri"/>
        </w:rPr>
        <w:t>impacted</w:t>
      </w:r>
      <w:r w:rsidR="0018325E">
        <w:rPr>
          <w:rFonts w:ascii="Calibri" w:hAnsi="Calibri"/>
        </w:rPr>
        <w:t xml:space="preserve"> the number of patients and staff injured.  In fact, </w:t>
      </w:r>
      <w:r w:rsidR="002C7092" w:rsidRPr="002C7092">
        <w:rPr>
          <w:rFonts w:ascii="Calibri" w:hAnsi="Calibri"/>
        </w:rPr>
        <w:t xml:space="preserve">47% of patient injuries and 73% of staff injuries were directly triggered by physical assaults or </w:t>
      </w:r>
      <w:proofErr w:type="gramStart"/>
      <w:r w:rsidR="002C7092" w:rsidRPr="002C7092">
        <w:rPr>
          <w:rFonts w:ascii="Calibri" w:hAnsi="Calibri"/>
        </w:rPr>
        <w:t>falls</w:t>
      </w:r>
      <w:proofErr w:type="gramEnd"/>
      <w:r w:rsidR="002C7092" w:rsidRPr="002C7092">
        <w:rPr>
          <w:rFonts w:ascii="Calibri" w:hAnsi="Calibri"/>
        </w:rPr>
        <w:t xml:space="preserve"> </w:t>
      </w:r>
      <w:r w:rsidR="0018325E">
        <w:rPr>
          <w:rFonts w:ascii="Calibri" w:hAnsi="Calibri"/>
        </w:rPr>
        <w:t xml:space="preserve">related to </w:t>
      </w:r>
      <w:r w:rsidR="002C7092" w:rsidRPr="002C7092">
        <w:rPr>
          <w:rFonts w:ascii="Calibri" w:hAnsi="Calibri"/>
        </w:rPr>
        <w:t>assaults.</w:t>
      </w:r>
    </w:p>
    <w:p w:rsidR="002C7092" w:rsidRDefault="002C7092" w:rsidP="00DC4271">
      <w:pPr>
        <w:pStyle w:val="BodyText"/>
        <w:rPr>
          <w:rFonts w:ascii="Calibri" w:hAnsi="Calibri"/>
        </w:rPr>
      </w:pPr>
    </w:p>
    <w:p w:rsidR="00CF0BB3" w:rsidRDefault="009C1373" w:rsidP="00DC4271">
      <w:pPr>
        <w:pStyle w:val="BodyText"/>
        <w:rPr>
          <w:rFonts w:ascii="Calibri" w:hAnsi="Calibri"/>
        </w:rPr>
      </w:pPr>
      <w:r w:rsidRPr="00015DE2">
        <w:rPr>
          <w:rFonts w:ascii="Calibri" w:hAnsi="Calibri"/>
        </w:rPr>
        <w:t>Please refer to the respective chapter for detailed data and additional analyses.</w:t>
      </w:r>
    </w:p>
    <w:p w:rsidR="00B8684C" w:rsidRDefault="00B8684C" w:rsidP="00DC4271">
      <w:pPr>
        <w:pStyle w:val="BodyText"/>
        <w:rPr>
          <w:rFonts w:ascii="Calibri" w:hAnsi="Calibri"/>
        </w:rPr>
      </w:pPr>
    </w:p>
    <w:p w:rsidR="007411FF" w:rsidRDefault="007411FF" w:rsidP="00B8684C">
      <w:bookmarkStart w:id="7" w:name="_Toc384134241"/>
      <w:bookmarkStart w:id="8" w:name="_Toc195935741"/>
      <w:bookmarkStart w:id="9" w:name="_Toc211072472"/>
      <w:bookmarkEnd w:id="4"/>
      <w:bookmarkEnd w:id="5"/>
      <w:r>
        <w:br w:type="page"/>
      </w:r>
    </w:p>
    <w:bookmarkStart w:id="10" w:name="_Toc416357847"/>
    <w:p w:rsidR="00172440" w:rsidRPr="00650386" w:rsidRDefault="00172440" w:rsidP="00CF1F1A">
      <w:pPr>
        <w:pStyle w:val="Heading1"/>
        <w:numPr>
          <w:ilvl w:val="0"/>
          <w:numId w:val="5"/>
        </w:numPr>
      </w:pPr>
      <w:r>
        <w:rPr>
          <w14:shadow w14:blurRad="0" w14:dist="0" w14:dir="0" w14:sx="0" w14:sy="0" w14:kx="0" w14:ky="0" w14:algn="none">
            <w14:srgbClr w14:val="000000"/>
          </w14:shadow>
        </w:rPr>
        <w:lastRenderedPageBreak/>
        <mc:AlternateContent>
          <mc:Choice Requires="wps">
            <w:drawing>
              <wp:anchor distT="0" distB="91440" distL="114300" distR="114300" simplePos="0" relativeHeight="251686400" behindDoc="0" locked="0" layoutInCell="1" allowOverlap="0" wp14:anchorId="08B81A1A" wp14:editId="19CE0D9F">
                <wp:simplePos x="0" y="0"/>
                <wp:positionH relativeFrom="column">
                  <wp:posOffset>-116840</wp:posOffset>
                </wp:positionH>
                <wp:positionV relativeFrom="paragraph">
                  <wp:posOffset>447675</wp:posOffset>
                </wp:positionV>
                <wp:extent cx="6619875" cy="2561590"/>
                <wp:effectExtent l="19050" t="19050" r="85725" b="77470"/>
                <wp:wrapTopAndBottom/>
                <wp:docPr id="182" name="AutoShap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9875" cy="2561590"/>
                        </a:xfrm>
                        <a:prstGeom prst="roundRect">
                          <a:avLst>
                            <a:gd name="adj" fmla="val 6634"/>
                          </a:avLst>
                        </a:prstGeom>
                        <a:solidFill>
                          <a:schemeClr val="accent1">
                            <a:lumMod val="20000"/>
                            <a:lumOff val="80000"/>
                            <a:alpha val="25000"/>
                          </a:schemeClr>
                        </a:solidFill>
                        <a:ln w="50800" cmpd="thickThin">
                          <a:solidFill>
                            <a:schemeClr val="tx2">
                              <a:lumMod val="100000"/>
                              <a:lumOff val="0"/>
                            </a:schemeClr>
                          </a:solidFill>
                          <a:round/>
                          <a:headEnd/>
                          <a:tailEnd/>
                        </a:ln>
                        <a:effectLst>
                          <a:outerShdw dist="35921" dir="2700000" algn="ctr" rotWithShape="0">
                            <a:schemeClr val="accent1">
                              <a:lumMod val="20000"/>
                              <a:lumOff val="80000"/>
                            </a:schemeClr>
                          </a:outerShdw>
                        </a:effectLst>
                      </wps:spPr>
                      <wps:txbx>
                        <w:txbxContent>
                          <w:p w:rsidR="005B4E16" w:rsidRPr="00AE25D0" w:rsidRDefault="005B4E16" w:rsidP="00C42A33">
                            <w:pPr>
                              <w:pStyle w:val="IntenseQuote"/>
                              <w:ind w:left="360"/>
                            </w:pPr>
                            <w:r w:rsidRPr="00AE25D0">
                              <w:t xml:space="preserve">The </w:t>
                            </w:r>
                            <w:r>
                              <w:t>historic</w:t>
                            </w:r>
                            <w:r w:rsidRPr="00AE25D0">
                              <w:t xml:space="preserve"> downward trend of admissions and discharges </w:t>
                            </w:r>
                            <w:r>
                              <w:t xml:space="preserve">first </w:t>
                            </w:r>
                            <w:r w:rsidRPr="00AE25D0">
                              <w:t xml:space="preserve">reversed in FY13 and </w:t>
                            </w:r>
                            <w:r>
                              <w:t>the n</w:t>
                            </w:r>
                            <w:r w:rsidRPr="00AE25D0">
                              <w:t xml:space="preserve">umber of </w:t>
                            </w:r>
                            <w:r w:rsidRPr="00EE75EE">
                              <w:rPr>
                                <w:b/>
                              </w:rPr>
                              <w:t>admissions continued to increase</w:t>
                            </w:r>
                            <w:r>
                              <w:t xml:space="preserve"> in FY14,</w:t>
                            </w:r>
                            <w:r w:rsidRPr="00EE75EE">
                              <w:t xml:space="preserve"> exceeding the number of discharges.  As a result, the </w:t>
                            </w:r>
                            <w:r w:rsidRPr="00EE75EE">
                              <w:rPr>
                                <w:b/>
                              </w:rPr>
                              <w:t>census</w:t>
                            </w:r>
                            <w:r w:rsidRPr="00042491">
                              <w:t xml:space="preserve">, </w:t>
                            </w:r>
                            <w:r w:rsidRPr="00EE75EE">
                              <w:rPr>
                                <w:b/>
                              </w:rPr>
                              <w:t>total patient days</w:t>
                            </w:r>
                            <w:r w:rsidRPr="00042491">
                              <w:t>, and the number of</w:t>
                            </w:r>
                            <w:r w:rsidRPr="00EE75EE">
                              <w:rPr>
                                <w:b/>
                              </w:rPr>
                              <w:t xml:space="preserve"> unique individuals served in care noticeably increased in FY14</w:t>
                            </w:r>
                            <w:r w:rsidRPr="00EE75EE">
                              <w:t>.</w:t>
                            </w:r>
                            <w:r w:rsidRPr="00AE25D0">
                              <w:t xml:space="preserve">  During the month of July 2013, the Hospital</w:t>
                            </w:r>
                            <w:r>
                              <w:t xml:space="preserve"> </w:t>
                            </w:r>
                            <w:r w:rsidRPr="00AE25D0">
                              <w:t>ser</w:t>
                            </w:r>
                            <w:r>
                              <w:t>ved</w:t>
                            </w:r>
                            <w:r w:rsidRPr="00AE25D0">
                              <w:t xml:space="preserve"> a total of 249 individuals in care per day, which was the lowest average daily census</w:t>
                            </w:r>
                            <w:r>
                              <w:t xml:space="preserve"> (ADC) in its recent history</w:t>
                            </w:r>
                            <w:r w:rsidRPr="00AE25D0">
                              <w:t>.  But th</w:t>
                            </w:r>
                            <w:r>
                              <w:t>e ADC i</w:t>
                            </w:r>
                            <w:r w:rsidRPr="00AE25D0">
                              <w:t>nc</w:t>
                            </w:r>
                            <w:r>
                              <w:t>reased to 283 by September 2014, the highest in several years.</w:t>
                            </w:r>
                          </w:p>
                          <w:p w:rsidR="005B4E16" w:rsidRPr="00AE25D0" w:rsidRDefault="005B4E16" w:rsidP="00C42A33">
                            <w:pPr>
                              <w:pStyle w:val="IntenseQuote"/>
                              <w:ind w:left="360"/>
                            </w:pPr>
                            <w:r w:rsidRPr="00AE25D0">
                              <w:t xml:space="preserve">The increased number of admissions in FY14 </w:t>
                            </w:r>
                            <w:r>
                              <w:t>wa</w:t>
                            </w:r>
                            <w:r w:rsidRPr="00AE25D0">
                              <w:t xml:space="preserve">s driven primarily by </w:t>
                            </w:r>
                            <w:r w:rsidRPr="00EE75EE">
                              <w:rPr>
                                <w:b/>
                                <w:i/>
                              </w:rPr>
                              <w:t>Pre-trial</w:t>
                            </w:r>
                            <w:r w:rsidRPr="00EE75EE">
                              <w:rPr>
                                <w:b/>
                              </w:rPr>
                              <w:t xml:space="preserve"> admissions</w:t>
                            </w:r>
                            <w:r>
                              <w:t xml:space="preserve">, which </w:t>
                            </w:r>
                            <w:r w:rsidRPr="00EE75EE">
                              <w:rPr>
                                <w:b/>
                              </w:rPr>
                              <w:t>increased by 21%</w:t>
                            </w:r>
                            <w:r>
                              <w:t xml:space="preserve"> from FY13.  C</w:t>
                            </w:r>
                            <w:r w:rsidRPr="00AE25D0">
                              <w:t xml:space="preserve">onsequently, the number and percentage of </w:t>
                            </w:r>
                            <w:r w:rsidRPr="00FD4439">
                              <w:rPr>
                                <w:i/>
                              </w:rPr>
                              <w:t>Pre-trial</w:t>
                            </w:r>
                            <w:r w:rsidRPr="00AE25D0">
                              <w:t xml:space="preserve"> population </w:t>
                            </w:r>
                            <w:r>
                              <w:t xml:space="preserve">remaining </w:t>
                            </w:r>
                            <w:r w:rsidRPr="00AE25D0">
                              <w:t>in care significantly increased</w:t>
                            </w:r>
                            <w:r>
                              <w:t xml:space="preserve"> in FY14</w:t>
                            </w:r>
                            <w:r w:rsidRPr="00AE25D0">
                              <w:t>.</w:t>
                            </w:r>
                          </w:p>
                          <w:p w:rsidR="005B4E16" w:rsidRPr="00AE25D0" w:rsidRDefault="005B4E16" w:rsidP="00C42A33">
                            <w:pPr>
                              <w:pStyle w:val="IntenseQuote"/>
                              <w:ind w:left="360"/>
                            </w:pPr>
                            <w:r>
                              <w:t>In FY14</w:t>
                            </w:r>
                            <w:r w:rsidRPr="00AE25D0">
                              <w:t xml:space="preserve">, </w:t>
                            </w:r>
                            <w:r>
                              <w:t xml:space="preserve">the frequency of </w:t>
                            </w:r>
                            <w:r w:rsidRPr="00530EAE">
                              <w:rPr>
                                <w:b/>
                              </w:rPr>
                              <w:t>leave episodes significantly increased</w:t>
                            </w:r>
                            <w:r>
                              <w:t>, particularly for therapeutic community activities, home visits, and non-emergency medical leave although the level of emergency m</w:t>
                            </w:r>
                            <w:r w:rsidRPr="00AE25D0">
                              <w:t>edical transfers</w:t>
                            </w:r>
                            <w:r>
                              <w:t xml:space="preserve"> remained steady and similar to the FY13 level</w:t>
                            </w:r>
                            <w:r w:rsidRPr="00AE25D0">
                              <w:t>.</w:t>
                            </w:r>
                            <w:r>
                              <w:t xml:space="preserve">  The number of unauthorized leaves (</w:t>
                            </w:r>
                            <w:r w:rsidRPr="00530EAE">
                              <w:rPr>
                                <w:b/>
                              </w:rPr>
                              <w:t>elopements</w:t>
                            </w:r>
                            <w:r>
                              <w:t xml:space="preserve">) in FY14 is considerably </w:t>
                            </w:r>
                            <w:r w:rsidRPr="00530EAE">
                              <w:rPr>
                                <w:b/>
                              </w:rPr>
                              <w:t>lower than the previous years’</w:t>
                            </w:r>
                            <w:r>
                              <w:t xml:space="preserve"> and the elopement rate of the Hospital is well </w:t>
                            </w:r>
                            <w:r w:rsidRPr="00530EAE">
                              <w:rPr>
                                <w:b/>
                              </w:rPr>
                              <w:t>below the national average</w:t>
                            </w:r>
                            <w:r>
                              <w:t xml:space="preserve">. </w:t>
                            </w:r>
                          </w:p>
                        </w:txbxContent>
                      </wps:txbx>
                      <wps:bodyPr rot="0" vert="horz" wrap="square" lIns="91440" tIns="18288" rIns="91440" bIns="18288" anchor="ctr" anchorCtr="0" upright="1">
                        <a:spAutoFit/>
                      </wps:bodyPr>
                    </wps:wsp>
                  </a:graphicData>
                </a:graphic>
                <wp14:sizeRelH relativeFrom="page">
                  <wp14:pctWidth>0</wp14:pctWidth>
                </wp14:sizeRelH>
                <wp14:sizeRelV relativeFrom="page">
                  <wp14:pctHeight>0</wp14:pctHeight>
                </wp14:sizeRelV>
              </wp:anchor>
            </w:drawing>
          </mc:Choice>
          <mc:Fallback>
            <w:pict>
              <v:roundrect id="AutoShape 233" o:spid="_x0000_s1026" style="position:absolute;left:0;text-align:left;margin-left:-9.2pt;margin-top:35.25pt;width:521.25pt;height:201.7pt;z-index:251686400;visibility:visible;mso-wrap-style:square;mso-width-percent:0;mso-height-percent:0;mso-wrap-distance-left:9pt;mso-wrap-distance-top:0;mso-wrap-distance-right:9pt;mso-wrap-distance-bottom:7.2pt;mso-position-horizontal:absolute;mso-position-horizontal-relative:text;mso-position-vertical:absolute;mso-position-vertical-relative:text;mso-width-percent:0;mso-height-percent:0;mso-width-relative:page;mso-height-relative:page;v-text-anchor:middle" arcsize="43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" o:allowoverlap="f" fillcolor="#dbe5f1 [660]" strokecolor="#1f497d [3215]" strokeweight="4pt">
                <v:fill opacity="16448f"/>
                <v:stroke linestyle="thickThin"/>
                <v:shadow on="t" color="#dbe5f1 [660]"/>
                <v:textbox style="mso-fit-shape-to-text:t" inset=",1.44pt,,1.44pt">
                  <w:txbxContent>
                    <w:p w:rsidR="005B4E16" w:rsidRPr="00AE25D0" w:rsidRDefault="005B4E16" w:rsidP="00C42A33">
                      <w:pPr>
                        <w:pStyle w:val="IntenseQuote"/>
                        <w:ind w:left="360"/>
                      </w:pPr>
                      <w:r w:rsidRPr="00AE25D0">
                        <w:t xml:space="preserve">The </w:t>
                      </w:r>
                      <w:r>
                        <w:t>historic</w:t>
                      </w:r>
                      <w:r w:rsidRPr="00AE25D0">
                        <w:t xml:space="preserve"> downward trend of admissions and discharges </w:t>
                      </w:r>
                      <w:r>
                        <w:t xml:space="preserve">first </w:t>
                      </w:r>
                      <w:r w:rsidRPr="00AE25D0">
                        <w:t xml:space="preserve">reversed in FY13 and </w:t>
                      </w:r>
                      <w:r>
                        <w:t>the n</w:t>
                      </w:r>
                      <w:r w:rsidRPr="00AE25D0">
                        <w:t xml:space="preserve">umber of </w:t>
                      </w:r>
                      <w:r w:rsidRPr="00EE75EE">
                        <w:rPr>
                          <w:b/>
                        </w:rPr>
                        <w:t>admissions continued to increase</w:t>
                      </w:r>
                      <w:r>
                        <w:t xml:space="preserve"> in FY14,</w:t>
                      </w:r>
                      <w:r w:rsidRPr="00EE75EE">
                        <w:t xml:space="preserve"> exceeding the number of discharges.  As a result, the </w:t>
                      </w:r>
                      <w:r w:rsidRPr="00EE75EE">
                        <w:rPr>
                          <w:b/>
                        </w:rPr>
                        <w:t>census</w:t>
                      </w:r>
                      <w:r w:rsidRPr="00042491">
                        <w:t xml:space="preserve">, </w:t>
                      </w:r>
                      <w:r w:rsidRPr="00EE75EE">
                        <w:rPr>
                          <w:b/>
                        </w:rPr>
                        <w:t>total patient days</w:t>
                      </w:r>
                      <w:r w:rsidRPr="00042491">
                        <w:t>, and the number of</w:t>
                      </w:r>
                      <w:r w:rsidRPr="00EE75EE">
                        <w:rPr>
                          <w:b/>
                        </w:rPr>
                        <w:t xml:space="preserve"> unique individuals served in care noticeably increased in FY14</w:t>
                      </w:r>
                      <w:r w:rsidRPr="00EE75EE">
                        <w:t>.</w:t>
                      </w:r>
                      <w:r w:rsidRPr="00AE25D0">
                        <w:t xml:space="preserve">  During the month of July 2013, the Hospital</w:t>
                      </w:r>
                      <w:r>
                        <w:t xml:space="preserve"> </w:t>
                      </w:r>
                      <w:r w:rsidRPr="00AE25D0">
                        <w:t>ser</w:t>
                      </w:r>
                      <w:r>
                        <w:t>ved</w:t>
                      </w:r>
                      <w:r w:rsidRPr="00AE25D0">
                        <w:t xml:space="preserve"> a total of 249 individuals in care per day, which was the lowest average daily census</w:t>
                      </w:r>
                      <w:r>
                        <w:t xml:space="preserve"> (ADC) in its recent history</w:t>
                      </w:r>
                      <w:r w:rsidRPr="00AE25D0">
                        <w:t>.  But th</w:t>
                      </w:r>
                      <w:r>
                        <w:t>e ADC i</w:t>
                      </w:r>
                      <w:r w:rsidRPr="00AE25D0">
                        <w:t>nc</w:t>
                      </w:r>
                      <w:r>
                        <w:t>reased to 283 by September 2014, the highest in several years.</w:t>
                      </w:r>
                    </w:p>
                    <w:p w:rsidR="005B4E16" w:rsidRPr="00AE25D0" w:rsidRDefault="005B4E16" w:rsidP="00C42A33">
                      <w:pPr>
                        <w:pStyle w:val="IntenseQuote"/>
                        <w:ind w:left="360"/>
                      </w:pPr>
                      <w:r w:rsidRPr="00AE25D0">
                        <w:t xml:space="preserve">The increased number of admissions in FY14 </w:t>
                      </w:r>
                      <w:r>
                        <w:t>wa</w:t>
                      </w:r>
                      <w:r w:rsidRPr="00AE25D0">
                        <w:t xml:space="preserve">s driven primarily by </w:t>
                      </w:r>
                      <w:r w:rsidRPr="00EE75EE">
                        <w:rPr>
                          <w:b/>
                          <w:i/>
                        </w:rPr>
                        <w:t>Pre-trial</w:t>
                      </w:r>
                      <w:r w:rsidRPr="00EE75EE">
                        <w:rPr>
                          <w:b/>
                        </w:rPr>
                        <w:t xml:space="preserve"> admissions</w:t>
                      </w:r>
                      <w:r>
                        <w:t xml:space="preserve">, which </w:t>
                      </w:r>
                      <w:r w:rsidRPr="00EE75EE">
                        <w:rPr>
                          <w:b/>
                        </w:rPr>
                        <w:t>increased by 21%</w:t>
                      </w:r>
                      <w:r>
                        <w:t xml:space="preserve"> from FY13.  C</w:t>
                      </w:r>
                      <w:r w:rsidRPr="00AE25D0">
                        <w:t xml:space="preserve">onsequently, the number and percentage of </w:t>
                      </w:r>
                      <w:r w:rsidRPr="00FD4439">
                        <w:rPr>
                          <w:i/>
                        </w:rPr>
                        <w:t>Pre-trial</w:t>
                      </w:r>
                      <w:r w:rsidRPr="00AE25D0">
                        <w:t xml:space="preserve"> population </w:t>
                      </w:r>
                      <w:r>
                        <w:t xml:space="preserve">remaining </w:t>
                      </w:r>
                      <w:r w:rsidRPr="00AE25D0">
                        <w:t>in care significantly increased</w:t>
                      </w:r>
                      <w:r>
                        <w:t xml:space="preserve"> in FY14</w:t>
                      </w:r>
                      <w:r w:rsidRPr="00AE25D0">
                        <w:t>.</w:t>
                      </w:r>
                    </w:p>
                    <w:p w:rsidR="005B4E16" w:rsidRPr="00AE25D0" w:rsidRDefault="005B4E16" w:rsidP="00C42A33">
                      <w:pPr>
                        <w:pStyle w:val="IntenseQuote"/>
                        <w:ind w:left="360"/>
                      </w:pPr>
                      <w:r>
                        <w:t>In FY14</w:t>
                      </w:r>
                      <w:r w:rsidRPr="00AE25D0">
                        <w:t xml:space="preserve">, </w:t>
                      </w:r>
                      <w:r>
                        <w:t xml:space="preserve">the frequency of </w:t>
                      </w:r>
                      <w:r w:rsidRPr="00530EAE">
                        <w:rPr>
                          <w:b/>
                        </w:rPr>
                        <w:t>leave episodes significantly increased</w:t>
                      </w:r>
                      <w:r>
                        <w:t>, particularly for therapeutic community activities, home visits, and non-emergency medical leave although the level of emergency m</w:t>
                      </w:r>
                      <w:r w:rsidRPr="00AE25D0">
                        <w:t>edical transfers</w:t>
                      </w:r>
                      <w:r>
                        <w:t xml:space="preserve"> remained steady and similar to the FY13 level</w:t>
                      </w:r>
                      <w:r w:rsidRPr="00AE25D0">
                        <w:t>.</w:t>
                      </w:r>
                      <w:r>
                        <w:t xml:space="preserve">  The number of unauthorized leaves (</w:t>
                      </w:r>
                      <w:r w:rsidRPr="00530EAE">
                        <w:rPr>
                          <w:b/>
                        </w:rPr>
                        <w:t>elopements</w:t>
                      </w:r>
                      <w:r>
                        <w:t xml:space="preserve">) in FY14 is considerably </w:t>
                      </w:r>
                      <w:r w:rsidRPr="00530EAE">
                        <w:rPr>
                          <w:b/>
                        </w:rPr>
                        <w:t>lower than the previous years’</w:t>
                      </w:r>
                      <w:r>
                        <w:t xml:space="preserve"> and the elopement rate of the Hospital is well </w:t>
                      </w:r>
                      <w:r w:rsidRPr="00530EAE">
                        <w:rPr>
                          <w:b/>
                        </w:rPr>
                        <w:t>below the national average</w:t>
                      </w:r>
                      <w:r>
                        <w:t xml:space="preserve">. </w:t>
                      </w:r>
                    </w:p>
                  </w:txbxContent>
                </v:textbox>
                <w10:wrap type="topAndBottom"/>
              </v:roundrect>
            </w:pict>
          </mc:Fallback>
        </mc:AlternateContent>
      </w:r>
      <w:bookmarkStart w:id="11" w:name="_Toc349913390"/>
      <w:r w:rsidRPr="00650386">
        <w:t>Census, Admissions, Discharges, and Transfers</w:t>
      </w:r>
      <w:bookmarkEnd w:id="7"/>
      <w:bookmarkEnd w:id="10"/>
      <w:bookmarkEnd w:id="11"/>
    </w:p>
    <w:p w:rsidR="00DB4206" w:rsidRPr="00D760F8" w:rsidRDefault="00DB4206" w:rsidP="00DB4206">
      <w:pPr>
        <w:pStyle w:val="Heading2"/>
      </w:pPr>
      <w:bookmarkStart w:id="12" w:name="_Toc416357848"/>
      <w:bookmarkStart w:id="13" w:name="_Toc384134249"/>
      <w:r>
        <w:t>Census and Patient Days</w:t>
      </w:r>
      <w:bookmarkEnd w:id="12"/>
    </w:p>
    <w:p w:rsidR="00DB4206" w:rsidRDefault="00F33793" w:rsidP="00DB4206">
      <w:pPr>
        <w:pStyle w:val="KeyFindings"/>
      </w:pPr>
      <w:r>
        <w:t>Historically, t</w:t>
      </w:r>
      <w:r w:rsidR="00D56D44">
        <w:t>he Hospital serve</w:t>
      </w:r>
      <w:r>
        <w:t>d</w:t>
      </w:r>
      <w:r w:rsidR="00D56D44">
        <w:t xml:space="preserve"> </w:t>
      </w:r>
      <w:r w:rsidR="003B00E3">
        <w:t>more than</w:t>
      </w:r>
      <w:r w:rsidR="00D56D44">
        <w:t xml:space="preserve"> 400 individuals in care </w:t>
      </w:r>
      <w:r w:rsidR="009C1BB0">
        <w:t xml:space="preserve">(IICs) </w:t>
      </w:r>
      <w:r w:rsidR="00D56D44">
        <w:t xml:space="preserve">on a given day </w:t>
      </w:r>
      <w:r w:rsidR="002C4828">
        <w:t xml:space="preserve">until </w:t>
      </w:r>
      <w:r w:rsidR="00D56D44">
        <w:t xml:space="preserve">FY08.  </w:t>
      </w:r>
      <w:r w:rsidR="003B00E3">
        <w:t>Since FY09</w:t>
      </w:r>
      <w:r w:rsidR="0090564D">
        <w:t>, t</w:t>
      </w:r>
      <w:r w:rsidR="00DB4206">
        <w:t xml:space="preserve">he </w:t>
      </w:r>
      <w:r w:rsidR="00450FE3">
        <w:t>n</w:t>
      </w:r>
      <w:r w:rsidR="00DB4206">
        <w:t xml:space="preserve">umber of </w:t>
      </w:r>
      <w:r w:rsidR="009C1BB0">
        <w:t>IICs</w:t>
      </w:r>
      <w:r w:rsidR="00D56D44">
        <w:t xml:space="preserve"> </w:t>
      </w:r>
      <w:r w:rsidR="00A4390D">
        <w:t xml:space="preserve">dropped below 400 and </w:t>
      </w:r>
      <w:r w:rsidR="00F879F4">
        <w:t xml:space="preserve">consistently </w:t>
      </w:r>
      <w:r w:rsidR="00450FE3">
        <w:t xml:space="preserve">declined </w:t>
      </w:r>
      <w:r w:rsidR="002C4828">
        <w:t xml:space="preserve">through </w:t>
      </w:r>
      <w:r w:rsidR="00F879F4">
        <w:t>FY13</w:t>
      </w:r>
      <w:r w:rsidR="00450FE3">
        <w:t>, reaching its lowest level at 249 as of July 2013.</w:t>
      </w:r>
      <w:r w:rsidR="0090564D">
        <w:t xml:space="preserve">  This trend, however, was r</w:t>
      </w:r>
      <w:r w:rsidR="00450FE3">
        <w:t>eversed</w:t>
      </w:r>
      <w:r w:rsidR="002C4828">
        <w:t xml:space="preserve"> at the end of FY13</w:t>
      </w:r>
      <w:r w:rsidR="002954BA">
        <w:t>,</w:t>
      </w:r>
      <w:r w:rsidR="002C4828">
        <w:t xml:space="preserve"> and FY14 e</w:t>
      </w:r>
      <w:r w:rsidR="00450FE3">
        <w:t xml:space="preserve">nded with </w:t>
      </w:r>
      <w:r w:rsidR="0090564D">
        <w:t xml:space="preserve">the average daily census </w:t>
      </w:r>
      <w:r w:rsidR="00A9487B">
        <w:t xml:space="preserve">(ADC) </w:t>
      </w:r>
      <w:r w:rsidR="0090564D">
        <w:t xml:space="preserve">of </w:t>
      </w:r>
      <w:r w:rsidR="00450FE3">
        <w:t xml:space="preserve">283 </w:t>
      </w:r>
      <w:r w:rsidR="00F9220F">
        <w:t xml:space="preserve">in the month of </w:t>
      </w:r>
      <w:r w:rsidR="00D56D44">
        <w:t>September 2014.</w:t>
      </w:r>
    </w:p>
    <w:p w:rsidR="00F879F4" w:rsidRDefault="00F879F4" w:rsidP="00F879F4">
      <w:pPr>
        <w:pStyle w:val="KeyFindings"/>
        <w:numPr>
          <w:ilvl w:val="0"/>
          <w:numId w:val="0"/>
        </w:numPr>
        <w:ind w:left="288" w:hanging="288"/>
      </w:pPr>
      <w:bookmarkStart w:id="14" w:name="_Toc416357886"/>
      <w:r w:rsidRPr="00650386">
        <w:rPr>
          <w:rStyle w:val="FigureChar"/>
        </w:rPr>
        <w:t xml:space="preserve">Figure </w:t>
      </w:r>
      <w:r w:rsidRPr="00650386">
        <w:rPr>
          <w:rStyle w:val="FigureChar"/>
        </w:rPr>
        <w:fldChar w:fldCharType="begin"/>
      </w:r>
      <w:r w:rsidRPr="00650386">
        <w:rPr>
          <w:rStyle w:val="FigureChar"/>
        </w:rPr>
        <w:instrText xml:space="preserve"> SEQ Figure \* ARABIC </w:instrText>
      </w:r>
      <w:r w:rsidRPr="00650386">
        <w:rPr>
          <w:rStyle w:val="FigureChar"/>
        </w:rPr>
        <w:fldChar w:fldCharType="separate"/>
      </w:r>
      <w:r w:rsidR="007E3DB6">
        <w:rPr>
          <w:rStyle w:val="FigureChar"/>
          <w:noProof/>
        </w:rPr>
        <w:t>1</w:t>
      </w:r>
      <w:r w:rsidRPr="00650386">
        <w:rPr>
          <w:rStyle w:val="FigureChar"/>
        </w:rPr>
        <w:fldChar w:fldCharType="end"/>
      </w:r>
      <w:r w:rsidRPr="00650386">
        <w:rPr>
          <w:rStyle w:val="FigureChar"/>
        </w:rPr>
        <w:t xml:space="preserve">. </w:t>
      </w:r>
      <w:r>
        <w:rPr>
          <w:rStyle w:val="FigureChar"/>
        </w:rPr>
        <w:t>Trend of Daily Census (FY08 ~ FY14)</w:t>
      </w:r>
      <w:bookmarkEnd w:id="14"/>
    </w:p>
    <w:p w:rsidR="00F879F4" w:rsidRDefault="00133EFC" w:rsidP="00636314">
      <w:r>
        <w:rPr>
          <w:noProof/>
        </w:rPr>
        <w:drawing>
          <wp:inline distT="0" distB="0" distL="0" distR="0" wp14:anchorId="3EB3DBE9" wp14:editId="21609F7D">
            <wp:extent cx="6505575" cy="369570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10650" w:rsidRDefault="00F33793" w:rsidP="00DB4206">
      <w:pPr>
        <w:pStyle w:val="KeyFindings"/>
      </w:pPr>
      <w:r>
        <w:lastRenderedPageBreak/>
        <w:t xml:space="preserve">The trend of ADC </w:t>
      </w:r>
      <w:r w:rsidR="001A71F8">
        <w:t>mirrors</w:t>
      </w:r>
      <w:r w:rsidR="00693A56">
        <w:t xml:space="preserve"> the trend of the total patient days</w:t>
      </w:r>
      <w:r w:rsidR="00693A56" w:rsidRPr="00383815">
        <w:rPr>
          <w:vertAlign w:val="superscript"/>
        </w:rPr>
        <w:footnoteReference w:id="3"/>
      </w:r>
      <w:r w:rsidR="00F55CA2">
        <w:t xml:space="preserve">, which </w:t>
      </w:r>
      <w:r w:rsidR="00F9220F">
        <w:t xml:space="preserve">are the </w:t>
      </w:r>
      <w:r w:rsidR="00F55CA2">
        <w:t>sum</w:t>
      </w:r>
      <w:r w:rsidR="00F9220F">
        <w:t xml:space="preserve"> of </w:t>
      </w:r>
      <w:r w:rsidR="00693A56">
        <w:t>individuals present at the facility at 11:59 p.m. of each day and exclude</w:t>
      </w:r>
      <w:r w:rsidR="00693A56" w:rsidRPr="00123970">
        <w:t xml:space="preserve"> </w:t>
      </w:r>
      <w:r w:rsidR="00693A56">
        <w:t xml:space="preserve">those </w:t>
      </w:r>
      <w:r w:rsidR="00693A56" w:rsidRPr="00123970">
        <w:t xml:space="preserve">on </w:t>
      </w:r>
      <w:r w:rsidR="00693A56">
        <w:t xml:space="preserve">overnight </w:t>
      </w:r>
      <w:r w:rsidR="00693A56" w:rsidRPr="00123970">
        <w:t>leave</w:t>
      </w:r>
      <w:r w:rsidR="00F55CA2">
        <w:t xml:space="preserve"> status</w:t>
      </w:r>
      <w:r w:rsidR="00693A56">
        <w:t xml:space="preserve">.  The total patient days between FY10 and FY13 shrank by 18%, but increased </w:t>
      </w:r>
      <w:r w:rsidR="00F55CA2">
        <w:t>i</w:t>
      </w:r>
      <w:r w:rsidR="00693A56">
        <w:t>n FY14: t</w:t>
      </w:r>
      <w:r w:rsidR="00DB4206">
        <w:t>he total patient days in FY13 were 94,724, which can be translated into an average of 26</w:t>
      </w:r>
      <w:r w:rsidR="00080C04">
        <w:t>0</w:t>
      </w:r>
      <w:r w:rsidR="00DB4206">
        <w:t xml:space="preserve"> individuals staying at the facility every night of the year. </w:t>
      </w:r>
      <w:r w:rsidR="00080C04">
        <w:t xml:space="preserve">The total patient days in FY14 increased to 96,205, </w:t>
      </w:r>
      <w:r w:rsidR="00F55CA2">
        <w:t>a</w:t>
      </w:r>
      <w:r w:rsidR="00080C04">
        <w:t xml:space="preserve">n average of 264 individuals </w:t>
      </w:r>
      <w:r w:rsidR="00F55CA2">
        <w:t xml:space="preserve">staying </w:t>
      </w:r>
      <w:r w:rsidR="0032051D">
        <w:t>each</w:t>
      </w:r>
      <w:r w:rsidR="00080C04">
        <w:t xml:space="preserve"> night.</w:t>
      </w:r>
    </w:p>
    <w:tbl>
      <w:tblPr>
        <w:tblStyle w:val="TableGrid"/>
        <w:tblpPr w:leftFromText="144" w:rightFromText="144" w:topFromText="144" w:bottomFromText="144" w:vertAnchor="text" w:horzAnchor="margin" w:tblpXSpec="right" w:tblpY="258"/>
        <w:tblOverlap w:val="never"/>
        <w:tblW w:w="4788"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14" w:type="dxa"/>
          <w:left w:w="115" w:type="dxa"/>
          <w:bottom w:w="14" w:type="dxa"/>
          <w:right w:w="115" w:type="dxa"/>
        </w:tblCellMar>
        <w:tblLook w:val="04A0" w:firstRow="1" w:lastRow="0" w:firstColumn="1" w:lastColumn="0" w:noHBand="0" w:noVBand="1"/>
      </w:tblPr>
      <w:tblGrid>
        <w:gridCol w:w="722"/>
        <w:gridCol w:w="1290"/>
        <w:gridCol w:w="1350"/>
        <w:gridCol w:w="1426"/>
      </w:tblGrid>
      <w:tr w:rsidR="00F55CA2" w:rsidRPr="00C32399" w:rsidTr="00F55CA2">
        <w:trPr>
          <w:trHeight w:val="255"/>
        </w:trPr>
        <w:tc>
          <w:tcPr>
            <w:tcW w:w="4788" w:type="dxa"/>
            <w:gridSpan w:val="4"/>
            <w:tcBorders>
              <w:top w:val="nil"/>
              <w:left w:val="nil"/>
              <w:right w:val="nil"/>
            </w:tcBorders>
            <w:noWrap/>
          </w:tcPr>
          <w:p w:rsidR="00F55CA2" w:rsidRPr="004F7DC6" w:rsidRDefault="00F55CA2" w:rsidP="00F55CA2">
            <w:pPr>
              <w:ind w:left="720" w:hanging="720"/>
              <w:rPr>
                <w:rStyle w:val="FigureChar"/>
              </w:rPr>
            </w:pPr>
            <w:bookmarkStart w:id="15" w:name="_Toc416357954"/>
            <w:r w:rsidRPr="00E269E2">
              <w:rPr>
                <w:rStyle w:val="FigureChar"/>
              </w:rPr>
              <w:t xml:space="preserve">Table </w:t>
            </w:r>
            <w:r w:rsidRPr="00344689">
              <w:rPr>
                <w:rStyle w:val="FigureChar"/>
              </w:rPr>
              <w:fldChar w:fldCharType="begin"/>
            </w:r>
            <w:r w:rsidRPr="00344689">
              <w:rPr>
                <w:rStyle w:val="FigureChar"/>
              </w:rPr>
              <w:instrText xml:space="preserve"> SEQ Table \* ARABIC </w:instrText>
            </w:r>
            <w:r w:rsidRPr="00344689">
              <w:rPr>
                <w:rStyle w:val="FigureChar"/>
              </w:rPr>
              <w:fldChar w:fldCharType="separate"/>
            </w:r>
            <w:r w:rsidR="007E3DB6">
              <w:rPr>
                <w:rStyle w:val="FigureChar"/>
                <w:noProof/>
              </w:rPr>
              <w:t>1</w:t>
            </w:r>
            <w:r w:rsidRPr="00344689">
              <w:rPr>
                <w:rStyle w:val="FigureChar"/>
              </w:rPr>
              <w:fldChar w:fldCharType="end"/>
            </w:r>
            <w:r w:rsidRPr="00E269E2">
              <w:rPr>
                <w:rStyle w:val="FigureChar"/>
              </w:rPr>
              <w:t xml:space="preserve">. </w:t>
            </w:r>
            <w:r>
              <w:rPr>
                <w:rStyle w:val="FigureChar"/>
              </w:rPr>
              <w:t>Total Patient Days and Number of Unique Individuals Served (FY10 ~ FY14)</w:t>
            </w:r>
            <w:bookmarkEnd w:id="15"/>
          </w:p>
        </w:tc>
      </w:tr>
      <w:tr w:rsidR="00F55CA2" w:rsidRPr="00C32399" w:rsidTr="00F55CA2">
        <w:trPr>
          <w:trHeight w:val="255"/>
        </w:trPr>
        <w:tc>
          <w:tcPr>
            <w:tcW w:w="722" w:type="dxa"/>
            <w:tcBorders>
              <w:right w:val="nil"/>
            </w:tcBorders>
            <w:shd w:val="clear" w:color="auto" w:fill="DBE5F1" w:themeFill="accent1" w:themeFillTint="33"/>
            <w:noWrap/>
            <w:vAlign w:val="center"/>
            <w:hideMark/>
          </w:tcPr>
          <w:p w:rsidR="00F55CA2" w:rsidRPr="00C32399" w:rsidRDefault="00F55CA2" w:rsidP="00F55CA2">
            <w:pPr>
              <w:jc w:val="center"/>
              <w:rPr>
                <w:rFonts w:cs="Arial"/>
                <w:b/>
                <w:color w:val="1F497D" w:themeColor="text2"/>
                <w:sz w:val="20"/>
                <w:lang w:eastAsia="ko-KR"/>
              </w:rPr>
            </w:pPr>
            <w:r w:rsidRPr="004F7DC6">
              <w:rPr>
                <w:rFonts w:cs="Arial"/>
                <w:b/>
                <w:color w:val="1F497D" w:themeColor="text2"/>
                <w:sz w:val="20"/>
                <w:lang w:eastAsia="ko-KR"/>
              </w:rPr>
              <w:t>FY</w:t>
            </w:r>
          </w:p>
        </w:tc>
        <w:tc>
          <w:tcPr>
            <w:tcW w:w="1290" w:type="dxa"/>
            <w:tcBorders>
              <w:left w:val="nil"/>
              <w:right w:val="nil"/>
            </w:tcBorders>
            <w:shd w:val="clear" w:color="auto" w:fill="DBE5F1" w:themeFill="accent1" w:themeFillTint="33"/>
            <w:noWrap/>
            <w:vAlign w:val="center"/>
            <w:hideMark/>
          </w:tcPr>
          <w:p w:rsidR="00F55CA2" w:rsidRPr="00C32399" w:rsidRDefault="00F55CA2" w:rsidP="00F55CA2">
            <w:pPr>
              <w:jc w:val="center"/>
              <w:rPr>
                <w:rFonts w:cs="Arial"/>
                <w:b/>
                <w:color w:val="1F497D" w:themeColor="text2"/>
                <w:sz w:val="20"/>
                <w:lang w:eastAsia="ko-KR"/>
              </w:rPr>
            </w:pPr>
            <w:r w:rsidRPr="00C32399">
              <w:rPr>
                <w:rFonts w:cs="Arial"/>
                <w:b/>
                <w:color w:val="1F497D" w:themeColor="text2"/>
                <w:sz w:val="20"/>
                <w:lang w:eastAsia="ko-KR"/>
              </w:rPr>
              <w:t>Total Patient Days</w:t>
            </w:r>
          </w:p>
        </w:tc>
        <w:tc>
          <w:tcPr>
            <w:tcW w:w="1350" w:type="dxa"/>
            <w:tcBorders>
              <w:left w:val="nil"/>
            </w:tcBorders>
            <w:shd w:val="clear" w:color="auto" w:fill="DBE5F1" w:themeFill="accent1" w:themeFillTint="33"/>
            <w:noWrap/>
            <w:vAlign w:val="center"/>
            <w:hideMark/>
          </w:tcPr>
          <w:p w:rsidR="00F55CA2" w:rsidRPr="004F7DC6" w:rsidRDefault="00F55CA2" w:rsidP="00F55CA2">
            <w:pPr>
              <w:jc w:val="center"/>
              <w:rPr>
                <w:rFonts w:cs="Arial"/>
                <w:b/>
                <w:color w:val="1F497D" w:themeColor="text2"/>
                <w:sz w:val="20"/>
                <w:lang w:eastAsia="ko-KR"/>
              </w:rPr>
            </w:pPr>
            <w:r>
              <w:rPr>
                <w:rFonts w:cs="Arial"/>
                <w:b/>
                <w:color w:val="1F497D" w:themeColor="text2"/>
                <w:sz w:val="20"/>
                <w:lang w:eastAsia="ko-KR"/>
              </w:rPr>
              <w:t xml:space="preserve">Average # of IICs </w:t>
            </w:r>
            <w:r w:rsidRPr="00C32399">
              <w:rPr>
                <w:rFonts w:cs="Arial"/>
                <w:b/>
                <w:color w:val="1F497D" w:themeColor="text2"/>
                <w:sz w:val="20"/>
                <w:lang w:eastAsia="ko-KR"/>
              </w:rPr>
              <w:t>per Night</w:t>
            </w:r>
          </w:p>
        </w:tc>
        <w:tc>
          <w:tcPr>
            <w:tcW w:w="1426" w:type="dxa"/>
            <w:tcBorders>
              <w:left w:val="nil"/>
            </w:tcBorders>
            <w:shd w:val="clear" w:color="auto" w:fill="DBE5F1" w:themeFill="accent1" w:themeFillTint="33"/>
            <w:vAlign w:val="center"/>
          </w:tcPr>
          <w:p w:rsidR="00F55CA2" w:rsidRPr="00C32399" w:rsidRDefault="00F55CA2" w:rsidP="00F55CA2">
            <w:pPr>
              <w:jc w:val="center"/>
              <w:rPr>
                <w:rFonts w:cs="Arial"/>
                <w:b/>
                <w:color w:val="1F497D" w:themeColor="text2"/>
                <w:sz w:val="20"/>
                <w:lang w:eastAsia="ko-KR"/>
              </w:rPr>
            </w:pPr>
            <w:r>
              <w:rPr>
                <w:rFonts w:cs="Arial"/>
                <w:b/>
                <w:color w:val="1F497D" w:themeColor="text2"/>
                <w:sz w:val="20"/>
                <w:lang w:eastAsia="ko-KR"/>
              </w:rPr>
              <w:t>Total Unique IICs Served**</w:t>
            </w:r>
          </w:p>
        </w:tc>
      </w:tr>
      <w:tr w:rsidR="00F55CA2" w:rsidRPr="00C32399" w:rsidTr="00133EFC">
        <w:trPr>
          <w:trHeight w:val="56"/>
        </w:trPr>
        <w:tc>
          <w:tcPr>
            <w:tcW w:w="722" w:type="dxa"/>
            <w:tcBorders>
              <w:bottom w:val="dotted" w:sz="4" w:space="0" w:color="auto"/>
              <w:right w:val="nil"/>
            </w:tcBorders>
            <w:noWrap/>
            <w:vAlign w:val="center"/>
            <w:hideMark/>
          </w:tcPr>
          <w:p w:rsidR="00F55CA2" w:rsidRPr="00C32399" w:rsidRDefault="00F55CA2" w:rsidP="00F55CA2">
            <w:pPr>
              <w:rPr>
                <w:rFonts w:cs="Arial"/>
                <w:color w:val="1F497D" w:themeColor="text2"/>
                <w:sz w:val="20"/>
                <w:lang w:eastAsia="ko-KR"/>
              </w:rPr>
            </w:pPr>
            <w:r w:rsidRPr="00C32399">
              <w:rPr>
                <w:rFonts w:cs="Arial"/>
                <w:color w:val="1F497D" w:themeColor="text2"/>
                <w:sz w:val="20"/>
                <w:lang w:eastAsia="ko-KR"/>
              </w:rPr>
              <w:t>FY10</w:t>
            </w:r>
          </w:p>
        </w:tc>
        <w:tc>
          <w:tcPr>
            <w:tcW w:w="1290" w:type="dxa"/>
            <w:tcBorders>
              <w:left w:val="nil"/>
              <w:bottom w:val="dotted" w:sz="4" w:space="0" w:color="auto"/>
              <w:right w:val="nil"/>
            </w:tcBorders>
            <w:noWrap/>
            <w:vAlign w:val="center"/>
            <w:hideMark/>
          </w:tcPr>
          <w:p w:rsidR="00F55CA2" w:rsidRPr="00C32399" w:rsidRDefault="00F55CA2" w:rsidP="00F55CA2">
            <w:pPr>
              <w:jc w:val="center"/>
              <w:rPr>
                <w:rFonts w:cs="Arial"/>
                <w:color w:val="1F497D" w:themeColor="text2"/>
                <w:sz w:val="20"/>
                <w:lang w:eastAsia="ko-KR"/>
              </w:rPr>
            </w:pPr>
            <w:r w:rsidRPr="00C32399">
              <w:rPr>
                <w:rFonts w:cs="Arial"/>
                <w:color w:val="1F497D" w:themeColor="text2"/>
                <w:sz w:val="20"/>
                <w:lang w:eastAsia="ko-KR"/>
              </w:rPr>
              <w:t>115</w:t>
            </w:r>
            <w:r w:rsidRPr="004F7DC6">
              <w:rPr>
                <w:rFonts w:cs="Arial"/>
                <w:color w:val="1F497D" w:themeColor="text2"/>
                <w:sz w:val="20"/>
                <w:lang w:eastAsia="ko-KR"/>
              </w:rPr>
              <w:t>,</w:t>
            </w:r>
            <w:r w:rsidRPr="00C32399">
              <w:rPr>
                <w:rFonts w:cs="Arial"/>
                <w:color w:val="1F497D" w:themeColor="text2"/>
                <w:sz w:val="20"/>
                <w:lang w:eastAsia="ko-KR"/>
              </w:rPr>
              <w:t>676</w:t>
            </w:r>
          </w:p>
        </w:tc>
        <w:tc>
          <w:tcPr>
            <w:tcW w:w="1350" w:type="dxa"/>
            <w:tcBorders>
              <w:left w:val="nil"/>
              <w:bottom w:val="dotted" w:sz="4" w:space="0" w:color="auto"/>
            </w:tcBorders>
            <w:noWrap/>
            <w:vAlign w:val="center"/>
            <w:hideMark/>
          </w:tcPr>
          <w:p w:rsidR="00F55CA2" w:rsidRPr="00C32399" w:rsidRDefault="00F55CA2" w:rsidP="00F55CA2">
            <w:pPr>
              <w:jc w:val="center"/>
              <w:rPr>
                <w:rFonts w:cs="Arial"/>
                <w:color w:val="1F497D" w:themeColor="text2"/>
                <w:sz w:val="20"/>
                <w:lang w:eastAsia="ko-KR"/>
              </w:rPr>
            </w:pPr>
            <w:r w:rsidRPr="00C32399">
              <w:rPr>
                <w:rFonts w:cs="Arial"/>
                <w:color w:val="1F497D" w:themeColor="text2"/>
                <w:sz w:val="20"/>
                <w:lang w:eastAsia="ko-KR"/>
              </w:rPr>
              <w:t>317</w:t>
            </w:r>
          </w:p>
        </w:tc>
        <w:tc>
          <w:tcPr>
            <w:tcW w:w="1426" w:type="dxa"/>
            <w:tcBorders>
              <w:left w:val="nil"/>
              <w:bottom w:val="dotted" w:sz="4" w:space="0" w:color="auto"/>
            </w:tcBorders>
            <w:vAlign w:val="center"/>
          </w:tcPr>
          <w:p w:rsidR="00F55CA2" w:rsidRPr="00C32399" w:rsidRDefault="00F55CA2" w:rsidP="00F55CA2">
            <w:pPr>
              <w:jc w:val="center"/>
              <w:rPr>
                <w:rFonts w:cs="Arial"/>
                <w:color w:val="1F497D" w:themeColor="text2"/>
                <w:sz w:val="20"/>
                <w:lang w:eastAsia="ko-KR"/>
              </w:rPr>
            </w:pPr>
            <w:r>
              <w:rPr>
                <w:rFonts w:cs="Arial"/>
                <w:color w:val="1F497D" w:themeColor="text2"/>
                <w:sz w:val="20"/>
                <w:lang w:eastAsia="ko-KR"/>
              </w:rPr>
              <w:t>697</w:t>
            </w:r>
          </w:p>
        </w:tc>
      </w:tr>
      <w:tr w:rsidR="00F55CA2" w:rsidRPr="00C32399" w:rsidTr="00133EFC">
        <w:trPr>
          <w:trHeight w:val="56"/>
        </w:trPr>
        <w:tc>
          <w:tcPr>
            <w:tcW w:w="722" w:type="dxa"/>
            <w:tcBorders>
              <w:top w:val="dotted" w:sz="4" w:space="0" w:color="auto"/>
              <w:bottom w:val="dotted" w:sz="4" w:space="0" w:color="auto"/>
              <w:right w:val="nil"/>
            </w:tcBorders>
            <w:noWrap/>
            <w:vAlign w:val="center"/>
            <w:hideMark/>
          </w:tcPr>
          <w:p w:rsidR="00F55CA2" w:rsidRPr="00C32399" w:rsidRDefault="00F55CA2" w:rsidP="00F55CA2">
            <w:pPr>
              <w:rPr>
                <w:rFonts w:cs="Arial"/>
                <w:color w:val="1F497D" w:themeColor="text2"/>
                <w:sz w:val="20"/>
                <w:lang w:eastAsia="ko-KR"/>
              </w:rPr>
            </w:pPr>
            <w:r w:rsidRPr="00C32399">
              <w:rPr>
                <w:rFonts w:cs="Arial"/>
                <w:color w:val="1F497D" w:themeColor="text2"/>
                <w:sz w:val="20"/>
                <w:lang w:eastAsia="ko-KR"/>
              </w:rPr>
              <w:t>FY11</w:t>
            </w:r>
          </w:p>
        </w:tc>
        <w:tc>
          <w:tcPr>
            <w:tcW w:w="1290" w:type="dxa"/>
            <w:tcBorders>
              <w:top w:val="dotted" w:sz="4" w:space="0" w:color="auto"/>
              <w:left w:val="nil"/>
              <w:bottom w:val="dotted" w:sz="4" w:space="0" w:color="auto"/>
              <w:right w:val="nil"/>
            </w:tcBorders>
            <w:noWrap/>
            <w:vAlign w:val="center"/>
            <w:hideMark/>
          </w:tcPr>
          <w:p w:rsidR="00F55CA2" w:rsidRPr="00C32399" w:rsidRDefault="00F55CA2" w:rsidP="00F55CA2">
            <w:pPr>
              <w:jc w:val="center"/>
              <w:rPr>
                <w:rFonts w:cs="Arial"/>
                <w:color w:val="1F497D" w:themeColor="text2"/>
                <w:sz w:val="20"/>
                <w:lang w:eastAsia="ko-KR"/>
              </w:rPr>
            </w:pPr>
            <w:r w:rsidRPr="00C32399">
              <w:rPr>
                <w:rFonts w:cs="Arial"/>
                <w:color w:val="1F497D" w:themeColor="text2"/>
                <w:sz w:val="20"/>
                <w:lang w:eastAsia="ko-KR"/>
              </w:rPr>
              <w:t>102</w:t>
            </w:r>
            <w:r w:rsidRPr="004F7DC6">
              <w:rPr>
                <w:rFonts w:cs="Arial"/>
                <w:color w:val="1F497D" w:themeColor="text2"/>
                <w:sz w:val="20"/>
                <w:lang w:eastAsia="ko-KR"/>
              </w:rPr>
              <w:t>,</w:t>
            </w:r>
            <w:r w:rsidRPr="00C32399">
              <w:rPr>
                <w:rFonts w:cs="Arial"/>
                <w:color w:val="1F497D" w:themeColor="text2"/>
                <w:sz w:val="20"/>
                <w:lang w:eastAsia="ko-KR"/>
              </w:rPr>
              <w:t>002</w:t>
            </w:r>
          </w:p>
        </w:tc>
        <w:tc>
          <w:tcPr>
            <w:tcW w:w="1350" w:type="dxa"/>
            <w:tcBorders>
              <w:top w:val="dotted" w:sz="4" w:space="0" w:color="auto"/>
              <w:left w:val="nil"/>
              <w:bottom w:val="dotted" w:sz="4" w:space="0" w:color="auto"/>
            </w:tcBorders>
            <w:noWrap/>
            <w:vAlign w:val="center"/>
            <w:hideMark/>
          </w:tcPr>
          <w:p w:rsidR="00F55CA2" w:rsidRPr="00C32399" w:rsidRDefault="00F55CA2" w:rsidP="00F55CA2">
            <w:pPr>
              <w:jc w:val="center"/>
              <w:rPr>
                <w:rFonts w:cs="Arial"/>
                <w:color w:val="1F497D" w:themeColor="text2"/>
                <w:sz w:val="20"/>
                <w:lang w:eastAsia="ko-KR"/>
              </w:rPr>
            </w:pPr>
            <w:r w:rsidRPr="00C32399">
              <w:rPr>
                <w:rFonts w:cs="Arial"/>
                <w:color w:val="1F497D" w:themeColor="text2"/>
                <w:sz w:val="20"/>
                <w:lang w:eastAsia="ko-KR"/>
              </w:rPr>
              <w:t>279</w:t>
            </w:r>
          </w:p>
        </w:tc>
        <w:tc>
          <w:tcPr>
            <w:tcW w:w="1426" w:type="dxa"/>
            <w:tcBorders>
              <w:top w:val="dotted" w:sz="4" w:space="0" w:color="auto"/>
              <w:left w:val="nil"/>
              <w:bottom w:val="dotted" w:sz="4" w:space="0" w:color="auto"/>
            </w:tcBorders>
            <w:vAlign w:val="center"/>
          </w:tcPr>
          <w:p w:rsidR="00F55CA2" w:rsidRPr="00C32399" w:rsidRDefault="00F55CA2" w:rsidP="00F55CA2">
            <w:pPr>
              <w:jc w:val="center"/>
              <w:rPr>
                <w:rFonts w:cs="Arial"/>
                <w:color w:val="1F497D" w:themeColor="text2"/>
                <w:sz w:val="20"/>
                <w:lang w:eastAsia="ko-KR"/>
              </w:rPr>
            </w:pPr>
            <w:r>
              <w:rPr>
                <w:rFonts w:cs="Arial"/>
                <w:color w:val="1F497D" w:themeColor="text2"/>
                <w:sz w:val="20"/>
                <w:lang w:eastAsia="ko-KR"/>
              </w:rPr>
              <w:t>652</w:t>
            </w:r>
          </w:p>
        </w:tc>
      </w:tr>
      <w:tr w:rsidR="00F55CA2" w:rsidRPr="00C32399" w:rsidTr="00133EFC">
        <w:trPr>
          <w:trHeight w:val="56"/>
        </w:trPr>
        <w:tc>
          <w:tcPr>
            <w:tcW w:w="722" w:type="dxa"/>
            <w:tcBorders>
              <w:top w:val="dotted" w:sz="4" w:space="0" w:color="auto"/>
              <w:bottom w:val="dotted" w:sz="4" w:space="0" w:color="auto"/>
              <w:right w:val="nil"/>
            </w:tcBorders>
            <w:noWrap/>
            <w:vAlign w:val="center"/>
            <w:hideMark/>
          </w:tcPr>
          <w:p w:rsidR="00F55CA2" w:rsidRPr="00C32399" w:rsidRDefault="00F55CA2" w:rsidP="00F55CA2">
            <w:pPr>
              <w:rPr>
                <w:rFonts w:cs="Arial"/>
                <w:color w:val="1F497D" w:themeColor="text2"/>
                <w:sz w:val="20"/>
                <w:lang w:eastAsia="ko-KR"/>
              </w:rPr>
            </w:pPr>
            <w:r w:rsidRPr="00C32399">
              <w:rPr>
                <w:rFonts w:cs="Arial"/>
                <w:color w:val="1F497D" w:themeColor="text2"/>
                <w:sz w:val="20"/>
                <w:lang w:eastAsia="ko-KR"/>
              </w:rPr>
              <w:t>FY12</w:t>
            </w:r>
            <w:r w:rsidRPr="004F7DC6">
              <w:rPr>
                <w:rFonts w:cs="Arial"/>
                <w:color w:val="1F497D" w:themeColor="text2"/>
                <w:sz w:val="20"/>
                <w:lang w:eastAsia="ko-KR"/>
              </w:rPr>
              <w:t>*</w:t>
            </w:r>
          </w:p>
        </w:tc>
        <w:tc>
          <w:tcPr>
            <w:tcW w:w="1290" w:type="dxa"/>
            <w:tcBorders>
              <w:top w:val="dotted" w:sz="4" w:space="0" w:color="auto"/>
              <w:left w:val="nil"/>
              <w:bottom w:val="dotted" w:sz="4" w:space="0" w:color="auto"/>
              <w:right w:val="nil"/>
            </w:tcBorders>
            <w:noWrap/>
            <w:vAlign w:val="center"/>
            <w:hideMark/>
          </w:tcPr>
          <w:p w:rsidR="00F55CA2" w:rsidRPr="00C32399" w:rsidRDefault="00F55CA2" w:rsidP="00F55CA2">
            <w:pPr>
              <w:jc w:val="center"/>
              <w:rPr>
                <w:rFonts w:cs="Arial"/>
                <w:color w:val="1F497D" w:themeColor="text2"/>
                <w:sz w:val="20"/>
                <w:lang w:eastAsia="ko-KR"/>
              </w:rPr>
            </w:pPr>
            <w:r w:rsidRPr="00C32399">
              <w:rPr>
                <w:rFonts w:cs="Arial"/>
                <w:color w:val="1F497D" w:themeColor="text2"/>
                <w:sz w:val="20"/>
                <w:lang w:eastAsia="ko-KR"/>
              </w:rPr>
              <w:t>98</w:t>
            </w:r>
            <w:r w:rsidRPr="004F7DC6">
              <w:rPr>
                <w:rFonts w:cs="Arial"/>
                <w:color w:val="1F497D" w:themeColor="text2"/>
                <w:sz w:val="20"/>
                <w:lang w:eastAsia="ko-KR"/>
              </w:rPr>
              <w:t>,</w:t>
            </w:r>
            <w:r w:rsidRPr="00C32399">
              <w:rPr>
                <w:rFonts w:cs="Arial"/>
                <w:color w:val="1F497D" w:themeColor="text2"/>
                <w:sz w:val="20"/>
                <w:lang w:eastAsia="ko-KR"/>
              </w:rPr>
              <w:t>608</w:t>
            </w:r>
          </w:p>
        </w:tc>
        <w:tc>
          <w:tcPr>
            <w:tcW w:w="1350" w:type="dxa"/>
            <w:tcBorders>
              <w:top w:val="dotted" w:sz="4" w:space="0" w:color="auto"/>
              <w:left w:val="nil"/>
              <w:bottom w:val="dotted" w:sz="4" w:space="0" w:color="auto"/>
            </w:tcBorders>
            <w:noWrap/>
            <w:vAlign w:val="center"/>
            <w:hideMark/>
          </w:tcPr>
          <w:p w:rsidR="00F55CA2" w:rsidRPr="00C32399" w:rsidRDefault="00F55CA2" w:rsidP="00F55CA2">
            <w:pPr>
              <w:jc w:val="center"/>
              <w:rPr>
                <w:rFonts w:cs="Arial"/>
                <w:color w:val="1F497D" w:themeColor="text2"/>
                <w:sz w:val="20"/>
                <w:lang w:eastAsia="ko-KR"/>
              </w:rPr>
            </w:pPr>
            <w:r w:rsidRPr="00C32399">
              <w:rPr>
                <w:rFonts w:cs="Arial"/>
                <w:color w:val="1F497D" w:themeColor="text2"/>
                <w:sz w:val="20"/>
                <w:lang w:eastAsia="ko-KR"/>
              </w:rPr>
              <w:t>269</w:t>
            </w:r>
          </w:p>
        </w:tc>
        <w:tc>
          <w:tcPr>
            <w:tcW w:w="1426" w:type="dxa"/>
            <w:tcBorders>
              <w:top w:val="dotted" w:sz="4" w:space="0" w:color="auto"/>
              <w:left w:val="nil"/>
              <w:bottom w:val="dotted" w:sz="4" w:space="0" w:color="auto"/>
            </w:tcBorders>
            <w:vAlign w:val="center"/>
          </w:tcPr>
          <w:p w:rsidR="00F55CA2" w:rsidRPr="00C32399" w:rsidRDefault="00F55CA2" w:rsidP="00F55CA2">
            <w:pPr>
              <w:jc w:val="center"/>
              <w:rPr>
                <w:rFonts w:cs="Arial"/>
                <w:color w:val="1F497D" w:themeColor="text2"/>
                <w:sz w:val="20"/>
                <w:lang w:eastAsia="ko-KR"/>
              </w:rPr>
            </w:pPr>
            <w:r>
              <w:rPr>
                <w:rFonts w:cs="Arial"/>
                <w:color w:val="1F497D" w:themeColor="text2"/>
                <w:sz w:val="20"/>
                <w:lang w:eastAsia="ko-KR"/>
              </w:rPr>
              <w:t>619</w:t>
            </w:r>
          </w:p>
        </w:tc>
      </w:tr>
      <w:tr w:rsidR="00F55CA2" w:rsidRPr="00C32399" w:rsidTr="00F55CA2">
        <w:trPr>
          <w:trHeight w:val="315"/>
        </w:trPr>
        <w:tc>
          <w:tcPr>
            <w:tcW w:w="722" w:type="dxa"/>
            <w:tcBorders>
              <w:top w:val="dotted" w:sz="4" w:space="0" w:color="auto"/>
              <w:right w:val="nil"/>
            </w:tcBorders>
            <w:noWrap/>
            <w:vAlign w:val="center"/>
            <w:hideMark/>
          </w:tcPr>
          <w:p w:rsidR="00F55CA2" w:rsidRPr="00C32399" w:rsidRDefault="00F55CA2" w:rsidP="00F55CA2">
            <w:pPr>
              <w:rPr>
                <w:rFonts w:cs="Arial"/>
                <w:color w:val="1F497D" w:themeColor="text2"/>
                <w:sz w:val="20"/>
                <w:lang w:eastAsia="ko-KR"/>
              </w:rPr>
            </w:pPr>
            <w:r w:rsidRPr="00C32399">
              <w:rPr>
                <w:rFonts w:cs="Arial"/>
                <w:color w:val="1F497D" w:themeColor="text2"/>
                <w:sz w:val="20"/>
                <w:lang w:eastAsia="ko-KR"/>
              </w:rPr>
              <w:t>FY13</w:t>
            </w:r>
          </w:p>
        </w:tc>
        <w:tc>
          <w:tcPr>
            <w:tcW w:w="1290" w:type="dxa"/>
            <w:tcBorders>
              <w:top w:val="dotted" w:sz="4" w:space="0" w:color="auto"/>
              <w:left w:val="nil"/>
              <w:right w:val="nil"/>
            </w:tcBorders>
            <w:noWrap/>
            <w:vAlign w:val="center"/>
            <w:hideMark/>
          </w:tcPr>
          <w:p w:rsidR="00F55CA2" w:rsidRPr="00C32399" w:rsidRDefault="00F55CA2" w:rsidP="00F55CA2">
            <w:pPr>
              <w:jc w:val="center"/>
              <w:rPr>
                <w:rFonts w:cs="Arial"/>
                <w:color w:val="1F497D" w:themeColor="text2"/>
                <w:sz w:val="20"/>
                <w:lang w:eastAsia="ko-KR"/>
              </w:rPr>
            </w:pPr>
            <w:r w:rsidRPr="00C32399">
              <w:rPr>
                <w:rFonts w:cs="Arial"/>
                <w:color w:val="1F497D" w:themeColor="text2"/>
                <w:sz w:val="20"/>
                <w:lang w:eastAsia="ko-KR"/>
              </w:rPr>
              <w:t>94</w:t>
            </w:r>
            <w:r w:rsidRPr="004F7DC6">
              <w:rPr>
                <w:rFonts w:cs="Arial"/>
                <w:color w:val="1F497D" w:themeColor="text2"/>
                <w:sz w:val="20"/>
                <w:lang w:eastAsia="ko-KR"/>
              </w:rPr>
              <w:t>,</w:t>
            </w:r>
            <w:r w:rsidRPr="00C32399">
              <w:rPr>
                <w:rFonts w:cs="Arial"/>
                <w:color w:val="1F497D" w:themeColor="text2"/>
                <w:sz w:val="20"/>
                <w:lang w:eastAsia="ko-KR"/>
              </w:rPr>
              <w:t>724</w:t>
            </w:r>
          </w:p>
        </w:tc>
        <w:tc>
          <w:tcPr>
            <w:tcW w:w="1350" w:type="dxa"/>
            <w:tcBorders>
              <w:top w:val="dotted" w:sz="4" w:space="0" w:color="auto"/>
              <w:left w:val="nil"/>
            </w:tcBorders>
            <w:noWrap/>
            <w:vAlign w:val="center"/>
            <w:hideMark/>
          </w:tcPr>
          <w:p w:rsidR="00F55CA2" w:rsidRPr="00C32399" w:rsidRDefault="00F55CA2" w:rsidP="00F55CA2">
            <w:pPr>
              <w:jc w:val="center"/>
              <w:rPr>
                <w:rFonts w:cs="Arial"/>
                <w:color w:val="1F497D" w:themeColor="text2"/>
                <w:sz w:val="20"/>
                <w:lang w:eastAsia="ko-KR"/>
              </w:rPr>
            </w:pPr>
            <w:r w:rsidRPr="00C32399">
              <w:rPr>
                <w:rFonts w:cs="Arial"/>
                <w:color w:val="1F497D" w:themeColor="text2"/>
                <w:sz w:val="20"/>
                <w:lang w:eastAsia="ko-KR"/>
              </w:rPr>
              <w:t>260</w:t>
            </w:r>
          </w:p>
        </w:tc>
        <w:tc>
          <w:tcPr>
            <w:tcW w:w="1426" w:type="dxa"/>
            <w:tcBorders>
              <w:top w:val="dotted" w:sz="4" w:space="0" w:color="auto"/>
              <w:left w:val="nil"/>
            </w:tcBorders>
            <w:vAlign w:val="center"/>
          </w:tcPr>
          <w:p w:rsidR="00F55CA2" w:rsidRPr="00C32399" w:rsidRDefault="00F55CA2" w:rsidP="00F55CA2">
            <w:pPr>
              <w:jc w:val="center"/>
              <w:rPr>
                <w:rFonts w:cs="Arial"/>
                <w:color w:val="1F497D" w:themeColor="text2"/>
                <w:sz w:val="20"/>
                <w:lang w:eastAsia="ko-KR"/>
              </w:rPr>
            </w:pPr>
            <w:r>
              <w:rPr>
                <w:rFonts w:cs="Arial"/>
                <w:color w:val="1F497D" w:themeColor="text2"/>
                <w:sz w:val="20"/>
                <w:lang w:eastAsia="ko-KR"/>
              </w:rPr>
              <w:t>618</w:t>
            </w:r>
          </w:p>
        </w:tc>
      </w:tr>
      <w:tr w:rsidR="00F55CA2" w:rsidRPr="00C32399" w:rsidTr="00133EFC">
        <w:trPr>
          <w:trHeight w:val="56"/>
        </w:trPr>
        <w:tc>
          <w:tcPr>
            <w:tcW w:w="722" w:type="dxa"/>
            <w:tcBorders>
              <w:top w:val="dotted" w:sz="4" w:space="0" w:color="auto"/>
              <w:right w:val="nil"/>
            </w:tcBorders>
            <w:noWrap/>
            <w:vAlign w:val="center"/>
          </w:tcPr>
          <w:p w:rsidR="00F55CA2" w:rsidRPr="00C32399" w:rsidRDefault="00F55CA2" w:rsidP="00F55CA2">
            <w:pPr>
              <w:rPr>
                <w:rFonts w:cs="Arial"/>
                <w:color w:val="1F497D" w:themeColor="text2"/>
                <w:sz w:val="20"/>
                <w:lang w:eastAsia="ko-KR"/>
              </w:rPr>
            </w:pPr>
            <w:r>
              <w:rPr>
                <w:rFonts w:cs="Arial"/>
                <w:color w:val="1F497D" w:themeColor="text2"/>
                <w:sz w:val="20"/>
                <w:lang w:eastAsia="ko-KR"/>
              </w:rPr>
              <w:t>FY14</w:t>
            </w:r>
          </w:p>
        </w:tc>
        <w:tc>
          <w:tcPr>
            <w:tcW w:w="1290" w:type="dxa"/>
            <w:tcBorders>
              <w:top w:val="dotted" w:sz="4" w:space="0" w:color="auto"/>
              <w:left w:val="nil"/>
              <w:right w:val="nil"/>
            </w:tcBorders>
            <w:noWrap/>
            <w:vAlign w:val="center"/>
          </w:tcPr>
          <w:p w:rsidR="00F55CA2" w:rsidRPr="00C32399" w:rsidRDefault="00F55CA2" w:rsidP="00F55CA2">
            <w:pPr>
              <w:jc w:val="center"/>
              <w:rPr>
                <w:rFonts w:cs="Arial"/>
                <w:color w:val="1F497D" w:themeColor="text2"/>
                <w:sz w:val="20"/>
                <w:lang w:eastAsia="ko-KR"/>
              </w:rPr>
            </w:pPr>
            <w:r>
              <w:rPr>
                <w:rFonts w:cs="Arial"/>
                <w:color w:val="1F497D" w:themeColor="text2"/>
                <w:sz w:val="20"/>
                <w:lang w:eastAsia="ko-KR"/>
              </w:rPr>
              <w:t>96,205</w:t>
            </w:r>
          </w:p>
        </w:tc>
        <w:tc>
          <w:tcPr>
            <w:tcW w:w="1350" w:type="dxa"/>
            <w:tcBorders>
              <w:top w:val="dotted" w:sz="4" w:space="0" w:color="auto"/>
              <w:left w:val="nil"/>
            </w:tcBorders>
            <w:noWrap/>
            <w:vAlign w:val="center"/>
          </w:tcPr>
          <w:p w:rsidR="00F55CA2" w:rsidRPr="00C32399" w:rsidRDefault="00F55CA2" w:rsidP="00F55CA2">
            <w:pPr>
              <w:jc w:val="center"/>
              <w:rPr>
                <w:rFonts w:cs="Arial"/>
                <w:color w:val="1F497D" w:themeColor="text2"/>
                <w:sz w:val="20"/>
                <w:lang w:eastAsia="ko-KR"/>
              </w:rPr>
            </w:pPr>
            <w:r>
              <w:rPr>
                <w:rFonts w:cs="Arial"/>
                <w:color w:val="1F497D" w:themeColor="text2"/>
                <w:sz w:val="20"/>
                <w:lang w:eastAsia="ko-KR"/>
              </w:rPr>
              <w:t>264</w:t>
            </w:r>
          </w:p>
        </w:tc>
        <w:tc>
          <w:tcPr>
            <w:tcW w:w="1426" w:type="dxa"/>
            <w:tcBorders>
              <w:top w:val="dotted" w:sz="4" w:space="0" w:color="auto"/>
              <w:left w:val="nil"/>
            </w:tcBorders>
            <w:vAlign w:val="center"/>
          </w:tcPr>
          <w:p w:rsidR="00F55CA2" w:rsidRDefault="00F55CA2" w:rsidP="00F55CA2">
            <w:pPr>
              <w:jc w:val="center"/>
              <w:rPr>
                <w:rFonts w:cs="Arial"/>
                <w:color w:val="1F497D" w:themeColor="text2"/>
                <w:sz w:val="20"/>
                <w:lang w:eastAsia="ko-KR"/>
              </w:rPr>
            </w:pPr>
            <w:r>
              <w:rPr>
                <w:rFonts w:cs="Arial"/>
                <w:color w:val="1F497D" w:themeColor="text2"/>
                <w:sz w:val="20"/>
                <w:lang w:eastAsia="ko-KR"/>
              </w:rPr>
              <w:t>636</w:t>
            </w:r>
          </w:p>
        </w:tc>
      </w:tr>
      <w:tr w:rsidR="00F55CA2" w:rsidRPr="00C32399" w:rsidTr="00F55CA2">
        <w:trPr>
          <w:trHeight w:val="255"/>
        </w:trPr>
        <w:tc>
          <w:tcPr>
            <w:tcW w:w="4788" w:type="dxa"/>
            <w:gridSpan w:val="4"/>
            <w:tcBorders>
              <w:left w:val="nil"/>
              <w:bottom w:val="nil"/>
              <w:right w:val="nil"/>
            </w:tcBorders>
            <w:noWrap/>
            <w:vAlign w:val="center"/>
          </w:tcPr>
          <w:p w:rsidR="00F55CA2" w:rsidRDefault="00F55CA2" w:rsidP="00F55CA2">
            <w:pPr>
              <w:pStyle w:val="Qualifier"/>
              <w:rPr>
                <w:lang w:eastAsia="ko-KR"/>
              </w:rPr>
            </w:pPr>
            <w:r w:rsidRPr="004F7DC6">
              <w:rPr>
                <w:lang w:eastAsia="ko-KR"/>
              </w:rPr>
              <w:t xml:space="preserve">* </w:t>
            </w:r>
            <w:r>
              <w:rPr>
                <w:lang w:eastAsia="ko-KR"/>
              </w:rPr>
              <w:t>February 2012 had a l</w:t>
            </w:r>
            <w:r w:rsidRPr="004F7DC6">
              <w:rPr>
                <w:lang w:eastAsia="ko-KR"/>
              </w:rPr>
              <w:t xml:space="preserve">eap </w:t>
            </w:r>
            <w:r>
              <w:rPr>
                <w:lang w:eastAsia="ko-KR"/>
              </w:rPr>
              <w:t>day and the total number of days for FY12 was 366.</w:t>
            </w:r>
          </w:p>
          <w:p w:rsidR="00F55CA2" w:rsidRPr="004F7DC6" w:rsidRDefault="00F55CA2" w:rsidP="00F55CA2">
            <w:pPr>
              <w:pStyle w:val="Qualifier"/>
              <w:rPr>
                <w:lang w:eastAsia="ko-KR"/>
              </w:rPr>
            </w:pPr>
            <w:r>
              <w:rPr>
                <w:lang w:eastAsia="ko-KR"/>
              </w:rPr>
              <w:t>** S</w:t>
            </w:r>
            <w:r w:rsidRPr="00905B96">
              <w:t xml:space="preserve">ome </w:t>
            </w:r>
            <w:r>
              <w:t>individuals</w:t>
            </w:r>
            <w:r w:rsidRPr="00905B96">
              <w:t xml:space="preserve"> may have been admitted to SEH more than once during </w:t>
            </w:r>
            <w:r>
              <w:t>the same fiscal year</w:t>
            </w:r>
            <w:r w:rsidRPr="00905B96">
              <w:t xml:space="preserve"> and data herein counts the number of </w:t>
            </w:r>
            <w:r>
              <w:t>unduplicated</w:t>
            </w:r>
            <w:r w:rsidRPr="00905B96">
              <w:t xml:space="preserve"> </w:t>
            </w:r>
            <w:r>
              <w:t>individuals served</w:t>
            </w:r>
            <w:r w:rsidRPr="00905B96">
              <w:t xml:space="preserve"> regardless of the number of</w:t>
            </w:r>
            <w:r>
              <w:t xml:space="preserve"> times they were </w:t>
            </w:r>
            <w:r w:rsidRPr="00905B96">
              <w:t>admi</w:t>
            </w:r>
            <w:r>
              <w:t>tted</w:t>
            </w:r>
            <w:r w:rsidRPr="00905B96">
              <w:t>.</w:t>
            </w:r>
          </w:p>
        </w:tc>
      </w:tr>
    </w:tbl>
    <w:p w:rsidR="00F55CA2" w:rsidRDefault="005C4314" w:rsidP="00DB4206">
      <w:pPr>
        <w:pStyle w:val="KeyFindings"/>
      </w:pPr>
      <w:r>
        <w:t xml:space="preserve">Some individuals stay at the Hospital throughout the </w:t>
      </w:r>
      <w:r w:rsidR="002718B0">
        <w:t xml:space="preserve">entire </w:t>
      </w:r>
      <w:r>
        <w:t xml:space="preserve">year </w:t>
      </w:r>
      <w:r w:rsidR="002718B0">
        <w:t>or</w:t>
      </w:r>
      <w:r w:rsidR="00501B2A">
        <w:t xml:space="preserve"> </w:t>
      </w:r>
      <w:r w:rsidR="002718B0">
        <w:t xml:space="preserve">longer </w:t>
      </w:r>
      <w:r>
        <w:t xml:space="preserve">while others stay only for a couple days to a couple of months.  Some individuals </w:t>
      </w:r>
      <w:r w:rsidR="002718B0">
        <w:t xml:space="preserve">may </w:t>
      </w:r>
      <w:r>
        <w:t xml:space="preserve">receive inpatient care </w:t>
      </w:r>
      <w:r w:rsidR="00501B2A">
        <w:t xml:space="preserve">at SEH </w:t>
      </w:r>
      <w:r>
        <w:t xml:space="preserve">only once </w:t>
      </w:r>
      <w:r w:rsidR="002718B0">
        <w:t xml:space="preserve">in their lives </w:t>
      </w:r>
      <w:r w:rsidR="00501B2A">
        <w:t xml:space="preserve">while </w:t>
      </w:r>
      <w:r>
        <w:t xml:space="preserve">some may be admitted </w:t>
      </w:r>
      <w:r w:rsidR="00501B2A">
        <w:t xml:space="preserve">to SEH </w:t>
      </w:r>
      <w:r w:rsidR="003B00E3">
        <w:t>multiple times</w:t>
      </w:r>
      <w:r>
        <w:t xml:space="preserve"> during the same year.  </w:t>
      </w:r>
      <w:r w:rsidR="000C2168">
        <w:t xml:space="preserve">The Hospital monitors the number of </w:t>
      </w:r>
      <w:r w:rsidR="00DB4206" w:rsidRPr="002718B0">
        <w:rPr>
          <w:i/>
        </w:rPr>
        <w:t>unique</w:t>
      </w:r>
      <w:r w:rsidR="00DB4206" w:rsidRPr="00FE37B0">
        <w:t xml:space="preserve"> individuals </w:t>
      </w:r>
      <w:r w:rsidR="003B00E3">
        <w:t xml:space="preserve">that were </w:t>
      </w:r>
      <w:r w:rsidR="00DB4206" w:rsidRPr="00FE37B0">
        <w:t xml:space="preserve">served </w:t>
      </w:r>
      <w:r w:rsidR="00DB4206">
        <w:t xml:space="preserve">at the Hospital at least one day </w:t>
      </w:r>
      <w:r w:rsidR="00B35FD7">
        <w:t xml:space="preserve">during </w:t>
      </w:r>
      <w:r w:rsidR="002E5D91">
        <w:t>each</w:t>
      </w:r>
      <w:r w:rsidR="00B35FD7">
        <w:t xml:space="preserve"> fiscal year</w:t>
      </w:r>
      <w:r w:rsidR="002E5D91">
        <w:t xml:space="preserve">.  During FY14, the Hospital served a total of 636 unique </w:t>
      </w:r>
      <w:r w:rsidR="009C1BB0">
        <w:t>IICs</w:t>
      </w:r>
      <w:r w:rsidR="002E5D91">
        <w:t>.  This is</w:t>
      </w:r>
      <w:r w:rsidR="002718B0">
        <w:t xml:space="preserve"> </w:t>
      </w:r>
      <w:r w:rsidR="002E5D91">
        <w:t xml:space="preserve">an increase </w:t>
      </w:r>
      <w:r w:rsidR="00DB4206">
        <w:t>from 618 in FY13</w:t>
      </w:r>
      <w:r w:rsidR="006457BD">
        <w:t xml:space="preserve">, </w:t>
      </w:r>
      <w:r w:rsidR="00D45A32">
        <w:t xml:space="preserve">reflecting </w:t>
      </w:r>
      <w:r w:rsidR="002E5D91">
        <w:t>the same trend of ADC and total patient days.</w:t>
      </w:r>
    </w:p>
    <w:p w:rsidR="00DB4206" w:rsidRPr="00FE37B0" w:rsidRDefault="00CD4A99" w:rsidP="00DB4206">
      <w:pPr>
        <w:pStyle w:val="KeyFindings"/>
      </w:pPr>
      <w:r>
        <w:t xml:space="preserve">The total number of unique individuals served on a monthly basis </w:t>
      </w:r>
      <w:r w:rsidR="00A36D10">
        <w:t xml:space="preserve">was </w:t>
      </w:r>
      <w:r>
        <w:t xml:space="preserve">300 </w:t>
      </w:r>
      <w:r w:rsidR="00A36D10">
        <w:t>or</w:t>
      </w:r>
      <w:r>
        <w:t xml:space="preserve"> above for two-thirds </w:t>
      </w:r>
      <w:r w:rsidR="00DB4206">
        <w:t xml:space="preserve">of </w:t>
      </w:r>
      <w:r>
        <w:t xml:space="preserve">FY14, </w:t>
      </w:r>
      <w:r w:rsidR="00A36D10">
        <w:t>including all of the six months in</w:t>
      </w:r>
      <w:r>
        <w:t xml:space="preserve"> the second half of the year</w:t>
      </w:r>
      <w:r w:rsidR="003B00E3">
        <w:t>.  During these last six (6) months of FY14,</w:t>
      </w:r>
      <w:r w:rsidR="002718B0">
        <w:t xml:space="preserve"> the Hospital received a high</w:t>
      </w:r>
      <w:r w:rsidR="00DB4206">
        <w:t xml:space="preserve"> </w:t>
      </w:r>
      <w:r w:rsidR="002718B0">
        <w:t xml:space="preserve">number of admissions, a key </w:t>
      </w:r>
      <w:r w:rsidR="003B00E3">
        <w:t>factor c</w:t>
      </w:r>
      <w:r w:rsidR="002718B0">
        <w:t xml:space="preserve">ontributing </w:t>
      </w:r>
      <w:r w:rsidR="003B00E3">
        <w:t>to</w:t>
      </w:r>
      <w:r w:rsidR="002718B0">
        <w:t xml:space="preserve"> the increase in census and patient days</w:t>
      </w:r>
      <w:r w:rsidR="00501B2A">
        <w:t xml:space="preserve"> in FY14</w:t>
      </w:r>
      <w:r w:rsidR="002718B0">
        <w:t>.  More detail</w:t>
      </w:r>
      <w:r w:rsidR="00C872E0">
        <w:t>ed</w:t>
      </w:r>
      <w:r w:rsidR="002718B0">
        <w:t xml:space="preserve"> </w:t>
      </w:r>
      <w:r w:rsidR="00EF2271">
        <w:t xml:space="preserve">data and </w:t>
      </w:r>
      <w:r w:rsidR="002718B0">
        <w:t xml:space="preserve">analysis </w:t>
      </w:r>
      <w:r w:rsidR="00EF2271">
        <w:t xml:space="preserve">on the admission trend </w:t>
      </w:r>
      <w:r w:rsidR="002718B0">
        <w:t xml:space="preserve">will be presented </w:t>
      </w:r>
      <w:r w:rsidR="00512E4C">
        <w:t xml:space="preserve">below </w:t>
      </w:r>
      <w:r w:rsidR="002718B0">
        <w:t xml:space="preserve">in </w:t>
      </w:r>
      <w:r w:rsidR="00EF2271">
        <w:t xml:space="preserve">section </w:t>
      </w:r>
      <w:r w:rsidR="003D0D30" w:rsidRPr="003D0D30">
        <w:rPr>
          <w:i/>
        </w:rPr>
        <w:fldChar w:fldCharType="begin"/>
      </w:r>
      <w:r w:rsidR="003D0D30" w:rsidRPr="003D0D30">
        <w:rPr>
          <w:i/>
        </w:rPr>
        <w:instrText xml:space="preserve"> REF _Ref416343235 \w \h </w:instrText>
      </w:r>
      <w:r w:rsidR="003D0D30">
        <w:rPr>
          <w:i/>
        </w:rPr>
        <w:instrText xml:space="preserve"> \* MERGEFORMAT </w:instrText>
      </w:r>
      <w:r w:rsidR="003D0D30" w:rsidRPr="003D0D30">
        <w:rPr>
          <w:i/>
        </w:rPr>
      </w:r>
      <w:r w:rsidR="003D0D30" w:rsidRPr="003D0D30">
        <w:rPr>
          <w:i/>
        </w:rPr>
        <w:fldChar w:fldCharType="separate"/>
      </w:r>
      <w:r w:rsidR="007E3DB6">
        <w:rPr>
          <w:i/>
        </w:rPr>
        <w:t>I.3</w:t>
      </w:r>
      <w:r w:rsidR="003D0D30" w:rsidRPr="003D0D30">
        <w:rPr>
          <w:i/>
        </w:rPr>
        <w:fldChar w:fldCharType="end"/>
      </w:r>
      <w:r w:rsidR="003D0D30" w:rsidRPr="003D0D30">
        <w:rPr>
          <w:i/>
        </w:rPr>
        <w:t xml:space="preserve"> </w:t>
      </w:r>
      <w:r w:rsidR="003D0D30" w:rsidRPr="003D0D30">
        <w:rPr>
          <w:i/>
        </w:rPr>
        <w:fldChar w:fldCharType="begin"/>
      </w:r>
      <w:r w:rsidR="003D0D30" w:rsidRPr="003D0D30">
        <w:rPr>
          <w:i/>
        </w:rPr>
        <w:instrText xml:space="preserve"> REF _Ref416343247 \h </w:instrText>
      </w:r>
      <w:r w:rsidR="003D0D30">
        <w:rPr>
          <w:i/>
        </w:rPr>
        <w:instrText xml:space="preserve"> \* MERGEFORMAT </w:instrText>
      </w:r>
      <w:r w:rsidR="003D0D30" w:rsidRPr="003D0D30">
        <w:rPr>
          <w:i/>
        </w:rPr>
      </w:r>
      <w:r w:rsidR="003D0D30" w:rsidRPr="003D0D30">
        <w:rPr>
          <w:i/>
        </w:rPr>
        <w:fldChar w:fldCharType="separate"/>
      </w:r>
      <w:r w:rsidR="007E3DB6" w:rsidRPr="007E3DB6">
        <w:rPr>
          <w:i/>
        </w:rPr>
        <w:t>Admissions</w:t>
      </w:r>
      <w:r w:rsidR="003D0D30" w:rsidRPr="003D0D30">
        <w:rPr>
          <w:i/>
        </w:rPr>
        <w:fldChar w:fldCharType="end"/>
      </w:r>
      <w:r w:rsidR="003D0D30">
        <w:t xml:space="preserve"> </w:t>
      </w:r>
      <w:r w:rsidR="007E1FB5">
        <w:fldChar w:fldCharType="begin"/>
      </w:r>
      <w:r w:rsidR="007E1FB5">
        <w:instrText xml:space="preserve"> PAGEREF _Ref413061620 \p \h </w:instrText>
      </w:r>
      <w:r w:rsidR="007E1FB5">
        <w:fldChar w:fldCharType="separate"/>
      </w:r>
      <w:r w:rsidR="007E3DB6">
        <w:rPr>
          <w:noProof/>
        </w:rPr>
        <w:t>on page 11</w:t>
      </w:r>
      <w:r w:rsidR="007E1FB5">
        <w:fldChar w:fldCharType="end"/>
      </w:r>
      <w:r w:rsidR="007E1FB5">
        <w:t>.</w:t>
      </w:r>
    </w:p>
    <w:p w:rsidR="00DB4206" w:rsidRDefault="00DB4206" w:rsidP="00DB4206">
      <w:pPr>
        <w:pStyle w:val="BodyText"/>
        <w:keepNext/>
        <w:spacing w:before="120"/>
      </w:pPr>
      <w:bookmarkStart w:id="16" w:name="_Toc281982827"/>
      <w:bookmarkStart w:id="17" w:name="_Toc316898019"/>
      <w:bookmarkStart w:id="18" w:name="_Toc416357955"/>
      <w:r w:rsidRPr="00E269E2">
        <w:rPr>
          <w:rStyle w:val="FigureChar"/>
        </w:rPr>
        <w:t xml:space="preserve">Table </w:t>
      </w:r>
      <w:r w:rsidRPr="00344689">
        <w:rPr>
          <w:rStyle w:val="FigureChar"/>
        </w:rPr>
        <w:fldChar w:fldCharType="begin"/>
      </w:r>
      <w:r w:rsidRPr="00344689">
        <w:rPr>
          <w:rStyle w:val="FigureChar"/>
        </w:rPr>
        <w:instrText xml:space="preserve"> SEQ Table \* ARABIC </w:instrText>
      </w:r>
      <w:r w:rsidRPr="00344689">
        <w:rPr>
          <w:rStyle w:val="FigureChar"/>
        </w:rPr>
        <w:fldChar w:fldCharType="separate"/>
      </w:r>
      <w:r w:rsidR="007E3DB6">
        <w:rPr>
          <w:rStyle w:val="FigureChar"/>
          <w:noProof/>
        </w:rPr>
        <w:t>2</w:t>
      </w:r>
      <w:r w:rsidRPr="00344689">
        <w:rPr>
          <w:rStyle w:val="FigureChar"/>
        </w:rPr>
        <w:fldChar w:fldCharType="end"/>
      </w:r>
      <w:r w:rsidRPr="00E269E2">
        <w:rPr>
          <w:rStyle w:val="FigureChar"/>
        </w:rPr>
        <w:t xml:space="preserve">. </w:t>
      </w:r>
      <w:r>
        <w:rPr>
          <w:rStyle w:val="FigureChar"/>
        </w:rPr>
        <w:t>Total Patient Days</w:t>
      </w:r>
      <w:r w:rsidRPr="00E269E2">
        <w:rPr>
          <w:rStyle w:val="FigureChar"/>
        </w:rPr>
        <w:t xml:space="preserve"> </w:t>
      </w:r>
      <w:r>
        <w:rPr>
          <w:rStyle w:val="FigureChar"/>
        </w:rPr>
        <w:t xml:space="preserve">and Number of Unique Individuals Served by Month </w:t>
      </w:r>
      <w:r w:rsidRPr="00E269E2">
        <w:rPr>
          <w:rStyle w:val="FigureChar"/>
        </w:rPr>
        <w:t>(</w:t>
      </w:r>
      <w:r>
        <w:rPr>
          <w:rStyle w:val="FigureChar"/>
        </w:rPr>
        <w:t>FY14</w:t>
      </w:r>
      <w:r w:rsidRPr="00E269E2">
        <w:rPr>
          <w:rStyle w:val="FigureChar"/>
        </w:rPr>
        <w:t>)</w:t>
      </w:r>
      <w:bookmarkEnd w:id="16"/>
      <w:bookmarkEnd w:id="17"/>
      <w:bookmarkEnd w:id="18"/>
    </w:p>
    <w:tbl>
      <w:tblPr>
        <w:tblpPr w:leftFromText="180" w:rightFromText="180" w:vertAnchor="text" w:tblpX="-175" w:tblpY="1"/>
        <w:tblOverlap w:val="never"/>
        <w:tblW w:w="10472"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710"/>
        <w:gridCol w:w="672"/>
        <w:gridCol w:w="672"/>
        <w:gridCol w:w="673"/>
        <w:gridCol w:w="672"/>
        <w:gridCol w:w="672"/>
        <w:gridCol w:w="673"/>
        <w:gridCol w:w="672"/>
        <w:gridCol w:w="672"/>
        <w:gridCol w:w="673"/>
        <w:gridCol w:w="672"/>
        <w:gridCol w:w="672"/>
        <w:gridCol w:w="673"/>
        <w:gridCol w:w="694"/>
      </w:tblGrid>
      <w:tr w:rsidR="00DB4206" w:rsidRPr="00936EB1" w:rsidTr="00B72C93">
        <w:trPr>
          <w:trHeight w:val="300"/>
        </w:trPr>
        <w:tc>
          <w:tcPr>
            <w:tcW w:w="1710" w:type="dxa"/>
            <w:tcBorders>
              <w:top w:val="single" w:sz="4" w:space="0" w:color="548DD4"/>
              <w:left w:val="single" w:sz="4" w:space="0" w:color="548DD4"/>
              <w:bottom w:val="single" w:sz="4" w:space="0" w:color="4F81BD" w:themeColor="accent1"/>
              <w:right w:val="single" w:sz="4" w:space="0" w:color="548DD4"/>
            </w:tcBorders>
            <w:shd w:val="clear" w:color="auto" w:fill="C6D9F1"/>
            <w:noWrap/>
            <w:vAlign w:val="center"/>
          </w:tcPr>
          <w:p w:rsidR="00DB4206" w:rsidRPr="00936EB1" w:rsidRDefault="00DB4206" w:rsidP="00080C04">
            <w:pPr>
              <w:jc w:val="center"/>
              <w:rPr>
                <w:rFonts w:eastAsia="Batang" w:cs="Arial"/>
                <w:color w:val="1F497D"/>
                <w:sz w:val="20"/>
              </w:rPr>
            </w:pPr>
          </w:p>
        </w:tc>
        <w:tc>
          <w:tcPr>
            <w:tcW w:w="672" w:type="dxa"/>
            <w:tcBorders>
              <w:top w:val="single" w:sz="4" w:space="0" w:color="548DD4"/>
              <w:left w:val="single" w:sz="4" w:space="0" w:color="548DD4"/>
              <w:bottom w:val="single" w:sz="4" w:space="0" w:color="4F81BD" w:themeColor="accent1"/>
              <w:right w:val="nil"/>
            </w:tcBorders>
            <w:shd w:val="clear" w:color="auto" w:fill="C6D9F1"/>
            <w:noWrap/>
            <w:vAlign w:val="center"/>
          </w:tcPr>
          <w:p w:rsidR="00DB4206" w:rsidRPr="00936EB1" w:rsidRDefault="00DB4206" w:rsidP="00080C04">
            <w:pPr>
              <w:jc w:val="center"/>
              <w:rPr>
                <w:rFonts w:cs="Arial"/>
                <w:b/>
                <w:bCs/>
                <w:color w:val="1F497D"/>
                <w:sz w:val="20"/>
              </w:rPr>
            </w:pPr>
            <w:r w:rsidRPr="00936EB1">
              <w:rPr>
                <w:rFonts w:cs="Arial"/>
                <w:b/>
                <w:bCs/>
                <w:color w:val="1F497D"/>
                <w:sz w:val="20"/>
              </w:rPr>
              <w:t>Oct-</w:t>
            </w:r>
            <w:r>
              <w:rPr>
                <w:rFonts w:cs="Arial"/>
                <w:b/>
                <w:bCs/>
                <w:color w:val="1F497D"/>
                <w:sz w:val="20"/>
              </w:rPr>
              <w:t>13</w:t>
            </w:r>
          </w:p>
        </w:tc>
        <w:tc>
          <w:tcPr>
            <w:tcW w:w="672" w:type="dxa"/>
            <w:tcBorders>
              <w:top w:val="single" w:sz="4" w:space="0" w:color="548DD4"/>
              <w:left w:val="nil"/>
              <w:bottom w:val="single" w:sz="4" w:space="0" w:color="4F81BD" w:themeColor="accent1"/>
              <w:right w:val="nil"/>
            </w:tcBorders>
            <w:shd w:val="clear" w:color="auto" w:fill="C6D9F1"/>
            <w:noWrap/>
            <w:vAlign w:val="center"/>
          </w:tcPr>
          <w:p w:rsidR="00DB4206" w:rsidRPr="00936EB1" w:rsidRDefault="00DB4206" w:rsidP="00080C04">
            <w:pPr>
              <w:jc w:val="center"/>
              <w:rPr>
                <w:rFonts w:cs="Arial"/>
                <w:b/>
                <w:bCs/>
                <w:color w:val="1F497D"/>
                <w:sz w:val="20"/>
              </w:rPr>
            </w:pPr>
            <w:r w:rsidRPr="00936EB1">
              <w:rPr>
                <w:rFonts w:cs="Arial"/>
                <w:b/>
                <w:bCs/>
                <w:color w:val="1F497D"/>
                <w:sz w:val="20"/>
              </w:rPr>
              <w:t>Nov-</w:t>
            </w:r>
            <w:r>
              <w:rPr>
                <w:rFonts w:cs="Arial"/>
                <w:b/>
                <w:bCs/>
                <w:color w:val="1F497D"/>
                <w:sz w:val="20"/>
              </w:rPr>
              <w:t>13</w:t>
            </w:r>
          </w:p>
        </w:tc>
        <w:tc>
          <w:tcPr>
            <w:tcW w:w="673" w:type="dxa"/>
            <w:tcBorders>
              <w:top w:val="single" w:sz="4" w:space="0" w:color="548DD4"/>
              <w:left w:val="nil"/>
              <w:bottom w:val="single" w:sz="4" w:space="0" w:color="4F81BD" w:themeColor="accent1"/>
              <w:right w:val="nil"/>
            </w:tcBorders>
            <w:shd w:val="clear" w:color="auto" w:fill="C6D9F1"/>
            <w:noWrap/>
            <w:vAlign w:val="center"/>
          </w:tcPr>
          <w:p w:rsidR="00DB4206" w:rsidRPr="00936EB1" w:rsidRDefault="00DB4206" w:rsidP="00080C04">
            <w:pPr>
              <w:jc w:val="center"/>
              <w:rPr>
                <w:rFonts w:cs="Arial"/>
                <w:b/>
                <w:bCs/>
                <w:color w:val="1F497D"/>
                <w:sz w:val="20"/>
              </w:rPr>
            </w:pPr>
            <w:r w:rsidRPr="00936EB1">
              <w:rPr>
                <w:rFonts w:cs="Arial"/>
                <w:b/>
                <w:bCs/>
                <w:color w:val="1F497D"/>
                <w:sz w:val="20"/>
              </w:rPr>
              <w:t>Dec-</w:t>
            </w:r>
            <w:r>
              <w:rPr>
                <w:rFonts w:cs="Arial"/>
                <w:b/>
                <w:bCs/>
                <w:color w:val="1F497D"/>
                <w:sz w:val="20"/>
              </w:rPr>
              <w:t>13</w:t>
            </w:r>
          </w:p>
        </w:tc>
        <w:tc>
          <w:tcPr>
            <w:tcW w:w="672" w:type="dxa"/>
            <w:tcBorders>
              <w:top w:val="single" w:sz="4" w:space="0" w:color="548DD4"/>
              <w:left w:val="nil"/>
              <w:bottom w:val="single" w:sz="4" w:space="0" w:color="4F81BD" w:themeColor="accent1"/>
              <w:right w:val="nil"/>
            </w:tcBorders>
            <w:shd w:val="clear" w:color="auto" w:fill="C6D9F1"/>
            <w:noWrap/>
            <w:vAlign w:val="center"/>
          </w:tcPr>
          <w:p w:rsidR="00DB4206" w:rsidRPr="00936EB1" w:rsidRDefault="00DB4206" w:rsidP="00080C04">
            <w:pPr>
              <w:jc w:val="center"/>
              <w:rPr>
                <w:rFonts w:cs="Arial"/>
                <w:b/>
                <w:bCs/>
                <w:color w:val="1F497D"/>
                <w:sz w:val="20"/>
              </w:rPr>
            </w:pPr>
            <w:r w:rsidRPr="00936EB1">
              <w:rPr>
                <w:rFonts w:cs="Arial"/>
                <w:b/>
                <w:bCs/>
                <w:color w:val="1F497D"/>
                <w:sz w:val="20"/>
              </w:rPr>
              <w:t>Jan-1</w:t>
            </w:r>
            <w:r>
              <w:rPr>
                <w:rFonts w:cs="Arial"/>
                <w:b/>
                <w:bCs/>
                <w:color w:val="1F497D"/>
                <w:sz w:val="20"/>
              </w:rPr>
              <w:t>4</w:t>
            </w:r>
          </w:p>
        </w:tc>
        <w:tc>
          <w:tcPr>
            <w:tcW w:w="672" w:type="dxa"/>
            <w:tcBorders>
              <w:top w:val="single" w:sz="4" w:space="0" w:color="548DD4"/>
              <w:left w:val="nil"/>
              <w:bottom w:val="single" w:sz="4" w:space="0" w:color="4F81BD" w:themeColor="accent1"/>
              <w:right w:val="nil"/>
            </w:tcBorders>
            <w:shd w:val="clear" w:color="auto" w:fill="C6D9F1"/>
            <w:noWrap/>
            <w:vAlign w:val="center"/>
          </w:tcPr>
          <w:p w:rsidR="00DB4206" w:rsidRPr="00936EB1" w:rsidRDefault="00DB4206" w:rsidP="00080C04">
            <w:pPr>
              <w:jc w:val="center"/>
              <w:rPr>
                <w:rFonts w:cs="Arial"/>
                <w:b/>
                <w:bCs/>
                <w:color w:val="1F497D"/>
                <w:sz w:val="20"/>
              </w:rPr>
            </w:pPr>
            <w:r w:rsidRPr="00936EB1">
              <w:rPr>
                <w:rFonts w:cs="Arial"/>
                <w:b/>
                <w:bCs/>
                <w:color w:val="1F497D"/>
                <w:sz w:val="20"/>
              </w:rPr>
              <w:t>Feb-1</w:t>
            </w:r>
            <w:r>
              <w:rPr>
                <w:rFonts w:cs="Arial"/>
                <w:b/>
                <w:bCs/>
                <w:color w:val="1F497D"/>
                <w:sz w:val="20"/>
              </w:rPr>
              <w:t>4</w:t>
            </w:r>
          </w:p>
        </w:tc>
        <w:tc>
          <w:tcPr>
            <w:tcW w:w="673" w:type="dxa"/>
            <w:tcBorders>
              <w:top w:val="single" w:sz="4" w:space="0" w:color="548DD4"/>
              <w:left w:val="nil"/>
              <w:bottom w:val="single" w:sz="4" w:space="0" w:color="4F81BD" w:themeColor="accent1"/>
              <w:right w:val="nil"/>
            </w:tcBorders>
            <w:shd w:val="clear" w:color="auto" w:fill="C6D9F1"/>
            <w:noWrap/>
            <w:vAlign w:val="center"/>
          </w:tcPr>
          <w:p w:rsidR="00DB4206" w:rsidRPr="00936EB1" w:rsidRDefault="00DB4206" w:rsidP="00080C04">
            <w:pPr>
              <w:jc w:val="center"/>
              <w:rPr>
                <w:rFonts w:cs="Arial"/>
                <w:b/>
                <w:bCs/>
                <w:color w:val="1F497D"/>
                <w:sz w:val="20"/>
              </w:rPr>
            </w:pPr>
            <w:r w:rsidRPr="00936EB1">
              <w:rPr>
                <w:rFonts w:cs="Arial"/>
                <w:b/>
                <w:bCs/>
                <w:color w:val="1F497D"/>
                <w:sz w:val="20"/>
              </w:rPr>
              <w:t>Mar-1</w:t>
            </w:r>
            <w:r>
              <w:rPr>
                <w:rFonts w:cs="Arial"/>
                <w:b/>
                <w:bCs/>
                <w:color w:val="1F497D"/>
                <w:sz w:val="20"/>
              </w:rPr>
              <w:t>4</w:t>
            </w:r>
          </w:p>
        </w:tc>
        <w:tc>
          <w:tcPr>
            <w:tcW w:w="672" w:type="dxa"/>
            <w:tcBorders>
              <w:top w:val="single" w:sz="4" w:space="0" w:color="548DD4"/>
              <w:left w:val="nil"/>
              <w:bottom w:val="single" w:sz="4" w:space="0" w:color="4F81BD" w:themeColor="accent1"/>
              <w:right w:val="nil"/>
            </w:tcBorders>
            <w:shd w:val="clear" w:color="auto" w:fill="C6D9F1"/>
            <w:noWrap/>
            <w:vAlign w:val="center"/>
          </w:tcPr>
          <w:p w:rsidR="00DB4206" w:rsidRPr="00936EB1" w:rsidRDefault="00DB4206" w:rsidP="00080C04">
            <w:pPr>
              <w:jc w:val="center"/>
              <w:rPr>
                <w:rFonts w:cs="Arial"/>
                <w:b/>
                <w:bCs/>
                <w:color w:val="1F497D"/>
                <w:sz w:val="20"/>
              </w:rPr>
            </w:pPr>
            <w:r w:rsidRPr="00936EB1">
              <w:rPr>
                <w:rFonts w:cs="Arial"/>
                <w:b/>
                <w:bCs/>
                <w:color w:val="1F497D"/>
                <w:sz w:val="20"/>
              </w:rPr>
              <w:t>A</w:t>
            </w:r>
            <w:r>
              <w:rPr>
                <w:rFonts w:cs="Arial"/>
                <w:b/>
                <w:bCs/>
                <w:color w:val="1F497D"/>
                <w:sz w:val="20"/>
              </w:rPr>
              <w:t>p</w:t>
            </w:r>
            <w:r w:rsidRPr="00936EB1">
              <w:rPr>
                <w:rFonts w:cs="Arial"/>
                <w:b/>
                <w:bCs/>
                <w:color w:val="1F497D"/>
                <w:sz w:val="20"/>
              </w:rPr>
              <w:t>r-1</w:t>
            </w:r>
            <w:r>
              <w:rPr>
                <w:rFonts w:cs="Arial"/>
                <w:b/>
                <w:bCs/>
                <w:color w:val="1F497D"/>
                <w:sz w:val="20"/>
              </w:rPr>
              <w:t>4</w:t>
            </w:r>
          </w:p>
        </w:tc>
        <w:tc>
          <w:tcPr>
            <w:tcW w:w="672" w:type="dxa"/>
            <w:tcBorders>
              <w:top w:val="single" w:sz="4" w:space="0" w:color="548DD4"/>
              <w:left w:val="nil"/>
              <w:bottom w:val="single" w:sz="4" w:space="0" w:color="4F81BD" w:themeColor="accent1"/>
              <w:right w:val="nil"/>
            </w:tcBorders>
            <w:shd w:val="clear" w:color="auto" w:fill="C6D9F1"/>
            <w:noWrap/>
            <w:vAlign w:val="center"/>
          </w:tcPr>
          <w:p w:rsidR="00DB4206" w:rsidRPr="00936EB1" w:rsidRDefault="00DB4206" w:rsidP="00080C04">
            <w:pPr>
              <w:jc w:val="center"/>
              <w:rPr>
                <w:rFonts w:cs="Arial"/>
                <w:b/>
                <w:bCs/>
                <w:color w:val="1F497D"/>
                <w:sz w:val="20"/>
              </w:rPr>
            </w:pPr>
            <w:r w:rsidRPr="00936EB1">
              <w:rPr>
                <w:rFonts w:cs="Arial"/>
                <w:b/>
                <w:bCs/>
                <w:color w:val="1F497D"/>
                <w:sz w:val="20"/>
              </w:rPr>
              <w:t>May-1</w:t>
            </w:r>
            <w:r>
              <w:rPr>
                <w:rFonts w:cs="Arial"/>
                <w:b/>
                <w:bCs/>
                <w:color w:val="1F497D"/>
                <w:sz w:val="20"/>
              </w:rPr>
              <w:t>4</w:t>
            </w:r>
          </w:p>
        </w:tc>
        <w:tc>
          <w:tcPr>
            <w:tcW w:w="673" w:type="dxa"/>
            <w:tcBorders>
              <w:top w:val="single" w:sz="4" w:space="0" w:color="548DD4"/>
              <w:left w:val="nil"/>
              <w:bottom w:val="single" w:sz="4" w:space="0" w:color="4F81BD" w:themeColor="accent1"/>
              <w:right w:val="nil"/>
            </w:tcBorders>
            <w:shd w:val="clear" w:color="auto" w:fill="C6D9F1"/>
            <w:noWrap/>
            <w:vAlign w:val="center"/>
          </w:tcPr>
          <w:p w:rsidR="00DB4206" w:rsidRPr="00936EB1" w:rsidRDefault="00DB4206" w:rsidP="00080C04">
            <w:pPr>
              <w:jc w:val="center"/>
              <w:rPr>
                <w:rFonts w:cs="Arial"/>
                <w:b/>
                <w:bCs/>
                <w:color w:val="1F497D"/>
                <w:sz w:val="20"/>
              </w:rPr>
            </w:pPr>
            <w:r w:rsidRPr="00936EB1">
              <w:rPr>
                <w:rFonts w:cs="Arial"/>
                <w:b/>
                <w:bCs/>
                <w:color w:val="1F497D"/>
                <w:sz w:val="20"/>
              </w:rPr>
              <w:t>Jun-1</w:t>
            </w:r>
            <w:r>
              <w:rPr>
                <w:rFonts w:cs="Arial"/>
                <w:b/>
                <w:bCs/>
                <w:color w:val="1F497D"/>
                <w:sz w:val="20"/>
              </w:rPr>
              <w:t>4</w:t>
            </w:r>
          </w:p>
        </w:tc>
        <w:tc>
          <w:tcPr>
            <w:tcW w:w="672" w:type="dxa"/>
            <w:tcBorders>
              <w:top w:val="single" w:sz="4" w:space="0" w:color="548DD4"/>
              <w:left w:val="nil"/>
              <w:bottom w:val="single" w:sz="4" w:space="0" w:color="4F81BD" w:themeColor="accent1"/>
              <w:right w:val="nil"/>
            </w:tcBorders>
            <w:shd w:val="clear" w:color="auto" w:fill="C6D9F1"/>
            <w:noWrap/>
            <w:vAlign w:val="center"/>
          </w:tcPr>
          <w:p w:rsidR="00DB4206" w:rsidRPr="00936EB1" w:rsidRDefault="00DB4206" w:rsidP="00080C04">
            <w:pPr>
              <w:jc w:val="center"/>
              <w:rPr>
                <w:rFonts w:cs="Arial"/>
                <w:b/>
                <w:bCs/>
                <w:color w:val="1F497D"/>
                <w:sz w:val="20"/>
              </w:rPr>
            </w:pPr>
            <w:r w:rsidRPr="00936EB1">
              <w:rPr>
                <w:rFonts w:cs="Arial"/>
                <w:b/>
                <w:bCs/>
                <w:color w:val="1F497D"/>
                <w:sz w:val="20"/>
              </w:rPr>
              <w:t>Jul-1</w:t>
            </w:r>
            <w:r>
              <w:rPr>
                <w:rFonts w:cs="Arial"/>
                <w:b/>
                <w:bCs/>
                <w:color w:val="1F497D"/>
                <w:sz w:val="20"/>
              </w:rPr>
              <w:t>4</w:t>
            </w:r>
          </w:p>
        </w:tc>
        <w:tc>
          <w:tcPr>
            <w:tcW w:w="672" w:type="dxa"/>
            <w:tcBorders>
              <w:top w:val="single" w:sz="4" w:space="0" w:color="548DD4"/>
              <w:left w:val="nil"/>
              <w:bottom w:val="single" w:sz="4" w:space="0" w:color="4F81BD" w:themeColor="accent1"/>
              <w:right w:val="nil"/>
            </w:tcBorders>
            <w:shd w:val="clear" w:color="auto" w:fill="C6D9F1"/>
            <w:noWrap/>
            <w:vAlign w:val="center"/>
          </w:tcPr>
          <w:p w:rsidR="00DB4206" w:rsidRPr="00936EB1" w:rsidRDefault="00DB4206" w:rsidP="00080C04">
            <w:pPr>
              <w:jc w:val="center"/>
              <w:rPr>
                <w:rFonts w:cs="Arial"/>
                <w:b/>
                <w:bCs/>
                <w:color w:val="1F497D"/>
                <w:sz w:val="20"/>
              </w:rPr>
            </w:pPr>
            <w:r w:rsidRPr="00936EB1">
              <w:rPr>
                <w:rFonts w:cs="Arial"/>
                <w:b/>
                <w:bCs/>
                <w:color w:val="1F497D"/>
                <w:sz w:val="20"/>
              </w:rPr>
              <w:t>Aug-1</w:t>
            </w:r>
            <w:r>
              <w:rPr>
                <w:rFonts w:cs="Arial"/>
                <w:b/>
                <w:bCs/>
                <w:color w:val="1F497D"/>
                <w:sz w:val="20"/>
              </w:rPr>
              <w:t>4</w:t>
            </w:r>
          </w:p>
        </w:tc>
        <w:tc>
          <w:tcPr>
            <w:tcW w:w="673" w:type="dxa"/>
            <w:tcBorders>
              <w:top w:val="single" w:sz="4" w:space="0" w:color="548DD4"/>
              <w:left w:val="nil"/>
              <w:bottom w:val="single" w:sz="4" w:space="0" w:color="4F81BD" w:themeColor="accent1"/>
              <w:right w:val="single" w:sz="4" w:space="0" w:color="548DD4"/>
            </w:tcBorders>
            <w:shd w:val="clear" w:color="auto" w:fill="C6D9F1"/>
            <w:noWrap/>
            <w:vAlign w:val="center"/>
          </w:tcPr>
          <w:p w:rsidR="00DB4206" w:rsidRPr="00936EB1" w:rsidRDefault="00DB4206" w:rsidP="00080C04">
            <w:pPr>
              <w:jc w:val="center"/>
              <w:rPr>
                <w:rFonts w:cs="Arial"/>
                <w:b/>
                <w:bCs/>
                <w:color w:val="1F497D"/>
                <w:sz w:val="20"/>
              </w:rPr>
            </w:pPr>
            <w:r w:rsidRPr="00936EB1">
              <w:rPr>
                <w:rFonts w:cs="Arial"/>
                <w:b/>
                <w:bCs/>
                <w:color w:val="1F497D"/>
                <w:sz w:val="20"/>
              </w:rPr>
              <w:t>Sep-1</w:t>
            </w:r>
            <w:r>
              <w:rPr>
                <w:rFonts w:cs="Arial"/>
                <w:b/>
                <w:bCs/>
                <w:color w:val="1F497D"/>
                <w:sz w:val="20"/>
              </w:rPr>
              <w:t>4</w:t>
            </w:r>
          </w:p>
        </w:tc>
        <w:tc>
          <w:tcPr>
            <w:tcW w:w="694" w:type="dxa"/>
            <w:tcBorders>
              <w:top w:val="single" w:sz="4" w:space="0" w:color="548DD4"/>
              <w:left w:val="single" w:sz="4" w:space="0" w:color="548DD4"/>
              <w:bottom w:val="single" w:sz="4" w:space="0" w:color="4F81BD" w:themeColor="accent1"/>
              <w:right w:val="single" w:sz="4" w:space="0" w:color="548DD4"/>
            </w:tcBorders>
            <w:shd w:val="clear" w:color="auto" w:fill="C6D9F1"/>
            <w:vAlign w:val="center"/>
          </w:tcPr>
          <w:p w:rsidR="00DB4206" w:rsidRPr="00936EB1" w:rsidRDefault="00DB4206" w:rsidP="00080C04">
            <w:pPr>
              <w:jc w:val="center"/>
              <w:rPr>
                <w:rFonts w:cs="Arial"/>
                <w:b/>
                <w:bCs/>
                <w:color w:val="1F497D"/>
                <w:sz w:val="20"/>
              </w:rPr>
            </w:pPr>
            <w:r w:rsidRPr="00936EB1">
              <w:rPr>
                <w:rFonts w:cs="Arial"/>
                <w:b/>
                <w:bCs/>
                <w:color w:val="1F497D"/>
                <w:sz w:val="20"/>
              </w:rPr>
              <w:t>FY1</w:t>
            </w:r>
            <w:r>
              <w:rPr>
                <w:rFonts w:cs="Arial"/>
                <w:b/>
                <w:bCs/>
                <w:color w:val="1F497D"/>
                <w:sz w:val="20"/>
              </w:rPr>
              <w:t>4</w:t>
            </w:r>
          </w:p>
        </w:tc>
      </w:tr>
      <w:tr w:rsidR="00DB4206" w:rsidRPr="00936EB1" w:rsidTr="00B72C93">
        <w:trPr>
          <w:trHeight w:val="278"/>
        </w:trPr>
        <w:tc>
          <w:tcPr>
            <w:tcW w:w="1710" w:type="dxa"/>
            <w:tcBorders>
              <w:top w:val="single" w:sz="4" w:space="0" w:color="4F81BD" w:themeColor="accent1"/>
              <w:left w:val="single" w:sz="4" w:space="0" w:color="4F81BD" w:themeColor="accent1"/>
              <w:bottom w:val="dotted" w:sz="4" w:space="0" w:color="auto"/>
              <w:right w:val="single" w:sz="4" w:space="0" w:color="4F81BD" w:themeColor="accent1"/>
            </w:tcBorders>
            <w:shd w:val="clear" w:color="auto" w:fill="auto"/>
            <w:noWrap/>
            <w:vAlign w:val="center"/>
          </w:tcPr>
          <w:p w:rsidR="00DB4206" w:rsidRPr="00936EB1" w:rsidRDefault="00DB4206" w:rsidP="00080C04">
            <w:pPr>
              <w:rPr>
                <w:rFonts w:cs="Arial"/>
                <w:b/>
                <w:bCs/>
                <w:i/>
                <w:color w:val="1F497D"/>
                <w:sz w:val="20"/>
              </w:rPr>
            </w:pPr>
            <w:r w:rsidRPr="00936EB1">
              <w:rPr>
                <w:rFonts w:cs="Arial"/>
                <w:b/>
                <w:bCs/>
                <w:i/>
                <w:color w:val="1F497D"/>
                <w:sz w:val="20"/>
              </w:rPr>
              <w:t>Total Patient Days</w:t>
            </w:r>
          </w:p>
        </w:tc>
        <w:tc>
          <w:tcPr>
            <w:tcW w:w="672" w:type="dxa"/>
            <w:tcBorders>
              <w:top w:val="single" w:sz="4" w:space="0" w:color="4F81BD" w:themeColor="accent1"/>
              <w:left w:val="single" w:sz="4" w:space="0" w:color="4F81BD" w:themeColor="accent1"/>
              <w:bottom w:val="dotted" w:sz="4" w:space="0" w:color="auto"/>
              <w:right w:val="nil"/>
            </w:tcBorders>
            <w:shd w:val="clear" w:color="auto" w:fill="auto"/>
            <w:noWrap/>
            <w:vAlign w:val="center"/>
          </w:tcPr>
          <w:p w:rsidR="00DB4206" w:rsidRPr="001E6B2A" w:rsidRDefault="00DB4206" w:rsidP="00080C04">
            <w:pPr>
              <w:jc w:val="center"/>
              <w:rPr>
                <w:b/>
                <w:color w:val="365F91" w:themeColor="accent1" w:themeShade="BF"/>
                <w:sz w:val="20"/>
              </w:rPr>
            </w:pPr>
            <w:r w:rsidRPr="001E6B2A">
              <w:rPr>
                <w:b/>
                <w:color w:val="365F91" w:themeColor="accent1" w:themeShade="BF"/>
                <w:sz w:val="20"/>
              </w:rPr>
              <w:t>8101</w:t>
            </w:r>
          </w:p>
        </w:tc>
        <w:tc>
          <w:tcPr>
            <w:tcW w:w="672" w:type="dxa"/>
            <w:tcBorders>
              <w:top w:val="single" w:sz="4" w:space="0" w:color="4F81BD" w:themeColor="accent1"/>
              <w:left w:val="nil"/>
              <w:bottom w:val="dotted" w:sz="4" w:space="0" w:color="auto"/>
              <w:right w:val="nil"/>
            </w:tcBorders>
            <w:shd w:val="clear" w:color="auto" w:fill="auto"/>
            <w:noWrap/>
            <w:vAlign w:val="center"/>
          </w:tcPr>
          <w:p w:rsidR="00DB4206" w:rsidRPr="001E6B2A" w:rsidRDefault="00DB4206" w:rsidP="00080C04">
            <w:pPr>
              <w:jc w:val="center"/>
              <w:rPr>
                <w:b/>
                <w:color w:val="365F91" w:themeColor="accent1" w:themeShade="BF"/>
                <w:sz w:val="20"/>
              </w:rPr>
            </w:pPr>
            <w:r w:rsidRPr="001E6B2A">
              <w:rPr>
                <w:b/>
                <w:color w:val="365F91" w:themeColor="accent1" w:themeShade="BF"/>
                <w:sz w:val="20"/>
              </w:rPr>
              <w:t>7649</w:t>
            </w:r>
          </w:p>
        </w:tc>
        <w:tc>
          <w:tcPr>
            <w:tcW w:w="673" w:type="dxa"/>
            <w:tcBorders>
              <w:top w:val="single" w:sz="4" w:space="0" w:color="4F81BD" w:themeColor="accent1"/>
              <w:left w:val="nil"/>
              <w:bottom w:val="dotted" w:sz="4" w:space="0" w:color="auto"/>
              <w:right w:val="nil"/>
            </w:tcBorders>
            <w:shd w:val="clear" w:color="auto" w:fill="auto"/>
            <w:noWrap/>
            <w:vAlign w:val="center"/>
          </w:tcPr>
          <w:p w:rsidR="00DB4206" w:rsidRPr="001E6B2A" w:rsidRDefault="00DB4206" w:rsidP="00080C04">
            <w:pPr>
              <w:jc w:val="center"/>
              <w:rPr>
                <w:b/>
                <w:color w:val="365F91" w:themeColor="accent1" w:themeShade="BF"/>
                <w:sz w:val="20"/>
              </w:rPr>
            </w:pPr>
            <w:r w:rsidRPr="001E6B2A">
              <w:rPr>
                <w:b/>
                <w:color w:val="365F91" w:themeColor="accent1" w:themeShade="BF"/>
                <w:sz w:val="20"/>
              </w:rPr>
              <w:t>7844</w:t>
            </w:r>
          </w:p>
        </w:tc>
        <w:tc>
          <w:tcPr>
            <w:tcW w:w="672" w:type="dxa"/>
            <w:tcBorders>
              <w:top w:val="single" w:sz="4" w:space="0" w:color="4F81BD" w:themeColor="accent1"/>
              <w:left w:val="nil"/>
              <w:bottom w:val="dotted" w:sz="4" w:space="0" w:color="auto"/>
              <w:right w:val="nil"/>
            </w:tcBorders>
            <w:shd w:val="clear" w:color="auto" w:fill="auto"/>
            <w:noWrap/>
            <w:vAlign w:val="center"/>
          </w:tcPr>
          <w:p w:rsidR="00DB4206" w:rsidRPr="001E6B2A" w:rsidRDefault="00DB4206" w:rsidP="00080C04">
            <w:pPr>
              <w:jc w:val="center"/>
              <w:rPr>
                <w:b/>
                <w:color w:val="365F91" w:themeColor="accent1" w:themeShade="BF"/>
                <w:sz w:val="20"/>
              </w:rPr>
            </w:pPr>
            <w:r w:rsidRPr="001E6B2A">
              <w:rPr>
                <w:b/>
                <w:color w:val="365F91" w:themeColor="accent1" w:themeShade="BF"/>
                <w:sz w:val="20"/>
              </w:rPr>
              <w:t>8394</w:t>
            </w:r>
          </w:p>
        </w:tc>
        <w:tc>
          <w:tcPr>
            <w:tcW w:w="672" w:type="dxa"/>
            <w:tcBorders>
              <w:top w:val="single" w:sz="4" w:space="0" w:color="4F81BD" w:themeColor="accent1"/>
              <w:left w:val="nil"/>
              <w:bottom w:val="dotted" w:sz="4" w:space="0" w:color="auto"/>
              <w:right w:val="nil"/>
            </w:tcBorders>
            <w:shd w:val="clear" w:color="auto" w:fill="auto"/>
            <w:noWrap/>
            <w:vAlign w:val="center"/>
          </w:tcPr>
          <w:p w:rsidR="00DB4206" w:rsidRPr="001E6B2A" w:rsidRDefault="00DB4206" w:rsidP="00080C04">
            <w:pPr>
              <w:jc w:val="center"/>
              <w:rPr>
                <w:b/>
                <w:color w:val="365F91" w:themeColor="accent1" w:themeShade="BF"/>
                <w:sz w:val="20"/>
              </w:rPr>
            </w:pPr>
            <w:r w:rsidRPr="001E6B2A">
              <w:rPr>
                <w:b/>
                <w:color w:val="365F91" w:themeColor="accent1" w:themeShade="BF"/>
                <w:sz w:val="20"/>
              </w:rPr>
              <w:t>7514</w:t>
            </w:r>
          </w:p>
        </w:tc>
        <w:tc>
          <w:tcPr>
            <w:tcW w:w="673" w:type="dxa"/>
            <w:tcBorders>
              <w:top w:val="single" w:sz="4" w:space="0" w:color="4F81BD" w:themeColor="accent1"/>
              <w:left w:val="nil"/>
              <w:bottom w:val="dotted" w:sz="4" w:space="0" w:color="auto"/>
              <w:right w:val="nil"/>
            </w:tcBorders>
            <w:shd w:val="clear" w:color="auto" w:fill="auto"/>
            <w:noWrap/>
            <w:vAlign w:val="center"/>
          </w:tcPr>
          <w:p w:rsidR="00DB4206" w:rsidRPr="001E6B2A" w:rsidRDefault="00DB4206" w:rsidP="00080C04">
            <w:pPr>
              <w:jc w:val="center"/>
              <w:rPr>
                <w:b/>
                <w:color w:val="365F91" w:themeColor="accent1" w:themeShade="BF"/>
                <w:sz w:val="20"/>
              </w:rPr>
            </w:pPr>
            <w:r w:rsidRPr="001E6B2A">
              <w:rPr>
                <w:b/>
                <w:color w:val="365F91" w:themeColor="accent1" w:themeShade="BF"/>
                <w:sz w:val="20"/>
              </w:rPr>
              <w:t>8115</w:t>
            </w:r>
          </w:p>
        </w:tc>
        <w:tc>
          <w:tcPr>
            <w:tcW w:w="672" w:type="dxa"/>
            <w:tcBorders>
              <w:top w:val="single" w:sz="4" w:space="0" w:color="4F81BD" w:themeColor="accent1"/>
              <w:left w:val="nil"/>
              <w:bottom w:val="dotted" w:sz="4" w:space="0" w:color="auto"/>
              <w:right w:val="nil"/>
            </w:tcBorders>
            <w:shd w:val="clear" w:color="auto" w:fill="auto"/>
            <w:noWrap/>
            <w:vAlign w:val="center"/>
          </w:tcPr>
          <w:p w:rsidR="00DB4206" w:rsidRPr="001E6B2A" w:rsidRDefault="00DB4206" w:rsidP="00080C04">
            <w:pPr>
              <w:jc w:val="center"/>
              <w:rPr>
                <w:b/>
                <w:color w:val="365F91" w:themeColor="accent1" w:themeShade="BF"/>
                <w:sz w:val="20"/>
              </w:rPr>
            </w:pPr>
            <w:r w:rsidRPr="001E6B2A">
              <w:rPr>
                <w:b/>
                <w:color w:val="365F91" w:themeColor="accent1" w:themeShade="BF"/>
                <w:sz w:val="20"/>
              </w:rPr>
              <w:t>7789</w:t>
            </w:r>
          </w:p>
        </w:tc>
        <w:tc>
          <w:tcPr>
            <w:tcW w:w="672" w:type="dxa"/>
            <w:tcBorders>
              <w:top w:val="single" w:sz="4" w:space="0" w:color="4F81BD" w:themeColor="accent1"/>
              <w:left w:val="nil"/>
              <w:bottom w:val="dotted" w:sz="4" w:space="0" w:color="auto"/>
              <w:right w:val="nil"/>
            </w:tcBorders>
            <w:shd w:val="clear" w:color="auto" w:fill="auto"/>
            <w:noWrap/>
            <w:vAlign w:val="center"/>
          </w:tcPr>
          <w:p w:rsidR="00DB4206" w:rsidRPr="001E6B2A" w:rsidRDefault="00DB4206" w:rsidP="00080C04">
            <w:pPr>
              <w:jc w:val="center"/>
              <w:rPr>
                <w:b/>
                <w:color w:val="365F91" w:themeColor="accent1" w:themeShade="BF"/>
                <w:sz w:val="20"/>
              </w:rPr>
            </w:pPr>
            <w:r w:rsidRPr="001E6B2A">
              <w:rPr>
                <w:b/>
                <w:color w:val="365F91" w:themeColor="accent1" w:themeShade="BF"/>
                <w:sz w:val="20"/>
              </w:rPr>
              <w:t>8171</w:t>
            </w:r>
          </w:p>
        </w:tc>
        <w:tc>
          <w:tcPr>
            <w:tcW w:w="673" w:type="dxa"/>
            <w:tcBorders>
              <w:top w:val="single" w:sz="4" w:space="0" w:color="4F81BD" w:themeColor="accent1"/>
              <w:left w:val="nil"/>
              <w:bottom w:val="dotted" w:sz="4" w:space="0" w:color="auto"/>
              <w:right w:val="nil"/>
            </w:tcBorders>
            <w:shd w:val="clear" w:color="auto" w:fill="auto"/>
            <w:noWrap/>
            <w:vAlign w:val="center"/>
          </w:tcPr>
          <w:p w:rsidR="00DB4206" w:rsidRPr="001E6B2A" w:rsidRDefault="00DB4206" w:rsidP="00080C04">
            <w:pPr>
              <w:jc w:val="center"/>
              <w:rPr>
                <w:b/>
                <w:color w:val="365F91" w:themeColor="accent1" w:themeShade="BF"/>
                <w:sz w:val="20"/>
              </w:rPr>
            </w:pPr>
            <w:r w:rsidRPr="001E6B2A">
              <w:rPr>
                <w:b/>
                <w:color w:val="365F91" w:themeColor="accent1" w:themeShade="BF"/>
                <w:sz w:val="20"/>
              </w:rPr>
              <w:t>7941</w:t>
            </w:r>
          </w:p>
        </w:tc>
        <w:tc>
          <w:tcPr>
            <w:tcW w:w="672" w:type="dxa"/>
            <w:tcBorders>
              <w:top w:val="single" w:sz="4" w:space="0" w:color="4F81BD" w:themeColor="accent1"/>
              <w:left w:val="nil"/>
              <w:bottom w:val="dotted" w:sz="4" w:space="0" w:color="auto"/>
              <w:right w:val="nil"/>
            </w:tcBorders>
            <w:shd w:val="clear" w:color="auto" w:fill="auto"/>
            <w:noWrap/>
            <w:vAlign w:val="center"/>
          </w:tcPr>
          <w:p w:rsidR="00DB4206" w:rsidRPr="001E6B2A" w:rsidRDefault="00DB4206" w:rsidP="00080C04">
            <w:pPr>
              <w:jc w:val="center"/>
              <w:rPr>
                <w:b/>
                <w:color w:val="365F91" w:themeColor="accent1" w:themeShade="BF"/>
                <w:sz w:val="20"/>
              </w:rPr>
            </w:pPr>
            <w:r w:rsidRPr="001E6B2A">
              <w:rPr>
                <w:b/>
                <w:color w:val="365F91" w:themeColor="accent1" w:themeShade="BF"/>
                <w:sz w:val="20"/>
              </w:rPr>
              <w:t>8084</w:t>
            </w:r>
          </w:p>
        </w:tc>
        <w:tc>
          <w:tcPr>
            <w:tcW w:w="672" w:type="dxa"/>
            <w:tcBorders>
              <w:top w:val="single" w:sz="4" w:space="0" w:color="4F81BD" w:themeColor="accent1"/>
              <w:left w:val="nil"/>
              <w:bottom w:val="dotted" w:sz="4" w:space="0" w:color="auto"/>
              <w:right w:val="nil"/>
            </w:tcBorders>
            <w:shd w:val="clear" w:color="auto" w:fill="auto"/>
            <w:noWrap/>
            <w:vAlign w:val="center"/>
          </w:tcPr>
          <w:p w:rsidR="00DB4206" w:rsidRPr="001E6B2A" w:rsidRDefault="00DB4206" w:rsidP="00080C04">
            <w:pPr>
              <w:jc w:val="center"/>
              <w:rPr>
                <w:b/>
                <w:color w:val="365F91" w:themeColor="accent1" w:themeShade="BF"/>
                <w:sz w:val="20"/>
              </w:rPr>
            </w:pPr>
            <w:r w:rsidRPr="001E6B2A">
              <w:rPr>
                <w:b/>
                <w:color w:val="365F91" w:themeColor="accent1" w:themeShade="BF"/>
                <w:sz w:val="20"/>
              </w:rPr>
              <w:t>8277</w:t>
            </w:r>
          </w:p>
        </w:tc>
        <w:tc>
          <w:tcPr>
            <w:tcW w:w="673" w:type="dxa"/>
            <w:tcBorders>
              <w:top w:val="single" w:sz="4" w:space="0" w:color="4F81BD" w:themeColor="accent1"/>
              <w:left w:val="nil"/>
              <w:bottom w:val="dotted" w:sz="4" w:space="0" w:color="auto"/>
              <w:right w:val="single" w:sz="4" w:space="0" w:color="4F81BD" w:themeColor="accent1"/>
            </w:tcBorders>
            <w:shd w:val="clear" w:color="auto" w:fill="auto"/>
            <w:noWrap/>
            <w:vAlign w:val="center"/>
          </w:tcPr>
          <w:p w:rsidR="00DB4206" w:rsidRPr="001E6B2A" w:rsidRDefault="00DB4206" w:rsidP="00080C04">
            <w:pPr>
              <w:jc w:val="center"/>
              <w:rPr>
                <w:b/>
                <w:color w:val="365F91" w:themeColor="accent1" w:themeShade="BF"/>
                <w:sz w:val="20"/>
              </w:rPr>
            </w:pPr>
            <w:r w:rsidRPr="001E6B2A">
              <w:rPr>
                <w:b/>
                <w:color w:val="365F91" w:themeColor="accent1" w:themeShade="BF"/>
                <w:sz w:val="20"/>
              </w:rPr>
              <w:t>8326</w:t>
            </w:r>
          </w:p>
        </w:tc>
        <w:tc>
          <w:tcPr>
            <w:tcW w:w="694" w:type="dxa"/>
            <w:tcBorders>
              <w:top w:val="single" w:sz="4" w:space="0" w:color="4F81BD" w:themeColor="accent1"/>
              <w:left w:val="single" w:sz="4" w:space="0" w:color="4F81BD" w:themeColor="accent1"/>
              <w:bottom w:val="dotted" w:sz="4" w:space="0" w:color="auto"/>
              <w:right w:val="single" w:sz="4" w:space="0" w:color="4F81BD" w:themeColor="accent1"/>
            </w:tcBorders>
            <w:shd w:val="clear" w:color="auto" w:fill="auto"/>
            <w:vAlign w:val="center"/>
          </w:tcPr>
          <w:p w:rsidR="00DB4206" w:rsidRPr="00E64009" w:rsidRDefault="00DB4206" w:rsidP="00080C04">
            <w:pPr>
              <w:adjustRightInd w:val="0"/>
              <w:snapToGrid w:val="0"/>
              <w:jc w:val="center"/>
              <w:rPr>
                <w:rFonts w:cs="Arial"/>
                <w:b/>
                <w:bCs/>
                <w:color w:val="365F91" w:themeColor="accent1" w:themeShade="BF"/>
                <w:sz w:val="20"/>
              </w:rPr>
            </w:pPr>
            <w:r>
              <w:rPr>
                <w:rFonts w:cs="Arial"/>
                <w:b/>
                <w:bCs/>
                <w:color w:val="365F91" w:themeColor="accent1" w:themeShade="BF"/>
                <w:sz w:val="20"/>
              </w:rPr>
              <w:t>96,205</w:t>
            </w:r>
          </w:p>
        </w:tc>
      </w:tr>
      <w:tr w:rsidR="00DB4206" w:rsidRPr="0031194A" w:rsidTr="00B72C93">
        <w:trPr>
          <w:trHeight w:val="170"/>
        </w:trPr>
        <w:tc>
          <w:tcPr>
            <w:tcW w:w="1710" w:type="dxa"/>
            <w:tcBorders>
              <w:top w:val="dotted" w:sz="4" w:space="0" w:color="auto"/>
              <w:left w:val="single" w:sz="4" w:space="0" w:color="4F81BD" w:themeColor="accent1"/>
              <w:bottom w:val="single" w:sz="4" w:space="0" w:color="4F81BD" w:themeColor="accent1"/>
              <w:right w:val="single" w:sz="4" w:space="0" w:color="4F81BD" w:themeColor="accent1"/>
            </w:tcBorders>
            <w:shd w:val="clear" w:color="auto" w:fill="auto"/>
            <w:noWrap/>
            <w:vAlign w:val="center"/>
          </w:tcPr>
          <w:p w:rsidR="00DB4206" w:rsidRPr="0031194A" w:rsidRDefault="00DB4206" w:rsidP="00080C04">
            <w:pPr>
              <w:rPr>
                <w:rFonts w:cs="Arial"/>
                <w:b/>
                <w:bCs/>
                <w:i/>
                <w:color w:val="1F497D"/>
                <w:sz w:val="20"/>
              </w:rPr>
            </w:pPr>
            <w:r w:rsidRPr="0031194A">
              <w:rPr>
                <w:rFonts w:cs="Arial"/>
                <w:b/>
                <w:bCs/>
                <w:i/>
                <w:color w:val="1F497D"/>
                <w:sz w:val="20"/>
              </w:rPr>
              <w:t>Total Unique</w:t>
            </w:r>
            <w:r>
              <w:rPr>
                <w:rFonts w:cs="Arial"/>
                <w:b/>
                <w:bCs/>
                <w:i/>
                <w:color w:val="1F497D"/>
                <w:sz w:val="20"/>
              </w:rPr>
              <w:t xml:space="preserve"> IICs</w:t>
            </w:r>
            <w:r w:rsidRPr="0031194A">
              <w:rPr>
                <w:rFonts w:cs="Arial"/>
                <w:b/>
                <w:bCs/>
                <w:i/>
                <w:color w:val="1F497D"/>
                <w:sz w:val="20"/>
              </w:rPr>
              <w:t xml:space="preserve">* </w:t>
            </w:r>
          </w:p>
        </w:tc>
        <w:tc>
          <w:tcPr>
            <w:tcW w:w="672" w:type="dxa"/>
            <w:tcBorders>
              <w:top w:val="dotted" w:sz="4" w:space="0" w:color="auto"/>
              <w:left w:val="single" w:sz="4" w:space="0" w:color="4F81BD" w:themeColor="accent1"/>
              <w:bottom w:val="single" w:sz="4" w:space="0" w:color="4F81BD" w:themeColor="accent1"/>
              <w:right w:val="nil"/>
            </w:tcBorders>
            <w:shd w:val="clear" w:color="auto" w:fill="auto"/>
            <w:noWrap/>
            <w:vAlign w:val="center"/>
          </w:tcPr>
          <w:p w:rsidR="00DB4206" w:rsidRPr="001E6B2A" w:rsidRDefault="00DB4206" w:rsidP="00080C04">
            <w:pPr>
              <w:jc w:val="center"/>
              <w:rPr>
                <w:b/>
                <w:color w:val="365F91" w:themeColor="accent1" w:themeShade="BF"/>
                <w:sz w:val="20"/>
              </w:rPr>
            </w:pPr>
            <w:r w:rsidRPr="001E6B2A">
              <w:rPr>
                <w:b/>
                <w:color w:val="365F91" w:themeColor="accent1" w:themeShade="BF"/>
                <w:sz w:val="20"/>
              </w:rPr>
              <w:t>299</w:t>
            </w:r>
          </w:p>
        </w:tc>
        <w:tc>
          <w:tcPr>
            <w:tcW w:w="672" w:type="dxa"/>
            <w:tcBorders>
              <w:top w:val="dotted" w:sz="4" w:space="0" w:color="auto"/>
              <w:left w:val="nil"/>
              <w:bottom w:val="single" w:sz="4" w:space="0" w:color="4F81BD" w:themeColor="accent1"/>
              <w:right w:val="nil"/>
            </w:tcBorders>
            <w:shd w:val="clear" w:color="auto" w:fill="auto"/>
            <w:noWrap/>
            <w:vAlign w:val="center"/>
          </w:tcPr>
          <w:p w:rsidR="00DB4206" w:rsidRPr="001E6B2A" w:rsidRDefault="00DB4206" w:rsidP="00080C04">
            <w:pPr>
              <w:jc w:val="center"/>
              <w:rPr>
                <w:b/>
                <w:color w:val="365F91" w:themeColor="accent1" w:themeShade="BF"/>
                <w:sz w:val="20"/>
              </w:rPr>
            </w:pPr>
            <w:r w:rsidRPr="001E6B2A">
              <w:rPr>
                <w:b/>
                <w:color w:val="365F91" w:themeColor="accent1" w:themeShade="BF"/>
                <w:sz w:val="20"/>
              </w:rPr>
              <w:t>291</w:t>
            </w:r>
          </w:p>
        </w:tc>
        <w:tc>
          <w:tcPr>
            <w:tcW w:w="673" w:type="dxa"/>
            <w:tcBorders>
              <w:top w:val="dotted" w:sz="4" w:space="0" w:color="auto"/>
              <w:left w:val="nil"/>
              <w:bottom w:val="single" w:sz="4" w:space="0" w:color="4F81BD" w:themeColor="accent1"/>
              <w:right w:val="nil"/>
            </w:tcBorders>
            <w:shd w:val="clear" w:color="auto" w:fill="auto"/>
            <w:noWrap/>
            <w:vAlign w:val="center"/>
          </w:tcPr>
          <w:p w:rsidR="00DB4206" w:rsidRPr="001E6B2A" w:rsidRDefault="00DB4206" w:rsidP="00080C04">
            <w:pPr>
              <w:jc w:val="center"/>
              <w:rPr>
                <w:b/>
                <w:color w:val="365F91" w:themeColor="accent1" w:themeShade="BF"/>
                <w:sz w:val="20"/>
              </w:rPr>
            </w:pPr>
            <w:r w:rsidRPr="001E6B2A">
              <w:rPr>
                <w:b/>
                <w:color w:val="365F91" w:themeColor="accent1" w:themeShade="BF"/>
                <w:sz w:val="20"/>
              </w:rPr>
              <w:t>287</w:t>
            </w:r>
          </w:p>
        </w:tc>
        <w:tc>
          <w:tcPr>
            <w:tcW w:w="672" w:type="dxa"/>
            <w:tcBorders>
              <w:top w:val="dotted" w:sz="4" w:space="0" w:color="auto"/>
              <w:left w:val="nil"/>
              <w:bottom w:val="single" w:sz="4" w:space="0" w:color="4F81BD" w:themeColor="accent1"/>
              <w:right w:val="nil"/>
            </w:tcBorders>
            <w:shd w:val="clear" w:color="auto" w:fill="auto"/>
            <w:noWrap/>
            <w:vAlign w:val="center"/>
          </w:tcPr>
          <w:p w:rsidR="00DB4206" w:rsidRPr="001E6B2A" w:rsidRDefault="00DB4206" w:rsidP="00080C04">
            <w:pPr>
              <w:jc w:val="center"/>
              <w:rPr>
                <w:b/>
                <w:color w:val="365F91" w:themeColor="accent1" w:themeShade="BF"/>
                <w:sz w:val="20"/>
              </w:rPr>
            </w:pPr>
            <w:r w:rsidRPr="001E6B2A">
              <w:rPr>
                <w:b/>
                <w:color w:val="365F91" w:themeColor="accent1" w:themeShade="BF"/>
                <w:sz w:val="20"/>
              </w:rPr>
              <w:t>306</w:t>
            </w:r>
          </w:p>
        </w:tc>
        <w:tc>
          <w:tcPr>
            <w:tcW w:w="672" w:type="dxa"/>
            <w:tcBorders>
              <w:top w:val="dotted" w:sz="4" w:space="0" w:color="auto"/>
              <w:left w:val="nil"/>
              <w:bottom w:val="single" w:sz="4" w:space="0" w:color="4F81BD" w:themeColor="accent1"/>
              <w:right w:val="nil"/>
            </w:tcBorders>
            <w:shd w:val="clear" w:color="auto" w:fill="auto"/>
            <w:noWrap/>
            <w:vAlign w:val="center"/>
          </w:tcPr>
          <w:p w:rsidR="00DB4206" w:rsidRPr="001E6B2A" w:rsidRDefault="00DB4206" w:rsidP="00080C04">
            <w:pPr>
              <w:jc w:val="center"/>
              <w:rPr>
                <w:b/>
                <w:color w:val="365F91" w:themeColor="accent1" w:themeShade="BF"/>
                <w:sz w:val="20"/>
              </w:rPr>
            </w:pPr>
            <w:r w:rsidRPr="001E6B2A">
              <w:rPr>
                <w:b/>
                <w:color w:val="365F91" w:themeColor="accent1" w:themeShade="BF"/>
                <w:sz w:val="20"/>
              </w:rPr>
              <w:t>300</w:t>
            </w:r>
          </w:p>
        </w:tc>
        <w:tc>
          <w:tcPr>
            <w:tcW w:w="673" w:type="dxa"/>
            <w:tcBorders>
              <w:top w:val="dotted" w:sz="4" w:space="0" w:color="auto"/>
              <w:left w:val="nil"/>
              <w:bottom w:val="single" w:sz="4" w:space="0" w:color="4F81BD" w:themeColor="accent1"/>
              <w:right w:val="nil"/>
            </w:tcBorders>
            <w:shd w:val="clear" w:color="auto" w:fill="auto"/>
            <w:noWrap/>
            <w:vAlign w:val="center"/>
          </w:tcPr>
          <w:p w:rsidR="00DB4206" w:rsidRPr="001E6B2A" w:rsidRDefault="00DB4206" w:rsidP="00080C04">
            <w:pPr>
              <w:jc w:val="center"/>
              <w:rPr>
                <w:b/>
                <w:color w:val="365F91" w:themeColor="accent1" w:themeShade="BF"/>
                <w:sz w:val="20"/>
              </w:rPr>
            </w:pPr>
            <w:r w:rsidRPr="001E6B2A">
              <w:rPr>
                <w:b/>
                <w:color w:val="365F91" w:themeColor="accent1" w:themeShade="BF"/>
                <w:sz w:val="20"/>
              </w:rPr>
              <w:t>299</w:t>
            </w:r>
          </w:p>
        </w:tc>
        <w:tc>
          <w:tcPr>
            <w:tcW w:w="672" w:type="dxa"/>
            <w:tcBorders>
              <w:top w:val="dotted" w:sz="4" w:space="0" w:color="auto"/>
              <w:left w:val="nil"/>
              <w:bottom w:val="single" w:sz="4" w:space="0" w:color="4F81BD" w:themeColor="accent1"/>
              <w:right w:val="nil"/>
            </w:tcBorders>
            <w:shd w:val="clear" w:color="auto" w:fill="auto"/>
            <w:noWrap/>
            <w:vAlign w:val="center"/>
          </w:tcPr>
          <w:p w:rsidR="00DB4206" w:rsidRPr="001E6B2A" w:rsidRDefault="00DB4206" w:rsidP="00080C04">
            <w:pPr>
              <w:jc w:val="center"/>
              <w:rPr>
                <w:b/>
                <w:color w:val="365F91" w:themeColor="accent1" w:themeShade="BF"/>
                <w:sz w:val="20"/>
              </w:rPr>
            </w:pPr>
            <w:r w:rsidRPr="001E6B2A">
              <w:rPr>
                <w:b/>
                <w:color w:val="365F91" w:themeColor="accent1" w:themeShade="BF"/>
                <w:sz w:val="20"/>
              </w:rPr>
              <w:t>315</w:t>
            </w:r>
          </w:p>
        </w:tc>
        <w:tc>
          <w:tcPr>
            <w:tcW w:w="672" w:type="dxa"/>
            <w:tcBorders>
              <w:top w:val="dotted" w:sz="4" w:space="0" w:color="auto"/>
              <w:left w:val="nil"/>
              <w:bottom w:val="single" w:sz="4" w:space="0" w:color="4F81BD" w:themeColor="accent1"/>
              <w:right w:val="nil"/>
            </w:tcBorders>
            <w:shd w:val="clear" w:color="auto" w:fill="auto"/>
            <w:noWrap/>
            <w:vAlign w:val="center"/>
          </w:tcPr>
          <w:p w:rsidR="00DB4206" w:rsidRPr="001E6B2A" w:rsidRDefault="00DB4206" w:rsidP="00080C04">
            <w:pPr>
              <w:jc w:val="center"/>
              <w:rPr>
                <w:b/>
                <w:color w:val="365F91" w:themeColor="accent1" w:themeShade="BF"/>
                <w:sz w:val="20"/>
              </w:rPr>
            </w:pPr>
            <w:r w:rsidRPr="001E6B2A">
              <w:rPr>
                <w:b/>
                <w:color w:val="365F91" w:themeColor="accent1" w:themeShade="BF"/>
                <w:sz w:val="20"/>
              </w:rPr>
              <w:t>306</w:t>
            </w:r>
          </w:p>
        </w:tc>
        <w:tc>
          <w:tcPr>
            <w:tcW w:w="673" w:type="dxa"/>
            <w:tcBorders>
              <w:top w:val="dotted" w:sz="4" w:space="0" w:color="auto"/>
              <w:left w:val="nil"/>
              <w:bottom w:val="single" w:sz="4" w:space="0" w:color="4F81BD" w:themeColor="accent1"/>
              <w:right w:val="nil"/>
            </w:tcBorders>
            <w:shd w:val="clear" w:color="auto" w:fill="auto"/>
            <w:noWrap/>
            <w:vAlign w:val="center"/>
          </w:tcPr>
          <w:p w:rsidR="00DB4206" w:rsidRPr="001E6B2A" w:rsidRDefault="00DB4206" w:rsidP="00080C04">
            <w:pPr>
              <w:jc w:val="center"/>
              <w:rPr>
                <w:b/>
                <w:color w:val="365F91" w:themeColor="accent1" w:themeShade="BF"/>
                <w:sz w:val="20"/>
              </w:rPr>
            </w:pPr>
            <w:r w:rsidRPr="001E6B2A">
              <w:rPr>
                <w:b/>
                <w:color w:val="365F91" w:themeColor="accent1" w:themeShade="BF"/>
                <w:sz w:val="20"/>
              </w:rPr>
              <w:t>300</w:t>
            </w:r>
          </w:p>
        </w:tc>
        <w:tc>
          <w:tcPr>
            <w:tcW w:w="672" w:type="dxa"/>
            <w:tcBorders>
              <w:top w:val="dotted" w:sz="4" w:space="0" w:color="auto"/>
              <w:left w:val="nil"/>
              <w:bottom w:val="single" w:sz="4" w:space="0" w:color="4F81BD" w:themeColor="accent1"/>
              <w:right w:val="nil"/>
            </w:tcBorders>
            <w:shd w:val="clear" w:color="auto" w:fill="auto"/>
            <w:noWrap/>
            <w:vAlign w:val="center"/>
          </w:tcPr>
          <w:p w:rsidR="00DB4206" w:rsidRPr="001E6B2A" w:rsidRDefault="00DB4206" w:rsidP="00080C04">
            <w:pPr>
              <w:jc w:val="center"/>
              <w:rPr>
                <w:b/>
                <w:color w:val="365F91" w:themeColor="accent1" w:themeShade="BF"/>
                <w:sz w:val="20"/>
              </w:rPr>
            </w:pPr>
            <w:r w:rsidRPr="001E6B2A">
              <w:rPr>
                <w:b/>
                <w:color w:val="365F91" w:themeColor="accent1" w:themeShade="BF"/>
                <w:sz w:val="20"/>
              </w:rPr>
              <w:t>305</w:t>
            </w:r>
          </w:p>
        </w:tc>
        <w:tc>
          <w:tcPr>
            <w:tcW w:w="672" w:type="dxa"/>
            <w:tcBorders>
              <w:top w:val="dotted" w:sz="4" w:space="0" w:color="auto"/>
              <w:left w:val="nil"/>
              <w:bottom w:val="single" w:sz="4" w:space="0" w:color="4F81BD" w:themeColor="accent1"/>
              <w:right w:val="nil"/>
            </w:tcBorders>
            <w:shd w:val="clear" w:color="auto" w:fill="auto"/>
            <w:noWrap/>
            <w:vAlign w:val="center"/>
          </w:tcPr>
          <w:p w:rsidR="00DB4206" w:rsidRPr="001E6B2A" w:rsidRDefault="00DB4206" w:rsidP="00080C04">
            <w:pPr>
              <w:jc w:val="center"/>
              <w:rPr>
                <w:b/>
                <w:color w:val="365F91" w:themeColor="accent1" w:themeShade="BF"/>
                <w:sz w:val="20"/>
              </w:rPr>
            </w:pPr>
            <w:r w:rsidRPr="001E6B2A">
              <w:rPr>
                <w:b/>
                <w:color w:val="365F91" w:themeColor="accent1" w:themeShade="BF"/>
                <w:sz w:val="20"/>
              </w:rPr>
              <w:t>312</w:t>
            </w:r>
          </w:p>
        </w:tc>
        <w:tc>
          <w:tcPr>
            <w:tcW w:w="673" w:type="dxa"/>
            <w:tcBorders>
              <w:top w:val="dotted" w:sz="4" w:space="0" w:color="auto"/>
              <w:left w:val="nil"/>
              <w:bottom w:val="single" w:sz="4" w:space="0" w:color="4F81BD" w:themeColor="accent1"/>
              <w:right w:val="single" w:sz="4" w:space="0" w:color="4F81BD" w:themeColor="accent1"/>
            </w:tcBorders>
            <w:shd w:val="clear" w:color="auto" w:fill="auto"/>
            <w:noWrap/>
            <w:vAlign w:val="center"/>
          </w:tcPr>
          <w:p w:rsidR="00DB4206" w:rsidRPr="001E6B2A" w:rsidRDefault="00DB4206" w:rsidP="00080C04">
            <w:pPr>
              <w:jc w:val="center"/>
              <w:rPr>
                <w:b/>
                <w:color w:val="365F91" w:themeColor="accent1" w:themeShade="BF"/>
                <w:sz w:val="20"/>
              </w:rPr>
            </w:pPr>
            <w:r w:rsidRPr="001E6B2A">
              <w:rPr>
                <w:b/>
                <w:color w:val="365F91" w:themeColor="accent1" w:themeShade="BF"/>
                <w:sz w:val="20"/>
              </w:rPr>
              <w:t>312</w:t>
            </w:r>
          </w:p>
        </w:tc>
        <w:tc>
          <w:tcPr>
            <w:tcW w:w="694" w:type="dxa"/>
            <w:tcBorders>
              <w:top w:val="dotted" w:sz="4" w:space="0" w:color="auto"/>
              <w:left w:val="single" w:sz="4" w:space="0" w:color="4F81BD" w:themeColor="accent1"/>
              <w:bottom w:val="single" w:sz="4" w:space="0" w:color="4F81BD" w:themeColor="accent1"/>
              <w:right w:val="single" w:sz="4" w:space="0" w:color="4F81BD" w:themeColor="accent1"/>
            </w:tcBorders>
            <w:shd w:val="clear" w:color="auto" w:fill="auto"/>
            <w:vAlign w:val="center"/>
          </w:tcPr>
          <w:p w:rsidR="00DB4206" w:rsidRPr="00626679" w:rsidRDefault="00DB4206" w:rsidP="005673E2">
            <w:pPr>
              <w:jc w:val="center"/>
              <w:rPr>
                <w:rFonts w:cs="Arial"/>
                <w:b/>
                <w:bCs/>
                <w:color w:val="365F91" w:themeColor="accent1" w:themeShade="BF"/>
                <w:sz w:val="20"/>
              </w:rPr>
            </w:pPr>
            <w:r>
              <w:rPr>
                <w:rFonts w:cs="Arial"/>
                <w:b/>
                <w:bCs/>
                <w:color w:val="365F91" w:themeColor="accent1" w:themeShade="BF"/>
                <w:sz w:val="20"/>
              </w:rPr>
              <w:t>636*</w:t>
            </w:r>
          </w:p>
        </w:tc>
      </w:tr>
    </w:tbl>
    <w:p w:rsidR="00DB4206" w:rsidRDefault="00DB4206" w:rsidP="00DB4206">
      <w:pPr>
        <w:pStyle w:val="FootnoteStyle1"/>
      </w:pPr>
      <w:r>
        <w:t>*</w:t>
      </w:r>
      <w:r>
        <w:tab/>
        <w:t xml:space="preserve">This is not the sum of monthly numbers but the total number of unique individuals served at the </w:t>
      </w:r>
      <w:r w:rsidR="00C32A4E">
        <w:t>H</w:t>
      </w:r>
      <w:r>
        <w:t>ospital at least one day during FY14.</w:t>
      </w:r>
    </w:p>
    <w:tbl>
      <w:tblPr>
        <w:tblpPr w:leftFromText="187" w:rightFromText="187" w:vertAnchor="text" w:horzAnchor="margin" w:tblpXSpec="right" w:tblpY="295"/>
        <w:tblOverlap w:val="never"/>
        <w:tblW w:w="5058" w:type="dxa"/>
        <w:tblLayout w:type="fixed"/>
        <w:tblLook w:val="01E0" w:firstRow="1" w:lastRow="1" w:firstColumn="1" w:lastColumn="1" w:noHBand="0" w:noVBand="0"/>
      </w:tblPr>
      <w:tblGrid>
        <w:gridCol w:w="5058"/>
      </w:tblGrid>
      <w:tr w:rsidR="00910110" w:rsidTr="00910110">
        <w:trPr>
          <w:cantSplit/>
        </w:trPr>
        <w:tc>
          <w:tcPr>
            <w:tcW w:w="5058" w:type="dxa"/>
          </w:tcPr>
          <w:p w:rsidR="00910110" w:rsidRDefault="00910110" w:rsidP="00910110">
            <w:pPr>
              <w:pStyle w:val="BodyText"/>
              <w:keepNext/>
              <w:spacing w:before="120"/>
              <w:ind w:left="900" w:hanging="900"/>
            </w:pPr>
            <w:bookmarkStart w:id="19" w:name="_Toc386095056"/>
            <w:bookmarkStart w:id="20" w:name="_Toc416357887"/>
            <w:bookmarkStart w:id="21" w:name="_Toc386095015"/>
            <w:r w:rsidRPr="00650386">
              <w:rPr>
                <w:rStyle w:val="FigureChar"/>
              </w:rPr>
              <w:t xml:space="preserve">Figure </w:t>
            </w:r>
            <w:r w:rsidRPr="00650386">
              <w:rPr>
                <w:rStyle w:val="FigureChar"/>
              </w:rPr>
              <w:fldChar w:fldCharType="begin"/>
            </w:r>
            <w:r w:rsidRPr="00650386">
              <w:rPr>
                <w:rStyle w:val="FigureChar"/>
              </w:rPr>
              <w:instrText xml:space="preserve"> SEQ Figure \* ARABIC </w:instrText>
            </w:r>
            <w:r w:rsidRPr="00650386">
              <w:rPr>
                <w:rStyle w:val="FigureChar"/>
              </w:rPr>
              <w:fldChar w:fldCharType="separate"/>
            </w:r>
            <w:r w:rsidR="007E3DB6">
              <w:rPr>
                <w:rStyle w:val="FigureChar"/>
                <w:noProof/>
              </w:rPr>
              <w:t>2</w:t>
            </w:r>
            <w:r w:rsidRPr="00650386">
              <w:rPr>
                <w:rStyle w:val="FigureChar"/>
              </w:rPr>
              <w:fldChar w:fldCharType="end"/>
            </w:r>
            <w:r w:rsidRPr="00650386">
              <w:rPr>
                <w:rStyle w:val="FigureChar"/>
              </w:rPr>
              <w:t xml:space="preserve">. </w:t>
            </w:r>
            <w:r>
              <w:rPr>
                <w:rStyle w:val="FigureChar"/>
              </w:rPr>
              <w:t>Trend of Legal Status for Individuals in Care (09/30/10 ~ 09/30/14</w:t>
            </w:r>
            <w:r w:rsidRPr="00650386">
              <w:rPr>
                <w:rStyle w:val="FigureChar"/>
              </w:rPr>
              <w:t>)</w:t>
            </w:r>
            <w:bookmarkEnd w:id="19"/>
            <w:bookmarkEnd w:id="20"/>
          </w:p>
          <w:p w:rsidR="00910110" w:rsidRPr="002254CD" w:rsidRDefault="00910110" w:rsidP="00910110">
            <w:pPr>
              <w:pStyle w:val="BodyText"/>
            </w:pPr>
            <w:r>
              <w:rPr>
                <w:noProof/>
                <w:lang w:eastAsia="en-US"/>
              </w:rPr>
              <w:drawing>
                <wp:inline distT="0" distB="0" distL="0" distR="0" wp14:anchorId="391E575E" wp14:editId="5C0A8DC2">
                  <wp:extent cx="3174521" cy="2277373"/>
                  <wp:effectExtent l="0" t="0" r="6985" b="889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bl>
    <w:p w:rsidR="00DB4206" w:rsidRPr="00D760F8" w:rsidRDefault="00DB4206" w:rsidP="00DB4206">
      <w:pPr>
        <w:pStyle w:val="Heading2"/>
      </w:pPr>
      <w:bookmarkStart w:id="22" w:name="_Toc416357849"/>
      <w:r w:rsidRPr="00D760F8">
        <w:t>Census</w:t>
      </w:r>
      <w:r>
        <w:t xml:space="preserve"> by Legal Status</w:t>
      </w:r>
      <w:bookmarkEnd w:id="21"/>
      <w:bookmarkEnd w:id="22"/>
    </w:p>
    <w:p w:rsidR="00910110" w:rsidRDefault="00DB4206" w:rsidP="00DB4206">
      <w:pPr>
        <w:pStyle w:val="KeyFindings"/>
      </w:pPr>
      <w:r>
        <w:t>On the last day of FY14, the Hospital was serving a total of 278 individuals in care.  Of those, 121 or 44% were in a voluntary or civil commitment legal status (</w:t>
      </w:r>
      <w:r w:rsidRPr="00A14D5F">
        <w:rPr>
          <w:i/>
        </w:rPr>
        <w:t>Civil</w:t>
      </w:r>
      <w:r>
        <w:t>), 67 or 24% were those sent by the Court for competency evaluation</w:t>
      </w:r>
      <w:r w:rsidR="00F8299C">
        <w:t>s</w:t>
      </w:r>
      <w:r>
        <w:t xml:space="preserve"> prior to their trials (</w:t>
      </w:r>
      <w:r w:rsidRPr="00A14D5F">
        <w:rPr>
          <w:i/>
        </w:rPr>
        <w:t>Forensic Pre-trial</w:t>
      </w:r>
      <w:r>
        <w:t>)</w:t>
      </w:r>
      <w:r w:rsidR="003B00E3">
        <w:t>.  T</w:t>
      </w:r>
      <w:r>
        <w:t>he remaining 90 or 32% were those adjudicated ‘N</w:t>
      </w:r>
      <w:r w:rsidRPr="00C10ADF">
        <w:t xml:space="preserve">ot </w:t>
      </w:r>
      <w:r>
        <w:t>G</w:t>
      </w:r>
      <w:r w:rsidRPr="00C10ADF">
        <w:t xml:space="preserve">uilty by </w:t>
      </w:r>
      <w:r>
        <w:t>R</w:t>
      </w:r>
      <w:r w:rsidRPr="00C10ADF">
        <w:t xml:space="preserve">eason of </w:t>
      </w:r>
      <w:r>
        <w:t>I</w:t>
      </w:r>
      <w:r w:rsidRPr="00C10ADF">
        <w:t>nsanity" (</w:t>
      </w:r>
      <w:r w:rsidRPr="00A14D5F">
        <w:rPr>
          <w:i/>
        </w:rPr>
        <w:t>NGBRI</w:t>
      </w:r>
      <w:r w:rsidRPr="00C10ADF">
        <w:t>)</w:t>
      </w:r>
      <w:r>
        <w:t xml:space="preserve"> by the court (</w:t>
      </w:r>
      <w:r w:rsidRPr="00A14D5F">
        <w:rPr>
          <w:i/>
        </w:rPr>
        <w:t>Forensic Post-trial</w:t>
      </w:r>
      <w:r>
        <w:t>).</w:t>
      </w:r>
    </w:p>
    <w:p w:rsidR="00502BEE" w:rsidRDefault="00435F01" w:rsidP="00DB4206">
      <w:pPr>
        <w:pStyle w:val="KeyFindings"/>
      </w:pPr>
      <w:r>
        <w:t xml:space="preserve">It is challenging to assess </w:t>
      </w:r>
      <w:r w:rsidR="009C1BB0">
        <w:t xml:space="preserve">and interpret </w:t>
      </w:r>
      <w:r>
        <w:t>the trend</w:t>
      </w:r>
      <w:r w:rsidR="009C1BB0">
        <w:t xml:space="preserve"> </w:t>
      </w:r>
      <w:r w:rsidR="00C872E0">
        <w:t xml:space="preserve">with </w:t>
      </w:r>
      <w:r>
        <w:t>regard to t</w:t>
      </w:r>
      <w:r w:rsidR="00DB4206">
        <w:t xml:space="preserve">he proportion of individuals </w:t>
      </w:r>
      <w:r w:rsidR="009C1BB0">
        <w:t xml:space="preserve">remaining </w:t>
      </w:r>
      <w:r w:rsidR="00DB4206">
        <w:t>in care by legal status</w:t>
      </w:r>
      <w:r w:rsidR="009C1BB0">
        <w:t xml:space="preserve"> </w:t>
      </w:r>
      <w:r>
        <w:t xml:space="preserve">since it </w:t>
      </w:r>
      <w:r w:rsidR="00385D2C">
        <w:t>varies</w:t>
      </w:r>
      <w:r w:rsidR="004D15C7">
        <w:t xml:space="preserve"> day by day and month by month</w:t>
      </w:r>
      <w:r>
        <w:t xml:space="preserve"> </w:t>
      </w:r>
      <w:r w:rsidR="00385D2C">
        <w:t xml:space="preserve">due to frequent </w:t>
      </w:r>
      <w:r w:rsidR="00385D2C">
        <w:lastRenderedPageBreak/>
        <w:t xml:space="preserve">fluctuations in the </w:t>
      </w:r>
      <w:r w:rsidR="00FE00E7">
        <w:t xml:space="preserve">number </w:t>
      </w:r>
      <w:r w:rsidR="00385D2C">
        <w:t xml:space="preserve">of </w:t>
      </w:r>
      <w:r>
        <w:t>admissions and discharges</w:t>
      </w:r>
      <w:r w:rsidR="004D15C7">
        <w:t xml:space="preserve">.  Despite that, </w:t>
      </w:r>
      <w:r>
        <w:t xml:space="preserve">our data </w:t>
      </w:r>
      <w:r w:rsidR="004D15C7">
        <w:t xml:space="preserve">over the past several years suggests that the proportion of individuals </w:t>
      </w:r>
      <w:r w:rsidR="00B16F1C">
        <w:t>with</w:t>
      </w:r>
      <w:r w:rsidR="00A7785C">
        <w:t xml:space="preserve"> a</w:t>
      </w:r>
      <w:r w:rsidR="004D15C7">
        <w:t xml:space="preserve"> </w:t>
      </w:r>
      <w:r w:rsidR="00A7785C">
        <w:t>p</w:t>
      </w:r>
      <w:r w:rsidR="004D15C7" w:rsidRPr="00A7785C">
        <w:t>re-trial</w:t>
      </w:r>
      <w:r w:rsidR="004D15C7">
        <w:t xml:space="preserve"> legal status increased ove</w:t>
      </w:r>
      <w:r>
        <w:t xml:space="preserve">r </w:t>
      </w:r>
      <w:r w:rsidR="003E40D2">
        <w:t>time</w:t>
      </w:r>
      <w:r w:rsidR="00502BEE">
        <w:t>:</w:t>
      </w:r>
      <w:r w:rsidR="003E40D2">
        <w:t xml:space="preserve"> </w:t>
      </w:r>
      <w:r w:rsidR="00502BEE">
        <w:t>a</w:t>
      </w:r>
      <w:r w:rsidR="003E40D2">
        <w:t xml:space="preserve">s of September 2010, the Hospital was serving a total of 311 </w:t>
      </w:r>
      <w:r w:rsidR="00C62398">
        <w:t>IICs</w:t>
      </w:r>
      <w:r w:rsidR="003E40D2">
        <w:t xml:space="preserve">, and of those, 18% </w:t>
      </w:r>
      <w:r w:rsidR="00B16F1C">
        <w:t xml:space="preserve">had </w:t>
      </w:r>
      <w:r w:rsidR="00A7785C">
        <w:t>a pre-trial</w:t>
      </w:r>
      <w:r w:rsidR="003E40D2">
        <w:t xml:space="preserve"> legal status.  The proportion of </w:t>
      </w:r>
      <w:r w:rsidR="00A7785C">
        <w:t xml:space="preserve">the </w:t>
      </w:r>
      <w:r w:rsidR="003E40D2" w:rsidRPr="003E40D2">
        <w:rPr>
          <w:i/>
        </w:rPr>
        <w:t xml:space="preserve">Pre-trial </w:t>
      </w:r>
      <w:r w:rsidR="003E40D2">
        <w:t>population increased to 24% as of September 30</w:t>
      </w:r>
      <w:r w:rsidR="001A71F8">
        <w:t>,</w:t>
      </w:r>
      <w:r w:rsidR="003E40D2">
        <w:t xml:space="preserve"> 2014.  </w:t>
      </w:r>
    </w:p>
    <w:p w:rsidR="004D15C7" w:rsidRDefault="00251733" w:rsidP="00DB4206">
      <w:pPr>
        <w:pStyle w:val="KeyFindings"/>
      </w:pPr>
      <w:r>
        <w:t>T</w:t>
      </w:r>
      <w:r w:rsidR="003E40D2">
        <w:t>h</w:t>
      </w:r>
      <w:r>
        <w:t>is upward</w:t>
      </w:r>
      <w:r w:rsidR="003E40D2">
        <w:t xml:space="preserve"> trend in the proportion of</w:t>
      </w:r>
      <w:r w:rsidR="00385D2C">
        <w:t xml:space="preserve"> </w:t>
      </w:r>
      <w:r w:rsidR="00115EFD">
        <w:t xml:space="preserve">individuals with a forensic pre-trial legal status </w:t>
      </w:r>
      <w:r>
        <w:t xml:space="preserve">began in April </w:t>
      </w:r>
      <w:r w:rsidR="003E40D2">
        <w:t>2014, when</w:t>
      </w:r>
      <w:r w:rsidR="00502BEE">
        <w:t xml:space="preserve"> </w:t>
      </w:r>
      <w:r w:rsidR="00CD30CB">
        <w:t xml:space="preserve">the Hospital received an exceptionally large number of </w:t>
      </w:r>
      <w:r w:rsidR="00CD30CB" w:rsidRPr="00502BEE">
        <w:rPr>
          <w:i/>
        </w:rPr>
        <w:t>Pre-trial</w:t>
      </w:r>
      <w:r w:rsidR="00CD30CB">
        <w:t xml:space="preserve"> admissions</w:t>
      </w:r>
      <w:r w:rsidR="00115EFD">
        <w:t xml:space="preserve"> at 34 </w:t>
      </w:r>
      <w:r w:rsidR="001A71F8">
        <w:t xml:space="preserve">while </w:t>
      </w:r>
      <w:r w:rsidR="00115EFD">
        <w:t xml:space="preserve">the average number of </w:t>
      </w:r>
      <w:r w:rsidR="00115EFD" w:rsidRPr="00115EFD">
        <w:rPr>
          <w:i/>
        </w:rPr>
        <w:t>Pre-trial</w:t>
      </w:r>
      <w:r w:rsidR="00115EFD">
        <w:t xml:space="preserve"> admissions during the first 6 months of FY14 was below 15 per month. </w:t>
      </w:r>
      <w:r>
        <w:t xml:space="preserve"> </w:t>
      </w:r>
      <w:r w:rsidR="00115EFD">
        <w:t xml:space="preserve">This surge in </w:t>
      </w:r>
      <w:r w:rsidR="00115EFD" w:rsidRPr="00115EFD">
        <w:rPr>
          <w:i/>
        </w:rPr>
        <w:t>Pre-trial</w:t>
      </w:r>
      <w:r w:rsidR="00115EFD">
        <w:t xml:space="preserve"> admissions</w:t>
      </w:r>
      <w:r>
        <w:t xml:space="preserve"> s</w:t>
      </w:r>
      <w:r w:rsidR="001A71F8">
        <w:t xml:space="preserve">ubsequently </w:t>
      </w:r>
      <w:r>
        <w:t>increased the percentage of</w:t>
      </w:r>
      <w:r w:rsidR="00385D2C">
        <w:t xml:space="preserve"> the</w:t>
      </w:r>
      <w:r>
        <w:t xml:space="preserve"> </w:t>
      </w:r>
      <w:r w:rsidRPr="00251733">
        <w:rPr>
          <w:i/>
        </w:rPr>
        <w:t>Pre-trial</w:t>
      </w:r>
      <w:r>
        <w:t xml:space="preserve"> population </w:t>
      </w:r>
      <w:r w:rsidR="00115EFD">
        <w:t xml:space="preserve">remaining </w:t>
      </w:r>
      <w:r>
        <w:t>in care</w:t>
      </w:r>
      <w:r w:rsidR="00E523FA">
        <w:t xml:space="preserve"> by the end of April 2014</w:t>
      </w:r>
      <w:r>
        <w:t xml:space="preserve">.  </w:t>
      </w:r>
      <w:r w:rsidR="00CD30CB">
        <w:t xml:space="preserve">Since then, the level of </w:t>
      </w:r>
      <w:r w:rsidR="00CD30CB" w:rsidRPr="00502BEE">
        <w:rPr>
          <w:i/>
        </w:rPr>
        <w:t>Pre-trial</w:t>
      </w:r>
      <w:r w:rsidR="00CD30CB">
        <w:t xml:space="preserve"> admissions </w:t>
      </w:r>
      <w:r w:rsidR="003969E4">
        <w:t xml:space="preserve">has </w:t>
      </w:r>
      <w:r w:rsidR="00115EFD">
        <w:t>remained</w:t>
      </w:r>
      <w:r w:rsidR="00CD30CB">
        <w:t xml:space="preserve"> consistently high</w:t>
      </w:r>
      <w:r w:rsidR="00E523FA">
        <w:t xml:space="preserve"> and </w:t>
      </w:r>
      <w:r w:rsidR="00CD30CB">
        <w:t xml:space="preserve">the proportion of this group </w:t>
      </w:r>
      <w:r w:rsidR="00E523FA">
        <w:t>reached</w:t>
      </w:r>
      <w:r w:rsidR="00CD30CB">
        <w:t xml:space="preserve"> 24% by </w:t>
      </w:r>
      <w:r w:rsidR="00E523FA">
        <w:t>September 20</w:t>
      </w:r>
      <w:r w:rsidR="00CD30CB">
        <w:t>14</w:t>
      </w:r>
      <w:r w:rsidR="00C00E21">
        <w:t>,</w:t>
      </w:r>
      <w:r w:rsidR="00E523FA">
        <w:t xml:space="preserve"> whereas this group</w:t>
      </w:r>
      <w:r w:rsidR="00196474">
        <w:t xml:space="preserve"> had</w:t>
      </w:r>
      <w:r w:rsidR="00E523FA">
        <w:t xml:space="preserve"> composed</w:t>
      </w:r>
      <w:r w:rsidR="00196474">
        <w:t xml:space="preserve"> only</w:t>
      </w:r>
      <w:r w:rsidR="00E523FA">
        <w:t xml:space="preserve"> 15%</w:t>
      </w:r>
      <w:r w:rsidR="003969E4">
        <w:t xml:space="preserve"> of the individuals in care</w:t>
      </w:r>
      <w:r w:rsidR="00E523FA">
        <w:t xml:space="preserve"> in March 2014</w:t>
      </w:r>
      <w:r w:rsidR="00CD30CB">
        <w:t>.</w:t>
      </w:r>
    </w:p>
    <w:p w:rsidR="00122EC5" w:rsidRDefault="00122EC5" w:rsidP="00DB4206">
      <w:pPr>
        <w:pStyle w:val="KeyFindings"/>
      </w:pPr>
      <w:r>
        <w:t>The proportion of</w:t>
      </w:r>
      <w:r w:rsidR="00115EFD">
        <w:t xml:space="preserve"> individuals with a civil legal status</w:t>
      </w:r>
      <w:r>
        <w:t xml:space="preserve"> fluctuated, ranging from 4</w:t>
      </w:r>
      <w:r w:rsidR="00196474">
        <w:t>1</w:t>
      </w:r>
      <w:r>
        <w:t xml:space="preserve">% to 52% throughout </w:t>
      </w:r>
      <w:r w:rsidR="001A71F8">
        <w:t>FY14</w:t>
      </w:r>
      <w:r w:rsidR="00196474">
        <w:t>: during the first half of F</w:t>
      </w:r>
      <w:r w:rsidR="001E2154">
        <w:t>Y</w:t>
      </w:r>
      <w:r w:rsidR="00196474">
        <w:t xml:space="preserve">14, the </w:t>
      </w:r>
      <w:r w:rsidR="00196474" w:rsidRPr="00196474">
        <w:rPr>
          <w:i/>
        </w:rPr>
        <w:t xml:space="preserve">Civil </w:t>
      </w:r>
      <w:r w:rsidR="00196474">
        <w:t xml:space="preserve">population </w:t>
      </w:r>
      <w:r w:rsidR="001E2154">
        <w:t xml:space="preserve">gradually </w:t>
      </w:r>
      <w:r w:rsidR="00196474">
        <w:t xml:space="preserve">increased, reaching 52% </w:t>
      </w:r>
      <w:r w:rsidR="00BD1C7A">
        <w:t xml:space="preserve">in </w:t>
      </w:r>
      <w:r w:rsidR="00196474">
        <w:t>March 2014. As the</w:t>
      </w:r>
      <w:r w:rsidR="0059218C">
        <w:t xml:space="preserve"> number of</w:t>
      </w:r>
      <w:r w:rsidR="00196474">
        <w:t xml:space="preserve"> </w:t>
      </w:r>
      <w:r w:rsidR="00196474" w:rsidRPr="00196474">
        <w:rPr>
          <w:i/>
        </w:rPr>
        <w:t>Pre-trial</w:t>
      </w:r>
      <w:r w:rsidR="00196474">
        <w:t xml:space="preserve"> </w:t>
      </w:r>
      <w:r w:rsidR="00BD1C7A">
        <w:t xml:space="preserve">admissions and </w:t>
      </w:r>
      <w:r w:rsidR="00B064F1">
        <w:t>individual</w:t>
      </w:r>
      <w:r w:rsidR="0059218C">
        <w:t>s</w:t>
      </w:r>
      <w:r w:rsidR="00196474">
        <w:t xml:space="preserve"> </w:t>
      </w:r>
      <w:r w:rsidR="00BD1C7A">
        <w:t xml:space="preserve">remaining in care </w:t>
      </w:r>
      <w:r w:rsidR="00196474">
        <w:t>increased in April 2014,</w:t>
      </w:r>
      <w:r w:rsidR="001E2154">
        <w:t xml:space="preserve"> the </w:t>
      </w:r>
      <w:r w:rsidR="00196474" w:rsidRPr="00196474">
        <w:rPr>
          <w:i/>
        </w:rPr>
        <w:t>Civil</w:t>
      </w:r>
      <w:r w:rsidR="00196474">
        <w:t xml:space="preserve"> population decreased</w:t>
      </w:r>
      <w:r w:rsidR="001E2154">
        <w:t xml:space="preserve"> </w:t>
      </w:r>
      <w:r w:rsidR="00620990">
        <w:t xml:space="preserve">in the following month </w:t>
      </w:r>
      <w:r w:rsidR="00BD1C7A">
        <w:t xml:space="preserve">but </w:t>
      </w:r>
      <w:r w:rsidR="00196474">
        <w:t>hovered around 45%</w:t>
      </w:r>
      <w:r w:rsidR="001E2154">
        <w:t xml:space="preserve"> of all in care </w:t>
      </w:r>
      <w:r w:rsidR="00620990">
        <w:t>during the second half of the year</w:t>
      </w:r>
      <w:r w:rsidR="001E2154">
        <w:t>.</w:t>
      </w:r>
      <w:r>
        <w:t xml:space="preserve"> </w:t>
      </w:r>
    </w:p>
    <w:p w:rsidR="00DB4206" w:rsidRDefault="00122EC5" w:rsidP="00DB4206">
      <w:pPr>
        <w:pStyle w:val="KeyFindings"/>
      </w:pPr>
      <w:r>
        <w:t>On the other hand, the percentage of individuals in</w:t>
      </w:r>
      <w:r w:rsidR="00BD1C7A">
        <w:t xml:space="preserve"> a</w:t>
      </w:r>
      <w:r>
        <w:t xml:space="preserve"> </w:t>
      </w:r>
      <w:r w:rsidR="00BD1C7A" w:rsidRPr="00BD1C7A">
        <w:t>p</w:t>
      </w:r>
      <w:r w:rsidRPr="00BD1C7A">
        <w:t>ost-trial</w:t>
      </w:r>
      <w:r>
        <w:t xml:space="preserve"> legal status decreased consistently throughout the year in FY14: this group constituted 39% of </w:t>
      </w:r>
      <w:r w:rsidR="00C62398">
        <w:t xml:space="preserve">IICs </w:t>
      </w:r>
      <w:r>
        <w:t>in the beginning of FY14 but dropped to 32% by September 30, 2014.</w:t>
      </w:r>
      <w:r w:rsidR="00BD1C7A">
        <w:t xml:space="preserve">  This decline is largely due to an increase of </w:t>
      </w:r>
      <w:r w:rsidR="00BD1C7A" w:rsidRPr="00BD1C7A">
        <w:rPr>
          <w:i/>
        </w:rPr>
        <w:t>Post-trial</w:t>
      </w:r>
      <w:r w:rsidR="00BD1C7A">
        <w:t xml:space="preserve"> discharges (transfers to the community as outpatients) that far exceeded </w:t>
      </w:r>
      <w:r w:rsidR="00BD1C7A" w:rsidRPr="00BD1C7A">
        <w:rPr>
          <w:i/>
        </w:rPr>
        <w:t>Post-trial</w:t>
      </w:r>
      <w:r w:rsidR="00BD1C7A">
        <w:t xml:space="preserve"> admissions in FY14.</w:t>
      </w:r>
    </w:p>
    <w:p w:rsidR="00DB4206" w:rsidRPr="00F12F5B" w:rsidRDefault="00DB4206" w:rsidP="00DB4206">
      <w:pPr>
        <w:pStyle w:val="KeyFindings"/>
        <w:numPr>
          <w:ilvl w:val="0"/>
          <w:numId w:val="0"/>
        </w:numPr>
        <w:rPr>
          <w:rStyle w:val="FigureChar"/>
        </w:rPr>
      </w:pPr>
      <w:bookmarkStart w:id="23" w:name="_Toc386095057"/>
      <w:bookmarkStart w:id="24" w:name="_Toc416357888"/>
      <w:r w:rsidRPr="00F12F5B">
        <w:rPr>
          <w:rStyle w:val="FigureChar"/>
        </w:rPr>
        <w:t xml:space="preserve">Figure </w:t>
      </w:r>
      <w:r w:rsidRPr="00F12F5B">
        <w:rPr>
          <w:rStyle w:val="FigureChar"/>
        </w:rPr>
        <w:fldChar w:fldCharType="begin"/>
      </w:r>
      <w:r w:rsidRPr="00F12F5B">
        <w:rPr>
          <w:rStyle w:val="FigureChar"/>
        </w:rPr>
        <w:instrText xml:space="preserve"> SEQ Figure \* ARABIC </w:instrText>
      </w:r>
      <w:r w:rsidRPr="00F12F5B">
        <w:rPr>
          <w:rStyle w:val="FigureChar"/>
        </w:rPr>
        <w:fldChar w:fldCharType="separate"/>
      </w:r>
      <w:r w:rsidR="007E3DB6">
        <w:rPr>
          <w:rStyle w:val="FigureChar"/>
          <w:noProof/>
        </w:rPr>
        <w:t>3</w:t>
      </w:r>
      <w:r w:rsidRPr="00F12F5B">
        <w:rPr>
          <w:rStyle w:val="FigureChar"/>
        </w:rPr>
        <w:fldChar w:fldCharType="end"/>
      </w:r>
      <w:r w:rsidRPr="00F12F5B">
        <w:rPr>
          <w:rStyle w:val="FigureChar"/>
        </w:rPr>
        <w:t xml:space="preserve">. </w:t>
      </w:r>
      <w:r>
        <w:rPr>
          <w:rStyle w:val="FigureChar"/>
        </w:rPr>
        <w:t>Trend of Month-End Census by Legal Status</w:t>
      </w:r>
      <w:r w:rsidRPr="00F12F5B">
        <w:rPr>
          <w:rStyle w:val="FigureChar"/>
        </w:rPr>
        <w:t xml:space="preserve"> (</w:t>
      </w:r>
      <w:r>
        <w:rPr>
          <w:rStyle w:val="FigureChar"/>
        </w:rPr>
        <w:t>FY14</w:t>
      </w:r>
      <w:r w:rsidRPr="00F12F5B">
        <w:rPr>
          <w:rStyle w:val="FigureChar"/>
        </w:rPr>
        <w:t>)</w:t>
      </w:r>
      <w:bookmarkEnd w:id="23"/>
      <w:bookmarkEnd w:id="24"/>
    </w:p>
    <w:p w:rsidR="00DB4206" w:rsidRPr="00636314" w:rsidRDefault="00636314" w:rsidP="00636314">
      <w:r>
        <w:rPr>
          <w:noProof/>
        </w:rPr>
        <w:drawing>
          <wp:inline distT="0" distB="0" distL="0" distR="0" wp14:anchorId="1BED38CD" wp14:editId="76A8C478">
            <wp:extent cx="6724650" cy="2743200"/>
            <wp:effectExtent l="0" t="0" r="0" b="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B4206" w:rsidRPr="00D760F8" w:rsidRDefault="00DB4206" w:rsidP="00DB4206">
      <w:pPr>
        <w:pStyle w:val="Heading2"/>
      </w:pPr>
      <w:bookmarkStart w:id="25" w:name="_Toc316897928"/>
      <w:bookmarkStart w:id="26" w:name="_Toc349913393"/>
      <w:bookmarkStart w:id="27" w:name="_Toc384134244"/>
      <w:bookmarkStart w:id="28" w:name="_Ref385177170"/>
      <w:bookmarkStart w:id="29" w:name="_Ref385177171"/>
      <w:bookmarkStart w:id="30" w:name="_Toc386095016"/>
      <w:bookmarkStart w:id="31" w:name="_Ref413061601"/>
      <w:bookmarkStart w:id="32" w:name="_Ref413061620"/>
      <w:bookmarkStart w:id="33" w:name="_Ref416343235"/>
      <w:bookmarkStart w:id="34" w:name="_Ref416343247"/>
      <w:bookmarkStart w:id="35" w:name="_Toc416357850"/>
      <w:r>
        <w:t>Admissions</w:t>
      </w:r>
      <w:bookmarkEnd w:id="25"/>
      <w:bookmarkEnd w:id="26"/>
      <w:bookmarkEnd w:id="27"/>
      <w:bookmarkEnd w:id="28"/>
      <w:bookmarkEnd w:id="29"/>
      <w:bookmarkEnd w:id="30"/>
      <w:bookmarkEnd w:id="31"/>
      <w:bookmarkEnd w:id="32"/>
      <w:bookmarkEnd w:id="33"/>
      <w:bookmarkEnd w:id="34"/>
      <w:bookmarkEnd w:id="35"/>
    </w:p>
    <w:p w:rsidR="00DB4206" w:rsidRDefault="006B4111" w:rsidP="00DB4206">
      <w:pPr>
        <w:pStyle w:val="KeyFindings"/>
      </w:pPr>
      <w:r>
        <w:t>Although t</w:t>
      </w:r>
      <w:r w:rsidR="00DB4206">
        <w:t>he number of admissions</w:t>
      </w:r>
      <w:r w:rsidR="00D47FFB">
        <w:t xml:space="preserve"> fluctuate</w:t>
      </w:r>
      <w:r>
        <w:t>d</w:t>
      </w:r>
      <w:r w:rsidR="00D47FFB">
        <w:t xml:space="preserve"> month </w:t>
      </w:r>
      <w:r w:rsidR="009F325D">
        <w:t>to</w:t>
      </w:r>
      <w:r w:rsidR="00D47FFB">
        <w:t xml:space="preserve"> month</w:t>
      </w:r>
      <w:r>
        <w:t xml:space="preserve">, </w:t>
      </w:r>
      <w:r w:rsidR="00D47FFB">
        <w:t xml:space="preserve">overall </w:t>
      </w:r>
      <w:r>
        <w:t>it</w:t>
      </w:r>
      <w:r w:rsidR="00DB4206">
        <w:t xml:space="preserve"> </w:t>
      </w:r>
      <w:r w:rsidR="00FF4BAA">
        <w:t xml:space="preserve">declined consistently </w:t>
      </w:r>
      <w:r w:rsidR="00350970">
        <w:t>through FY12</w:t>
      </w:r>
      <w:r>
        <w:t>: in FY12,</w:t>
      </w:r>
      <w:r w:rsidR="001C72EE">
        <w:t xml:space="preserve"> </w:t>
      </w:r>
      <w:r w:rsidR="00350970">
        <w:t>the Hospital received a total of 400 admissions</w:t>
      </w:r>
      <w:r>
        <w:t xml:space="preserve">, which </w:t>
      </w:r>
      <w:r w:rsidR="001C72EE">
        <w:t xml:space="preserve">is </w:t>
      </w:r>
      <w:r w:rsidR="00350970">
        <w:t xml:space="preserve">a decrease of </w:t>
      </w:r>
      <w:r w:rsidR="001C72EE">
        <w:t xml:space="preserve">304 or </w:t>
      </w:r>
      <w:r w:rsidR="00350970">
        <w:t xml:space="preserve">43% from FY08.  This trend, however, was reversed </w:t>
      </w:r>
      <w:r w:rsidR="001C72EE">
        <w:t xml:space="preserve">in FY13 </w:t>
      </w:r>
      <w:r w:rsidR="00350970">
        <w:t xml:space="preserve">as the </w:t>
      </w:r>
      <w:r w:rsidR="001C72EE">
        <w:t xml:space="preserve">total </w:t>
      </w:r>
      <w:r w:rsidR="00350970">
        <w:t xml:space="preserve">number of admissions increased to 423 </w:t>
      </w:r>
      <w:r>
        <w:t>in</w:t>
      </w:r>
      <w:r w:rsidR="00350970">
        <w:t xml:space="preserve"> FY13</w:t>
      </w:r>
      <w:r w:rsidR="001A71F8">
        <w:t>,</w:t>
      </w:r>
      <w:r w:rsidR="00350970">
        <w:t xml:space="preserve"> and </w:t>
      </w:r>
      <w:r w:rsidR="00BF46F5">
        <w:t xml:space="preserve">increased again to </w:t>
      </w:r>
      <w:r w:rsidR="00350970">
        <w:t xml:space="preserve">434 </w:t>
      </w:r>
      <w:r>
        <w:t>in</w:t>
      </w:r>
      <w:r w:rsidR="00350970">
        <w:t xml:space="preserve"> FY14. </w:t>
      </w:r>
      <w:r w:rsidR="000115CF">
        <w:t>In particular, during the month of April 2014</w:t>
      </w:r>
      <w:r w:rsidR="00D61488">
        <w:t xml:space="preserve"> alone</w:t>
      </w:r>
      <w:r w:rsidR="000115CF">
        <w:t>, there were 55 admissions, which is the highest level of monthly admissions since January 2009.</w:t>
      </w:r>
    </w:p>
    <w:p w:rsidR="00B33C5F" w:rsidRDefault="00B33C5F" w:rsidP="00DB4206">
      <w:pPr>
        <w:pStyle w:val="KeyFindings"/>
      </w:pPr>
      <w:r>
        <w:lastRenderedPageBreak/>
        <w:t xml:space="preserve">The increase of admissions in FY13 </w:t>
      </w:r>
      <w:r w:rsidR="00102993">
        <w:t>was</w:t>
      </w:r>
      <w:r>
        <w:t xml:space="preserve"> attributed </w:t>
      </w:r>
      <w:r w:rsidR="00BF46F5">
        <w:t xml:space="preserve">more </w:t>
      </w:r>
      <w:r>
        <w:t xml:space="preserve">to an increase of </w:t>
      </w:r>
      <w:r w:rsidRPr="00B33C5F">
        <w:rPr>
          <w:i/>
        </w:rPr>
        <w:t>Civil</w:t>
      </w:r>
      <w:r>
        <w:t xml:space="preserve"> admissions</w:t>
      </w:r>
      <w:r w:rsidR="00C00E21">
        <w:t>,</w:t>
      </w:r>
      <w:r>
        <w:t xml:space="preserve"> whereas the increase in FY14 was driven by </w:t>
      </w:r>
      <w:r w:rsidRPr="00B33C5F">
        <w:rPr>
          <w:i/>
        </w:rPr>
        <w:t>Pre-trial</w:t>
      </w:r>
      <w:r>
        <w:t xml:space="preserve"> admissions.  The total number of </w:t>
      </w:r>
      <w:r w:rsidRPr="00B33C5F">
        <w:rPr>
          <w:i/>
        </w:rPr>
        <w:t>Pre-trial</w:t>
      </w:r>
      <w:r>
        <w:t xml:space="preserve"> admissions in FY14 increased by 21% from FY13 while </w:t>
      </w:r>
      <w:r w:rsidRPr="00B33C5F">
        <w:rPr>
          <w:i/>
        </w:rPr>
        <w:t xml:space="preserve">Civil </w:t>
      </w:r>
      <w:r>
        <w:t xml:space="preserve">admissions </w:t>
      </w:r>
      <w:r w:rsidR="00BF46F5">
        <w:t xml:space="preserve">in FY14 </w:t>
      </w:r>
      <w:r>
        <w:t>decreased by 15%</w:t>
      </w:r>
      <w:r w:rsidR="00BF46F5">
        <w:t xml:space="preserve"> from FY13</w:t>
      </w:r>
      <w:r>
        <w:t>.</w:t>
      </w:r>
    </w:p>
    <w:p w:rsidR="00FF4BAA" w:rsidRDefault="00FF4BAA" w:rsidP="00910110">
      <w:pPr>
        <w:pStyle w:val="KeyFindings"/>
        <w:keepNext/>
        <w:numPr>
          <w:ilvl w:val="0"/>
          <w:numId w:val="0"/>
        </w:numPr>
        <w:rPr>
          <w:rStyle w:val="FigureChar"/>
        </w:rPr>
      </w:pPr>
      <w:bookmarkStart w:id="36" w:name="_Toc416357889"/>
      <w:bookmarkStart w:id="37" w:name="_Toc386095058"/>
      <w:r w:rsidRPr="00E269E2">
        <w:rPr>
          <w:rStyle w:val="FigureChar"/>
        </w:rPr>
        <w:t xml:space="preserve">Figure </w:t>
      </w:r>
      <w:r>
        <w:rPr>
          <w:rStyle w:val="FigureChar"/>
        </w:rPr>
        <w:fldChar w:fldCharType="begin"/>
      </w:r>
      <w:r>
        <w:rPr>
          <w:rStyle w:val="FigureChar"/>
        </w:rPr>
        <w:instrText xml:space="preserve"> SEQ Figure \* ARABIC </w:instrText>
      </w:r>
      <w:r>
        <w:rPr>
          <w:rStyle w:val="FigureChar"/>
        </w:rPr>
        <w:fldChar w:fldCharType="separate"/>
      </w:r>
      <w:r w:rsidR="007E3DB6">
        <w:rPr>
          <w:rStyle w:val="FigureChar"/>
          <w:noProof/>
        </w:rPr>
        <w:t>4</w:t>
      </w:r>
      <w:r>
        <w:rPr>
          <w:rStyle w:val="FigureChar"/>
        </w:rPr>
        <w:fldChar w:fldCharType="end"/>
      </w:r>
      <w:r w:rsidRPr="00E269E2">
        <w:rPr>
          <w:rStyle w:val="FigureChar"/>
        </w:rPr>
        <w:t xml:space="preserve">. </w:t>
      </w:r>
      <w:r>
        <w:rPr>
          <w:rStyle w:val="FigureChar"/>
        </w:rPr>
        <w:t xml:space="preserve">Trend of Monthly Admissions </w:t>
      </w:r>
      <w:r w:rsidRPr="00E269E2">
        <w:rPr>
          <w:rStyle w:val="FigureChar"/>
        </w:rPr>
        <w:t>(</w:t>
      </w:r>
      <w:r>
        <w:rPr>
          <w:rStyle w:val="FigureChar"/>
        </w:rPr>
        <w:t>FY08 ~ FY14</w:t>
      </w:r>
      <w:r w:rsidRPr="00E269E2">
        <w:rPr>
          <w:rStyle w:val="FigureChar"/>
        </w:rPr>
        <w:t>)</w:t>
      </w:r>
      <w:bookmarkEnd w:id="36"/>
    </w:p>
    <w:p w:rsidR="00FF4BAA" w:rsidRPr="00636314" w:rsidRDefault="00636314" w:rsidP="00636314">
      <w:pPr>
        <w:rPr>
          <w:rFonts w:eastAsia="SimSun"/>
        </w:rPr>
      </w:pPr>
      <w:r>
        <w:rPr>
          <w:noProof/>
        </w:rPr>
        <w:drawing>
          <wp:inline distT="0" distB="0" distL="0" distR="0" wp14:anchorId="5D6A37FF" wp14:editId="4EF31391">
            <wp:extent cx="6400800" cy="2608488"/>
            <wp:effectExtent l="0" t="0" r="0" b="1905"/>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B4206" w:rsidRDefault="00DB4206" w:rsidP="00DB4206">
      <w:pPr>
        <w:pStyle w:val="KeyFindings"/>
        <w:numPr>
          <w:ilvl w:val="0"/>
          <w:numId w:val="0"/>
        </w:numPr>
      </w:pPr>
      <w:bookmarkStart w:id="38" w:name="_Toc416357890"/>
      <w:r w:rsidRPr="00E269E2">
        <w:rPr>
          <w:rStyle w:val="FigureChar"/>
        </w:rPr>
        <w:t xml:space="preserve">Figure </w:t>
      </w:r>
      <w:r>
        <w:rPr>
          <w:rStyle w:val="FigureChar"/>
        </w:rPr>
        <w:fldChar w:fldCharType="begin"/>
      </w:r>
      <w:r>
        <w:rPr>
          <w:rStyle w:val="FigureChar"/>
        </w:rPr>
        <w:instrText xml:space="preserve"> SEQ Figure \* ARABIC </w:instrText>
      </w:r>
      <w:r>
        <w:rPr>
          <w:rStyle w:val="FigureChar"/>
        </w:rPr>
        <w:fldChar w:fldCharType="separate"/>
      </w:r>
      <w:r w:rsidR="007E3DB6">
        <w:rPr>
          <w:rStyle w:val="FigureChar"/>
          <w:noProof/>
        </w:rPr>
        <w:t>5</w:t>
      </w:r>
      <w:r>
        <w:rPr>
          <w:rStyle w:val="FigureChar"/>
        </w:rPr>
        <w:fldChar w:fldCharType="end"/>
      </w:r>
      <w:r w:rsidRPr="00E269E2">
        <w:rPr>
          <w:rStyle w:val="FigureChar"/>
        </w:rPr>
        <w:t xml:space="preserve">. </w:t>
      </w:r>
      <w:r>
        <w:rPr>
          <w:rStyle w:val="FigureChar"/>
        </w:rPr>
        <w:t xml:space="preserve">Number and Percentage of Admissions by Legal Status </w:t>
      </w:r>
      <w:r w:rsidRPr="00E269E2">
        <w:rPr>
          <w:rStyle w:val="FigureChar"/>
        </w:rPr>
        <w:t>(</w:t>
      </w:r>
      <w:r>
        <w:rPr>
          <w:rStyle w:val="FigureChar"/>
        </w:rPr>
        <w:t>FY10 ~ FY14</w:t>
      </w:r>
      <w:r w:rsidRPr="00E269E2">
        <w:rPr>
          <w:rStyle w:val="FigureChar"/>
        </w:rPr>
        <w:t>)</w:t>
      </w:r>
      <w:bookmarkEnd w:id="37"/>
      <w:bookmarkEnd w:id="38"/>
    </w:p>
    <w:tbl>
      <w:tblPr>
        <w:tblStyle w:val="TableGrid"/>
        <w:tblW w:w="0" w:type="auto"/>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60"/>
        <w:gridCol w:w="3798"/>
      </w:tblGrid>
      <w:tr w:rsidR="00DB4206" w:rsidTr="00080C04">
        <w:tc>
          <w:tcPr>
            <w:tcW w:w="6660" w:type="dxa"/>
          </w:tcPr>
          <w:p w:rsidR="00DB4206" w:rsidRDefault="00DB4206" w:rsidP="00080C04">
            <w:pPr>
              <w:pStyle w:val="KeyFindings"/>
              <w:numPr>
                <w:ilvl w:val="0"/>
                <w:numId w:val="0"/>
              </w:numPr>
            </w:pPr>
            <w:r>
              <w:rPr>
                <w:noProof/>
                <w:lang w:eastAsia="en-US"/>
              </w:rPr>
              <w:drawing>
                <wp:inline distT="0" distB="0" distL="0" distR="0" wp14:anchorId="5E428B06" wp14:editId="39DC4DDB">
                  <wp:extent cx="4486275" cy="2390775"/>
                  <wp:effectExtent l="0" t="0" r="0" b="0"/>
                  <wp:docPr id="141" name="Chart 1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3798" w:type="dxa"/>
          </w:tcPr>
          <w:p w:rsidR="00DB4206" w:rsidRPr="00F5445F" w:rsidRDefault="00DB4206" w:rsidP="00080C04">
            <w:pPr>
              <w:pStyle w:val="KeyFindings"/>
              <w:numPr>
                <w:ilvl w:val="0"/>
                <w:numId w:val="0"/>
              </w:numPr>
              <w:rPr>
                <w:sz w:val="20"/>
                <w:szCs w:val="20"/>
              </w:rPr>
            </w:pPr>
            <w:r w:rsidRPr="00F5445F">
              <w:rPr>
                <w:noProof/>
                <w:sz w:val="20"/>
                <w:szCs w:val="20"/>
                <w:lang w:eastAsia="en-US"/>
              </w:rPr>
              <w:drawing>
                <wp:inline distT="0" distB="0" distL="0" distR="0" wp14:anchorId="53A39AE1" wp14:editId="46799F27">
                  <wp:extent cx="2457450" cy="2390775"/>
                  <wp:effectExtent l="0" t="0" r="0" b="0"/>
                  <wp:docPr id="149" name="Chart 1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bl>
    <w:p w:rsidR="00122EC5" w:rsidRDefault="00102993" w:rsidP="00122EC5">
      <w:pPr>
        <w:pStyle w:val="KeyFindings"/>
      </w:pPr>
      <w:r>
        <w:t xml:space="preserve">About one third of </w:t>
      </w:r>
      <w:r w:rsidR="00122EC5">
        <w:t xml:space="preserve">individuals </w:t>
      </w:r>
      <w:r w:rsidR="00DB2D8B">
        <w:t xml:space="preserve">remaining </w:t>
      </w:r>
      <w:r w:rsidR="00122EC5">
        <w:t xml:space="preserve">in </w:t>
      </w:r>
      <w:r w:rsidR="00797619">
        <w:t xml:space="preserve">the Hospital’s </w:t>
      </w:r>
      <w:r w:rsidR="00122EC5">
        <w:t xml:space="preserve">care </w:t>
      </w:r>
      <w:r w:rsidR="00DB2D8B">
        <w:t>have a post-trial legal status</w:t>
      </w:r>
      <w:r w:rsidR="009849EE">
        <w:t>,</w:t>
      </w:r>
      <w:r w:rsidR="00797619">
        <w:t xml:space="preserve"> </w:t>
      </w:r>
      <w:r w:rsidR="00122EC5">
        <w:t>but most of them remain at the Hospital for long-term stays</w:t>
      </w:r>
      <w:r w:rsidR="00797619">
        <w:t xml:space="preserve"> </w:t>
      </w:r>
      <w:r w:rsidR="00620990">
        <w:t xml:space="preserve">so </w:t>
      </w:r>
      <w:r w:rsidR="00620990" w:rsidRPr="00620990">
        <w:rPr>
          <w:i/>
        </w:rPr>
        <w:t>Post-trial</w:t>
      </w:r>
      <w:r w:rsidR="00620990">
        <w:t xml:space="preserve"> admissions and d</w:t>
      </w:r>
      <w:r w:rsidR="00797619">
        <w:t xml:space="preserve">ischarges </w:t>
      </w:r>
      <w:r w:rsidR="00E0361B">
        <w:t xml:space="preserve">are </w:t>
      </w:r>
      <w:r w:rsidR="002F18DE">
        <w:t xml:space="preserve">relatively </w:t>
      </w:r>
      <w:r w:rsidR="00E0361B">
        <w:t>rare</w:t>
      </w:r>
      <w:r w:rsidR="00122EC5">
        <w:t>.  Most of the admission and discharge activities occur around</w:t>
      </w:r>
      <w:r w:rsidR="0069227F">
        <w:t xml:space="preserve"> the</w:t>
      </w:r>
      <w:r w:rsidR="00122EC5">
        <w:t xml:space="preserve"> </w:t>
      </w:r>
      <w:r w:rsidR="00122EC5" w:rsidRPr="004D7FF1">
        <w:rPr>
          <w:i/>
        </w:rPr>
        <w:t>Civil</w:t>
      </w:r>
      <w:r w:rsidR="00122EC5">
        <w:t xml:space="preserve"> and </w:t>
      </w:r>
      <w:r w:rsidR="00122EC5" w:rsidRPr="004D7FF1">
        <w:rPr>
          <w:i/>
        </w:rPr>
        <w:t>Pre-trial</w:t>
      </w:r>
      <w:r w:rsidR="00122EC5">
        <w:t xml:space="preserve"> population: </w:t>
      </w:r>
      <w:r w:rsidR="00797619">
        <w:t>f</w:t>
      </w:r>
      <w:r w:rsidR="00122EC5">
        <w:t xml:space="preserve">orty-one percent (41%) of the admissions in FY14 were </w:t>
      </w:r>
      <w:r w:rsidR="00122EC5">
        <w:rPr>
          <w:i/>
        </w:rPr>
        <w:t>C</w:t>
      </w:r>
      <w:r w:rsidR="00122EC5" w:rsidRPr="00DD75FD">
        <w:rPr>
          <w:i/>
        </w:rPr>
        <w:t>ivil</w:t>
      </w:r>
      <w:r w:rsidR="00122EC5">
        <w:t xml:space="preserve"> and 53% were </w:t>
      </w:r>
      <w:r w:rsidR="00122EC5">
        <w:rPr>
          <w:i/>
        </w:rPr>
        <w:t>Pre-trial</w:t>
      </w:r>
      <w:r w:rsidR="00122EC5">
        <w:t xml:space="preserve">.  Only 6% were </w:t>
      </w:r>
      <w:r w:rsidR="00122EC5">
        <w:rPr>
          <w:i/>
        </w:rPr>
        <w:t>P</w:t>
      </w:r>
      <w:r w:rsidR="00122EC5" w:rsidRPr="00FC096F">
        <w:rPr>
          <w:i/>
        </w:rPr>
        <w:t>ost-trial</w:t>
      </w:r>
      <w:r w:rsidR="00122EC5">
        <w:t xml:space="preserve"> admissions who had been residing in the community as </w:t>
      </w:r>
      <w:r w:rsidR="00122EC5" w:rsidRPr="00E37278">
        <w:rPr>
          <w:i/>
        </w:rPr>
        <w:t>Forensic Outpatient</w:t>
      </w:r>
      <w:r w:rsidR="00122EC5">
        <w:rPr>
          <w:i/>
        </w:rPr>
        <w:t>s</w:t>
      </w:r>
      <w:r w:rsidR="00122EC5">
        <w:t xml:space="preserve"> but returned to the Hospital as they needed more intensive treatment or violated the court ordered conditions of their release.</w:t>
      </w:r>
    </w:p>
    <w:p w:rsidR="00DB4206" w:rsidRDefault="00DB4206" w:rsidP="00DB4206">
      <w:pPr>
        <w:pStyle w:val="KeyFindings"/>
      </w:pPr>
      <w:r>
        <w:t xml:space="preserve">Three of the last </w:t>
      </w:r>
      <w:r w:rsidR="00C2177D">
        <w:t>five (5)</w:t>
      </w:r>
      <w:r>
        <w:t xml:space="preserve"> years show that </w:t>
      </w:r>
      <w:r w:rsidRPr="006C7C59">
        <w:rPr>
          <w:i/>
        </w:rPr>
        <w:t>Forensic Pre-Trial</w:t>
      </w:r>
      <w:r>
        <w:t xml:space="preserve"> admissions outpaced </w:t>
      </w:r>
      <w:r w:rsidRPr="006C7C59">
        <w:rPr>
          <w:i/>
        </w:rPr>
        <w:t>Civil</w:t>
      </w:r>
      <w:r>
        <w:t xml:space="preserve"> admissions</w:t>
      </w:r>
      <w:r w:rsidR="00C2177D">
        <w:t xml:space="preserve"> and composed more than half of all admissions</w:t>
      </w:r>
      <w:r w:rsidR="00354FFD">
        <w:t>,</w:t>
      </w:r>
      <w:r w:rsidR="00C2177D">
        <w:t xml:space="preserve"> wh</w:t>
      </w:r>
      <w:r w:rsidR="00102993">
        <w:t>ile the</w:t>
      </w:r>
      <w:r w:rsidR="00C2177D">
        <w:t xml:space="preserve"> </w:t>
      </w:r>
      <w:r w:rsidR="00C2177D" w:rsidRPr="00C2177D">
        <w:rPr>
          <w:i/>
        </w:rPr>
        <w:t>Pre-trial</w:t>
      </w:r>
      <w:r w:rsidR="00C2177D">
        <w:t xml:space="preserve"> population ma</w:t>
      </w:r>
      <w:r w:rsidR="00102993">
        <w:t>de</w:t>
      </w:r>
      <w:r w:rsidR="00C2177D">
        <w:t xml:space="preserve"> up less than 25% of individuals </w:t>
      </w:r>
      <w:r w:rsidR="00913B3F">
        <w:t xml:space="preserve">in care </w:t>
      </w:r>
      <w:r w:rsidR="00C2177D">
        <w:t xml:space="preserve">on a given day. </w:t>
      </w:r>
    </w:p>
    <w:p w:rsidR="00DB4206" w:rsidRPr="00AE6E73" w:rsidRDefault="00DB4206" w:rsidP="00DB4206">
      <w:pPr>
        <w:pStyle w:val="KeyFindings"/>
        <w:spacing w:after="120"/>
      </w:pPr>
      <w:r>
        <w:t>The number of monthly admissions during FY14 ranged from 27 to 55</w:t>
      </w:r>
      <w:r w:rsidR="00620990">
        <w:t xml:space="preserve">.  The highest level of monthly admissions during FY14 (55) </w:t>
      </w:r>
      <w:r>
        <w:t xml:space="preserve">was </w:t>
      </w:r>
      <w:r w:rsidR="00574A28">
        <w:t>nine (</w:t>
      </w:r>
      <w:r>
        <w:t>9</w:t>
      </w:r>
      <w:r w:rsidR="00574A28">
        <w:t>)</w:t>
      </w:r>
      <w:r>
        <w:t xml:space="preserve"> more than the highest level seen </w:t>
      </w:r>
      <w:r w:rsidR="001A71F8">
        <w:t>during</w:t>
      </w:r>
      <w:r w:rsidR="00574A28">
        <w:t xml:space="preserve"> </w:t>
      </w:r>
      <w:r>
        <w:t xml:space="preserve">FY13.  </w:t>
      </w:r>
      <w:r w:rsidR="00620990">
        <w:t>In FY14, o</w:t>
      </w:r>
      <w:r>
        <w:t xml:space="preserve">n average, there were 36 admissions </w:t>
      </w:r>
      <w:r w:rsidR="00620990">
        <w:t>per</w:t>
      </w:r>
      <w:r>
        <w:t xml:space="preserve"> month</w:t>
      </w:r>
      <w:r w:rsidR="00913B3F">
        <w:t>,</w:t>
      </w:r>
      <w:r>
        <w:t xml:space="preserve"> which eclipsed last year’s average by just one.</w:t>
      </w:r>
    </w:p>
    <w:p w:rsidR="00DB4206" w:rsidRPr="00D760F8" w:rsidRDefault="00DB4206" w:rsidP="00DB4206">
      <w:pPr>
        <w:pStyle w:val="Heading2"/>
      </w:pPr>
      <w:bookmarkStart w:id="39" w:name="_Toc386095017"/>
      <w:bookmarkStart w:id="40" w:name="_Toc416357851"/>
      <w:r>
        <w:lastRenderedPageBreak/>
        <w:t>Discharges</w:t>
      </w:r>
      <w:bookmarkEnd w:id="39"/>
      <w:bookmarkEnd w:id="40"/>
    </w:p>
    <w:p w:rsidR="00C07F47" w:rsidRDefault="00C722EB" w:rsidP="00DB4206">
      <w:pPr>
        <w:pStyle w:val="KeyFindings"/>
      </w:pPr>
      <w:r>
        <w:t>T</w:t>
      </w:r>
      <w:r w:rsidR="00C07F47">
        <w:t xml:space="preserve">he number of </w:t>
      </w:r>
      <w:r w:rsidR="00574A28">
        <w:t xml:space="preserve">discharges also </w:t>
      </w:r>
      <w:r w:rsidR="00C07F47">
        <w:t xml:space="preserve">declined </w:t>
      </w:r>
      <w:r w:rsidR="00913B3F">
        <w:t>consistently</w:t>
      </w:r>
      <w:r>
        <w:t xml:space="preserve"> until FY12, mirroring the trend of admissions</w:t>
      </w:r>
      <w:r w:rsidR="00C07F47">
        <w:t xml:space="preserve">.  </w:t>
      </w:r>
      <w:r w:rsidR="00913B3F">
        <w:t>In FY13,</w:t>
      </w:r>
      <w:r w:rsidR="001D053F">
        <w:t xml:space="preserve"> both </w:t>
      </w:r>
      <w:r w:rsidR="00C07F47">
        <w:t xml:space="preserve">the number of </w:t>
      </w:r>
      <w:r w:rsidR="001D053F">
        <w:t xml:space="preserve">admissions and </w:t>
      </w:r>
      <w:r w:rsidR="00C07F47">
        <w:t>discharges increased</w:t>
      </w:r>
      <w:r w:rsidR="00913B3F">
        <w:t xml:space="preserve">.  The number of discharges in FY14, though, remained </w:t>
      </w:r>
      <w:r w:rsidR="00C07F47">
        <w:t>at the same level</w:t>
      </w:r>
      <w:r w:rsidR="00913B3F">
        <w:t xml:space="preserve"> as FY13 </w:t>
      </w:r>
      <w:r w:rsidR="001D053F">
        <w:t>but</w:t>
      </w:r>
      <w:r w:rsidR="00913B3F">
        <w:t xml:space="preserve"> that of admissio</w:t>
      </w:r>
      <w:r w:rsidR="001D053F">
        <w:t>ns continued to increase</w:t>
      </w:r>
      <w:r w:rsidR="00C07F47">
        <w:t>.</w:t>
      </w:r>
    </w:p>
    <w:p w:rsidR="006437CB" w:rsidRDefault="00C07F47" w:rsidP="00DB4206">
      <w:pPr>
        <w:pStyle w:val="KeyFindings"/>
      </w:pPr>
      <w:r>
        <w:t xml:space="preserve">Some individuals admitted with a </w:t>
      </w:r>
      <w:r w:rsidR="00574A28">
        <w:t>pre</w:t>
      </w:r>
      <w:r w:rsidRPr="00574A28">
        <w:t>-trial</w:t>
      </w:r>
      <w:r>
        <w:t xml:space="preserve"> legal status </w:t>
      </w:r>
      <w:r w:rsidR="006437CB">
        <w:t xml:space="preserve">and assessed to be incompetent </w:t>
      </w:r>
      <w:r>
        <w:t xml:space="preserve">may remain at the Hospital </w:t>
      </w:r>
      <w:r w:rsidR="006437CB">
        <w:t xml:space="preserve">even after the criminal charges are dismissed, </w:t>
      </w:r>
      <w:r w:rsidR="00913B3F">
        <w:t xml:space="preserve">if they are </w:t>
      </w:r>
      <w:r w:rsidRPr="00574A28">
        <w:t>civilly committed</w:t>
      </w:r>
      <w:r>
        <w:t xml:space="preserve"> </w:t>
      </w:r>
      <w:r w:rsidR="00913B3F">
        <w:t xml:space="preserve">and need </w:t>
      </w:r>
      <w:r w:rsidR="006437CB">
        <w:t xml:space="preserve">continued inpatient care.  </w:t>
      </w:r>
      <w:r w:rsidR="00913B3F">
        <w:t>Once</w:t>
      </w:r>
      <w:r>
        <w:t xml:space="preserve"> their conditions improve, they may get discharged </w:t>
      </w:r>
      <w:r w:rsidR="006437CB">
        <w:t xml:space="preserve">but </w:t>
      </w:r>
      <w:r w:rsidR="00574A28">
        <w:t xml:space="preserve">their legal status at discharge is </w:t>
      </w:r>
      <w:r w:rsidRPr="00574A28">
        <w:rPr>
          <w:i/>
        </w:rPr>
        <w:t>Civil</w:t>
      </w:r>
      <w:r w:rsidR="00574A28">
        <w:t xml:space="preserve"> while</w:t>
      </w:r>
      <w:r>
        <w:t xml:space="preserve"> </w:t>
      </w:r>
      <w:r w:rsidR="00574A28">
        <w:t xml:space="preserve">they were admitted with a pre-trial legal status. </w:t>
      </w:r>
      <w:r>
        <w:t xml:space="preserve"> Due to</w:t>
      </w:r>
      <w:r w:rsidR="006437CB">
        <w:t xml:space="preserve"> </w:t>
      </w:r>
      <w:r w:rsidR="00574A28">
        <w:t xml:space="preserve">changes of legal status of </w:t>
      </w:r>
      <w:r>
        <w:t xml:space="preserve">this </w:t>
      </w:r>
      <w:r w:rsidR="006437CB">
        <w:t>group</w:t>
      </w:r>
      <w:r w:rsidR="00574A28">
        <w:t xml:space="preserve"> while hospitalized</w:t>
      </w:r>
      <w:r>
        <w:t xml:space="preserve">, the number of </w:t>
      </w:r>
      <w:r w:rsidRPr="00574A28">
        <w:rPr>
          <w:i/>
        </w:rPr>
        <w:t>Civil</w:t>
      </w:r>
      <w:r>
        <w:t xml:space="preserve"> discharges </w:t>
      </w:r>
      <w:r w:rsidR="00574A28">
        <w:t xml:space="preserve">is likely to be higher than </w:t>
      </w:r>
      <w:r w:rsidR="00574A28" w:rsidRPr="00574A28">
        <w:rPr>
          <w:i/>
        </w:rPr>
        <w:t>Civil</w:t>
      </w:r>
      <w:r w:rsidR="00574A28">
        <w:t xml:space="preserve"> admissions and vice versa for </w:t>
      </w:r>
      <w:r w:rsidR="00574A28" w:rsidRPr="00574A28">
        <w:rPr>
          <w:i/>
        </w:rPr>
        <w:t>Pre-trial</w:t>
      </w:r>
      <w:r w:rsidR="00574A28">
        <w:t xml:space="preserve"> admission and discharges.  Consequently, </w:t>
      </w:r>
      <w:r w:rsidR="00574A28" w:rsidRPr="00574A28">
        <w:rPr>
          <w:i/>
        </w:rPr>
        <w:t>Civil</w:t>
      </w:r>
      <w:r w:rsidR="00574A28">
        <w:t xml:space="preserve"> discharges </w:t>
      </w:r>
      <w:r w:rsidR="00B62A79">
        <w:t xml:space="preserve">often </w:t>
      </w:r>
      <w:r>
        <w:t>exceed</w:t>
      </w:r>
      <w:r w:rsidR="00574A28">
        <w:t>ed</w:t>
      </w:r>
      <w:r>
        <w:t xml:space="preserve"> </w:t>
      </w:r>
      <w:r w:rsidR="008808DE">
        <w:t xml:space="preserve">the number of </w:t>
      </w:r>
      <w:r w:rsidRPr="00574A28">
        <w:rPr>
          <w:i/>
        </w:rPr>
        <w:t>Pre-trial</w:t>
      </w:r>
      <w:r>
        <w:t xml:space="preserve"> discharges</w:t>
      </w:r>
      <w:r w:rsidR="00B62A79">
        <w:t xml:space="preserve"> </w:t>
      </w:r>
      <w:r w:rsidR="006437CB">
        <w:t xml:space="preserve">even </w:t>
      </w:r>
      <w:r w:rsidR="00B62A79">
        <w:t xml:space="preserve">when the number of </w:t>
      </w:r>
      <w:r w:rsidR="00B62A79" w:rsidRPr="00574A28">
        <w:rPr>
          <w:i/>
        </w:rPr>
        <w:t>Pre-trial</w:t>
      </w:r>
      <w:r w:rsidR="00B62A79">
        <w:t xml:space="preserve"> admissions outpace</w:t>
      </w:r>
      <w:r w:rsidR="00574A28">
        <w:t>d</w:t>
      </w:r>
      <w:r w:rsidR="00B62A79">
        <w:t xml:space="preserve"> </w:t>
      </w:r>
      <w:r w:rsidR="00B62A79" w:rsidRPr="00574A28">
        <w:rPr>
          <w:i/>
        </w:rPr>
        <w:t>Civil</w:t>
      </w:r>
      <w:r w:rsidR="00B62A79">
        <w:t xml:space="preserve"> admissions</w:t>
      </w:r>
      <w:r w:rsidR="006437CB">
        <w:t xml:space="preserve"> during the same </w:t>
      </w:r>
      <w:r w:rsidR="00C722EB">
        <w:t xml:space="preserve">period of </w:t>
      </w:r>
      <w:r w:rsidR="006437CB">
        <w:t>time.</w:t>
      </w:r>
      <w:r w:rsidR="000D38C0">
        <w:t xml:space="preserve"> More findings regarding the difference between admissions and discharges will be presented below (</w:t>
      </w:r>
      <w:r w:rsidR="00194086">
        <w:t>See s</w:t>
      </w:r>
      <w:r w:rsidR="000D38C0">
        <w:t xml:space="preserve">ection </w:t>
      </w:r>
      <w:r w:rsidR="000D38C0" w:rsidRPr="00574A28">
        <w:rPr>
          <w:i/>
        </w:rPr>
        <w:fldChar w:fldCharType="begin"/>
      </w:r>
      <w:r w:rsidR="000D38C0" w:rsidRPr="00574A28">
        <w:rPr>
          <w:i/>
        </w:rPr>
        <w:instrText xml:space="preserve"> REF _Ref384201964 \w \h  \* MERGEFORMAT </w:instrText>
      </w:r>
      <w:r w:rsidR="000D38C0" w:rsidRPr="00574A28">
        <w:rPr>
          <w:i/>
        </w:rPr>
      </w:r>
      <w:r w:rsidR="000D38C0" w:rsidRPr="00574A28">
        <w:rPr>
          <w:i/>
        </w:rPr>
        <w:fldChar w:fldCharType="separate"/>
      </w:r>
      <w:r w:rsidR="007E3DB6">
        <w:rPr>
          <w:i/>
        </w:rPr>
        <w:t>I.5</w:t>
      </w:r>
      <w:r w:rsidR="000D38C0" w:rsidRPr="00574A28">
        <w:rPr>
          <w:i/>
        </w:rPr>
        <w:fldChar w:fldCharType="end"/>
      </w:r>
      <w:r w:rsidR="000D38C0" w:rsidRPr="00574A28">
        <w:rPr>
          <w:i/>
        </w:rPr>
        <w:t xml:space="preserve"> </w:t>
      </w:r>
      <w:r w:rsidR="000D38C0" w:rsidRPr="00574A28">
        <w:rPr>
          <w:i/>
        </w:rPr>
        <w:fldChar w:fldCharType="begin"/>
      </w:r>
      <w:r w:rsidR="000D38C0" w:rsidRPr="00574A28">
        <w:rPr>
          <w:i/>
        </w:rPr>
        <w:instrText xml:space="preserve"> REF _Ref384201964 \h  \* MERGEFORMAT </w:instrText>
      </w:r>
      <w:r w:rsidR="000D38C0" w:rsidRPr="00574A28">
        <w:rPr>
          <w:i/>
        </w:rPr>
      </w:r>
      <w:r w:rsidR="000D38C0" w:rsidRPr="00574A28">
        <w:rPr>
          <w:i/>
        </w:rPr>
        <w:fldChar w:fldCharType="separate"/>
      </w:r>
      <w:r w:rsidR="007E3DB6" w:rsidRPr="007E3DB6">
        <w:rPr>
          <w:i/>
        </w:rPr>
        <w:t>Admissions and Discharges</w:t>
      </w:r>
      <w:r w:rsidR="000D38C0" w:rsidRPr="00574A28">
        <w:rPr>
          <w:i/>
        </w:rPr>
        <w:fldChar w:fldCharType="end"/>
      </w:r>
      <w:r w:rsidR="000D38C0">
        <w:t>).</w:t>
      </w:r>
    </w:p>
    <w:p w:rsidR="00CA3E0C" w:rsidRPr="00F96E18" w:rsidRDefault="00CA3E0C" w:rsidP="00CA3E0C">
      <w:pPr>
        <w:pStyle w:val="KeyFindings"/>
        <w:rPr>
          <w:rStyle w:val="FigureChar"/>
        </w:rPr>
      </w:pPr>
      <w:bookmarkStart w:id="41" w:name="_Toc281982788"/>
      <w:bookmarkStart w:id="42" w:name="_Toc316897974"/>
      <w:bookmarkStart w:id="43" w:name="_Toc350841478"/>
      <w:r w:rsidRPr="00F96E18">
        <w:t xml:space="preserve">The 429 discharges in FY14 were comprised of 213 discharges (50%) with a </w:t>
      </w:r>
      <w:r w:rsidRPr="00F96E18">
        <w:rPr>
          <w:i/>
        </w:rPr>
        <w:t>Civil</w:t>
      </w:r>
      <w:r w:rsidRPr="00F96E18">
        <w:t xml:space="preserve"> legal status, 178 (41%) with a </w:t>
      </w:r>
      <w:r w:rsidRPr="00F96E18">
        <w:rPr>
          <w:i/>
        </w:rPr>
        <w:t xml:space="preserve">Pre-trial </w:t>
      </w:r>
      <w:r w:rsidRPr="00F96E18">
        <w:t>legal status and 38 (9%) with a</w:t>
      </w:r>
      <w:r w:rsidR="006E60A9">
        <w:t xml:space="preserve"> post-trial</w:t>
      </w:r>
      <w:r w:rsidRPr="00F96E18">
        <w:t xml:space="preserve"> legal status.  This is translated into an average of 36 discharges per month (18 </w:t>
      </w:r>
      <w:r w:rsidRPr="00F96E18">
        <w:rPr>
          <w:i/>
        </w:rPr>
        <w:t>Civil</w:t>
      </w:r>
      <w:r w:rsidRPr="00F96E18">
        <w:t xml:space="preserve">, 15 </w:t>
      </w:r>
      <w:r w:rsidRPr="00F96E18">
        <w:rPr>
          <w:i/>
        </w:rPr>
        <w:t>Pre-trial</w:t>
      </w:r>
      <w:r w:rsidRPr="00F96E18">
        <w:t xml:space="preserve">, and 3 </w:t>
      </w:r>
      <w:r w:rsidRPr="00F96E18">
        <w:rPr>
          <w:i/>
        </w:rPr>
        <w:t>Post-trial</w:t>
      </w:r>
      <w:r w:rsidRPr="00F96E18">
        <w:t>).</w:t>
      </w:r>
    </w:p>
    <w:bookmarkEnd w:id="41"/>
    <w:bookmarkEnd w:id="42"/>
    <w:bookmarkEnd w:id="43"/>
    <w:p w:rsidR="00820E7E" w:rsidRPr="00F96E18" w:rsidRDefault="00DB4206" w:rsidP="00DB4206">
      <w:pPr>
        <w:pStyle w:val="KeyFindings"/>
      </w:pPr>
      <w:r w:rsidRPr="00F96E18">
        <w:t xml:space="preserve">Between FY10 and FY12, the number of </w:t>
      </w:r>
      <w:r w:rsidRPr="00F96E18">
        <w:rPr>
          <w:i/>
        </w:rPr>
        <w:t>Civil</w:t>
      </w:r>
      <w:r w:rsidRPr="00F96E18">
        <w:t xml:space="preserve"> discharges noticeably decreased as the number of </w:t>
      </w:r>
      <w:r w:rsidRPr="00F96E18">
        <w:rPr>
          <w:i/>
        </w:rPr>
        <w:t>Civil</w:t>
      </w:r>
      <w:r w:rsidRPr="00F96E18">
        <w:t xml:space="preserve"> admissions decreased.  The number of </w:t>
      </w:r>
      <w:r w:rsidRPr="00F96E18">
        <w:rPr>
          <w:i/>
        </w:rPr>
        <w:t>Civil</w:t>
      </w:r>
      <w:r w:rsidRPr="00F96E18">
        <w:t xml:space="preserve"> discharges, however, increased </w:t>
      </w:r>
      <w:r w:rsidR="00820E7E" w:rsidRPr="00F96E18">
        <w:t>in FY13 along with</w:t>
      </w:r>
      <w:r w:rsidRPr="00F96E18">
        <w:t xml:space="preserve"> an increase of </w:t>
      </w:r>
      <w:r w:rsidRPr="00F96E18">
        <w:rPr>
          <w:i/>
        </w:rPr>
        <w:t>Civil</w:t>
      </w:r>
      <w:r w:rsidRPr="00F96E18">
        <w:t xml:space="preserve"> admissions.  </w:t>
      </w:r>
      <w:r w:rsidR="00820E7E" w:rsidRPr="00F96E18">
        <w:t xml:space="preserve">In FY14, the number of </w:t>
      </w:r>
      <w:r w:rsidR="00820E7E" w:rsidRPr="00F96E18">
        <w:rPr>
          <w:i/>
        </w:rPr>
        <w:t>Civil</w:t>
      </w:r>
      <w:r w:rsidR="00820E7E" w:rsidRPr="00F96E18">
        <w:t xml:space="preserve"> discharges decreased </w:t>
      </w:r>
      <w:r w:rsidR="00F96E18">
        <w:t xml:space="preserve">again </w:t>
      </w:r>
      <w:r w:rsidR="00F96E18" w:rsidRPr="00F96E18">
        <w:t xml:space="preserve">but </w:t>
      </w:r>
      <w:r w:rsidR="00F96E18">
        <w:t xml:space="preserve">it </w:t>
      </w:r>
      <w:r w:rsidR="00F96E18" w:rsidRPr="00F96E18">
        <w:t xml:space="preserve">was exceeded by the number of </w:t>
      </w:r>
      <w:r w:rsidR="00F96E18" w:rsidRPr="00F96E18">
        <w:rPr>
          <w:i/>
        </w:rPr>
        <w:t>Civil</w:t>
      </w:r>
      <w:r w:rsidR="00F96E18" w:rsidRPr="00F96E18">
        <w:t xml:space="preserve"> admissions, leading to an increase of Civil population remaining in care</w:t>
      </w:r>
      <w:r w:rsidR="00F96E18">
        <w:t xml:space="preserve"> </w:t>
      </w:r>
      <w:r w:rsidR="001D053F">
        <w:t>at</w:t>
      </w:r>
      <w:r w:rsidR="00F96E18">
        <w:t xml:space="preserve"> the end of FY14</w:t>
      </w:r>
      <w:r w:rsidR="00F96E18" w:rsidRPr="00F96E18">
        <w:t>.</w:t>
      </w:r>
      <w:r w:rsidR="00820E7E" w:rsidRPr="00F96E18">
        <w:t xml:space="preserve"> </w:t>
      </w:r>
    </w:p>
    <w:p w:rsidR="00DB4206" w:rsidRDefault="00DB4206" w:rsidP="00DB4206">
      <w:pPr>
        <w:pStyle w:val="KeyFindings"/>
      </w:pPr>
      <w:r>
        <w:t xml:space="preserve">The trend of </w:t>
      </w:r>
      <w:r w:rsidRPr="000E79C1">
        <w:rPr>
          <w:i/>
        </w:rPr>
        <w:t xml:space="preserve">Pre-trial </w:t>
      </w:r>
      <w:r>
        <w:t xml:space="preserve">discharges is the opposite of the </w:t>
      </w:r>
      <w:r w:rsidRPr="000E79C1">
        <w:rPr>
          <w:i/>
        </w:rPr>
        <w:t>Civil</w:t>
      </w:r>
      <w:r>
        <w:t xml:space="preserve"> discharge trend: the increasing trend of </w:t>
      </w:r>
      <w:r w:rsidRPr="000E79C1">
        <w:rPr>
          <w:i/>
        </w:rPr>
        <w:t xml:space="preserve">Pre-trial </w:t>
      </w:r>
      <w:r>
        <w:t>discharges between FY10 and FY12 reversed in FY13</w:t>
      </w:r>
      <w:r w:rsidR="001D053F">
        <w:t>,</w:t>
      </w:r>
      <w:r>
        <w:t xml:space="preserve"> and </w:t>
      </w:r>
      <w:r w:rsidR="001D053F">
        <w:t xml:space="preserve">the upward trend </w:t>
      </w:r>
      <w:r>
        <w:t xml:space="preserve">continued </w:t>
      </w:r>
      <w:r w:rsidR="001D053F">
        <w:t>in</w:t>
      </w:r>
      <w:r>
        <w:t xml:space="preserve"> FY14.  The number of </w:t>
      </w:r>
      <w:r w:rsidRPr="000E79C1">
        <w:rPr>
          <w:i/>
        </w:rPr>
        <w:t>Post-trial</w:t>
      </w:r>
      <w:r>
        <w:t xml:space="preserve"> discharges, those transferred to the community on conditional release, </w:t>
      </w:r>
      <w:r w:rsidR="007006A8">
        <w:t>increased noticeably in FY14.</w:t>
      </w:r>
    </w:p>
    <w:p w:rsidR="00DB4206" w:rsidRDefault="00DB4206" w:rsidP="00247215">
      <w:pPr>
        <w:pStyle w:val="KeyFindings"/>
        <w:keepNext/>
        <w:numPr>
          <w:ilvl w:val="0"/>
          <w:numId w:val="0"/>
        </w:numPr>
      </w:pPr>
      <w:bookmarkStart w:id="44" w:name="_Toc386095060"/>
      <w:bookmarkStart w:id="45" w:name="_Toc416357891"/>
      <w:r w:rsidRPr="00E269E2">
        <w:rPr>
          <w:rStyle w:val="FigureChar"/>
        </w:rPr>
        <w:t xml:space="preserve">Figure </w:t>
      </w:r>
      <w:r>
        <w:rPr>
          <w:rStyle w:val="FigureChar"/>
        </w:rPr>
        <w:fldChar w:fldCharType="begin"/>
      </w:r>
      <w:r>
        <w:rPr>
          <w:rStyle w:val="FigureChar"/>
        </w:rPr>
        <w:instrText xml:space="preserve"> SEQ Figure \* ARABIC </w:instrText>
      </w:r>
      <w:r>
        <w:rPr>
          <w:rStyle w:val="FigureChar"/>
        </w:rPr>
        <w:fldChar w:fldCharType="separate"/>
      </w:r>
      <w:r w:rsidR="007E3DB6">
        <w:rPr>
          <w:rStyle w:val="FigureChar"/>
          <w:noProof/>
        </w:rPr>
        <w:t>6</w:t>
      </w:r>
      <w:r>
        <w:rPr>
          <w:rStyle w:val="FigureChar"/>
        </w:rPr>
        <w:fldChar w:fldCharType="end"/>
      </w:r>
      <w:r w:rsidRPr="00E269E2">
        <w:rPr>
          <w:rStyle w:val="FigureChar"/>
        </w:rPr>
        <w:t xml:space="preserve">. </w:t>
      </w:r>
      <w:r>
        <w:rPr>
          <w:rStyle w:val="FigureChar"/>
        </w:rPr>
        <w:t xml:space="preserve">Number and Proportion of Discharges by Legal Status </w:t>
      </w:r>
      <w:r w:rsidRPr="00E269E2">
        <w:rPr>
          <w:rStyle w:val="FigureChar"/>
        </w:rPr>
        <w:t>(</w:t>
      </w:r>
      <w:r>
        <w:rPr>
          <w:rStyle w:val="FigureChar"/>
        </w:rPr>
        <w:t>FY10 ~ FY14</w:t>
      </w:r>
      <w:r w:rsidRPr="00E269E2">
        <w:rPr>
          <w:rStyle w:val="FigureChar"/>
        </w:rPr>
        <w:t>)</w:t>
      </w:r>
      <w:bookmarkEnd w:id="44"/>
      <w:bookmarkEnd w:id="45"/>
    </w:p>
    <w:tbl>
      <w:tblPr>
        <w:tblStyle w:val="TableGrid"/>
        <w:tblW w:w="10980" w:type="dxa"/>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00"/>
        <w:gridCol w:w="4680"/>
      </w:tblGrid>
      <w:tr w:rsidR="00DB4206" w:rsidTr="009A5925">
        <w:tc>
          <w:tcPr>
            <w:tcW w:w="6300" w:type="dxa"/>
          </w:tcPr>
          <w:p w:rsidR="00DB4206" w:rsidRDefault="00DB4206" w:rsidP="00080C04">
            <w:pPr>
              <w:pStyle w:val="KeyFindings"/>
              <w:numPr>
                <w:ilvl w:val="0"/>
                <w:numId w:val="0"/>
              </w:numPr>
            </w:pPr>
            <w:r>
              <w:rPr>
                <w:noProof/>
                <w:lang w:eastAsia="en-US"/>
              </w:rPr>
              <w:drawing>
                <wp:inline distT="0" distB="0" distL="0" distR="0" wp14:anchorId="42DB66D8" wp14:editId="760557D7">
                  <wp:extent cx="4076700" cy="2390775"/>
                  <wp:effectExtent l="0" t="0" r="0" b="0"/>
                  <wp:docPr id="151" name="Chart 1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4680" w:type="dxa"/>
          </w:tcPr>
          <w:p w:rsidR="00DB4206" w:rsidRDefault="009A5925" w:rsidP="00080C04">
            <w:pPr>
              <w:pStyle w:val="KeyFindings"/>
              <w:numPr>
                <w:ilvl w:val="0"/>
                <w:numId w:val="0"/>
              </w:numPr>
              <w:ind w:right="-90"/>
            </w:pPr>
            <w:r>
              <w:rPr>
                <w:noProof/>
                <w:lang w:eastAsia="en-US"/>
              </w:rPr>
              <w:drawing>
                <wp:inline distT="0" distB="0" distL="0" distR="0" wp14:anchorId="4607B81C" wp14:editId="312EDE51">
                  <wp:extent cx="2809875" cy="2447925"/>
                  <wp:effectExtent l="0" t="0" r="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bl>
    <w:p w:rsidR="00DB4206" w:rsidRPr="00D760F8" w:rsidRDefault="00DB4206" w:rsidP="00DB4206">
      <w:pPr>
        <w:pStyle w:val="Heading2"/>
      </w:pPr>
      <w:bookmarkStart w:id="46" w:name="_Ref384201964"/>
      <w:bookmarkStart w:id="47" w:name="_Toc386095018"/>
      <w:bookmarkStart w:id="48" w:name="_Toc416357852"/>
      <w:bookmarkStart w:id="49" w:name="_Toc316897930"/>
      <w:bookmarkStart w:id="50" w:name="_Toc349913395"/>
      <w:bookmarkStart w:id="51" w:name="_Toc384134246"/>
      <w:r>
        <w:t>Admissions and Discharges</w:t>
      </w:r>
      <w:bookmarkEnd w:id="46"/>
      <w:bookmarkEnd w:id="47"/>
      <w:bookmarkEnd w:id="48"/>
    </w:p>
    <w:p w:rsidR="00882DC2" w:rsidRDefault="00882DC2" w:rsidP="00DB4206">
      <w:pPr>
        <w:pStyle w:val="KeyFindings"/>
      </w:pPr>
      <w:r>
        <w:t xml:space="preserve">Both admissions and discharges consistently showed a downward trend through FY12 </w:t>
      </w:r>
      <w:r w:rsidR="000C1922">
        <w:t>and</w:t>
      </w:r>
      <w:r>
        <w:t xml:space="preserve"> an increase in FY13</w:t>
      </w:r>
      <w:r w:rsidR="00463F44">
        <w:t>.</w:t>
      </w:r>
      <w:r w:rsidR="00487540">
        <w:t xml:space="preserve"> </w:t>
      </w:r>
      <w:r w:rsidR="000C1922">
        <w:t>The number of a</w:t>
      </w:r>
      <w:r w:rsidR="00463F44">
        <w:t xml:space="preserve">dmissions continued to increase </w:t>
      </w:r>
      <w:r w:rsidR="00487540">
        <w:t xml:space="preserve">in FY14, but </w:t>
      </w:r>
      <w:r w:rsidR="000C1922">
        <w:t xml:space="preserve">the number of </w:t>
      </w:r>
      <w:r w:rsidR="00463F44">
        <w:t xml:space="preserve">discharges </w:t>
      </w:r>
      <w:r w:rsidR="00F954A0">
        <w:t>r</w:t>
      </w:r>
      <w:r w:rsidR="00463F44">
        <w:t>emained the same.</w:t>
      </w:r>
    </w:p>
    <w:p w:rsidR="004D2559" w:rsidRDefault="004D2559" w:rsidP="00DB4206">
      <w:pPr>
        <w:pStyle w:val="KeyFindings"/>
      </w:pPr>
      <w:r>
        <w:lastRenderedPageBreak/>
        <w:t>Between FY09 and FY13, the number of discharges exceeded the number of admissions, which is the reason why the census continued to decline during that timeframe.  However, the</w:t>
      </w:r>
      <w:r w:rsidR="00B21F55">
        <w:t xml:space="preserve"> difference</w:t>
      </w:r>
      <w:r>
        <w:t xml:space="preserve"> between admissions and discharges </w:t>
      </w:r>
      <w:r w:rsidR="00F954A0">
        <w:t xml:space="preserve">during this period </w:t>
      </w:r>
      <w:r>
        <w:t>narrow</w:t>
      </w:r>
      <w:r w:rsidR="00B21F55">
        <w:t>ed</w:t>
      </w:r>
      <w:r>
        <w:t xml:space="preserve">.  Even when the admission trend reversed </w:t>
      </w:r>
      <w:r w:rsidR="00F954A0">
        <w:t xml:space="preserve">and the total number of admissions </w:t>
      </w:r>
      <w:r>
        <w:t>increase</w:t>
      </w:r>
      <w:r w:rsidR="00F954A0">
        <w:t>d</w:t>
      </w:r>
      <w:r>
        <w:t xml:space="preserve"> in FY13, </w:t>
      </w:r>
      <w:r w:rsidR="00F954A0">
        <w:t>d</w:t>
      </w:r>
      <w:r>
        <w:t xml:space="preserve">ischarges </w:t>
      </w:r>
      <w:r w:rsidR="00B21F55">
        <w:t xml:space="preserve">still </w:t>
      </w:r>
      <w:r w:rsidR="00F954A0">
        <w:t>exceeded</w:t>
      </w:r>
      <w:r w:rsidRPr="00FD3B10">
        <w:t xml:space="preserve"> admissions by six (6).  In FY14, </w:t>
      </w:r>
      <w:r w:rsidR="00F954A0">
        <w:t xml:space="preserve">however, </w:t>
      </w:r>
      <w:r w:rsidRPr="00FD3B10">
        <w:t xml:space="preserve">the </w:t>
      </w:r>
      <w:r w:rsidR="00F954A0">
        <w:t xml:space="preserve">total </w:t>
      </w:r>
      <w:r w:rsidRPr="00FD3B10">
        <w:t xml:space="preserve">number of admissions outpaced the </w:t>
      </w:r>
      <w:r w:rsidR="00F954A0">
        <w:t xml:space="preserve">total </w:t>
      </w:r>
      <w:r w:rsidRPr="00FD3B10">
        <w:t xml:space="preserve">number of discharges, contributing </w:t>
      </w:r>
      <w:r w:rsidR="00F954A0">
        <w:t xml:space="preserve">to </w:t>
      </w:r>
      <w:r w:rsidRPr="00FD3B10">
        <w:t xml:space="preserve">a noticeable increase </w:t>
      </w:r>
      <w:r w:rsidR="002F18DE">
        <w:t>in</w:t>
      </w:r>
      <w:r w:rsidRPr="00FD3B10">
        <w:t xml:space="preserve"> census by the end of FY14. </w:t>
      </w:r>
    </w:p>
    <w:p w:rsidR="00DB4206" w:rsidRDefault="00DB4206" w:rsidP="00DB4206">
      <w:pPr>
        <w:pStyle w:val="BodyText"/>
        <w:keepNext/>
        <w:spacing w:before="120"/>
        <w:ind w:left="907" w:right="-115" w:hanging="907"/>
        <w:rPr>
          <w:rStyle w:val="FigureChar"/>
        </w:rPr>
      </w:pPr>
      <w:bookmarkStart w:id="52" w:name="_Toc281982789"/>
      <w:bookmarkStart w:id="53" w:name="_Toc316897975"/>
      <w:bookmarkStart w:id="54" w:name="_Toc350841479"/>
      <w:bookmarkStart w:id="55" w:name="_Toc386095062"/>
      <w:bookmarkStart w:id="56" w:name="_Toc416357892"/>
      <w:bookmarkEnd w:id="49"/>
      <w:bookmarkEnd w:id="50"/>
      <w:bookmarkEnd w:id="51"/>
      <w:r w:rsidRPr="00650386">
        <w:rPr>
          <w:rStyle w:val="FigureChar"/>
        </w:rPr>
        <w:t xml:space="preserve">Figure </w:t>
      </w:r>
      <w:r w:rsidRPr="00650386">
        <w:rPr>
          <w:rStyle w:val="FigureChar"/>
        </w:rPr>
        <w:fldChar w:fldCharType="begin"/>
      </w:r>
      <w:r w:rsidRPr="00650386">
        <w:rPr>
          <w:rStyle w:val="FigureChar"/>
        </w:rPr>
        <w:instrText xml:space="preserve"> SEQ Figure \* ARABIC </w:instrText>
      </w:r>
      <w:r w:rsidRPr="00650386">
        <w:rPr>
          <w:rStyle w:val="FigureChar"/>
        </w:rPr>
        <w:fldChar w:fldCharType="separate"/>
      </w:r>
      <w:r w:rsidR="007E3DB6">
        <w:rPr>
          <w:rStyle w:val="FigureChar"/>
          <w:noProof/>
        </w:rPr>
        <w:t>7</w:t>
      </w:r>
      <w:r w:rsidRPr="00650386">
        <w:rPr>
          <w:rStyle w:val="FigureChar"/>
        </w:rPr>
        <w:fldChar w:fldCharType="end"/>
      </w:r>
      <w:r w:rsidRPr="00650386">
        <w:rPr>
          <w:rStyle w:val="FigureChar"/>
        </w:rPr>
        <w:t>. Admissions vs. Discharges (FY0</w:t>
      </w:r>
      <w:r>
        <w:rPr>
          <w:rStyle w:val="FigureChar"/>
        </w:rPr>
        <w:t>7</w:t>
      </w:r>
      <w:r w:rsidRPr="00650386">
        <w:rPr>
          <w:rStyle w:val="FigureChar"/>
        </w:rPr>
        <w:t xml:space="preserve"> ~ </w:t>
      </w:r>
      <w:r>
        <w:rPr>
          <w:rStyle w:val="FigureChar"/>
        </w:rPr>
        <w:t>FY14</w:t>
      </w:r>
      <w:r w:rsidRPr="00650386">
        <w:rPr>
          <w:rStyle w:val="FigureChar"/>
        </w:rPr>
        <w:t>)</w:t>
      </w:r>
      <w:bookmarkEnd w:id="52"/>
      <w:bookmarkEnd w:id="53"/>
      <w:bookmarkEnd w:id="54"/>
      <w:bookmarkEnd w:id="55"/>
      <w:bookmarkEnd w:id="56"/>
      <w:r w:rsidRPr="00650386">
        <w:rPr>
          <w:rStyle w:val="FigureChar"/>
        </w:rPr>
        <w:t xml:space="preserve"> </w:t>
      </w:r>
    </w:p>
    <w:p w:rsidR="00DB4206" w:rsidRDefault="00E15EE9" w:rsidP="00DB4206">
      <w:r>
        <w:rPr>
          <w:noProof/>
        </w:rPr>
        <w:drawing>
          <wp:inline distT="0" distB="0" distL="0" distR="0" wp14:anchorId="6E13A297" wp14:editId="02515A8B">
            <wp:extent cx="6443932" cy="2527540"/>
            <wp:effectExtent l="0" t="0" r="0" b="635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036AFA" w:rsidRPr="00036AFA">
        <w:rPr>
          <w:noProof/>
        </w:rPr>
        <w:t xml:space="preserve"> </w:t>
      </w:r>
    </w:p>
    <w:p w:rsidR="00DB4206" w:rsidRPr="00FD3B10" w:rsidRDefault="00C82082" w:rsidP="00DB4206">
      <w:pPr>
        <w:pStyle w:val="KeyFindings"/>
      </w:pPr>
      <w:bookmarkStart w:id="57" w:name="_Toc386095063"/>
      <w:r w:rsidRPr="00FD3B10">
        <w:t>As aforementioned, some individuals admitted with a</w:t>
      </w:r>
      <w:r w:rsidR="000C1922">
        <w:t xml:space="preserve"> pre-trial </w:t>
      </w:r>
      <w:r w:rsidRPr="00FD3B10">
        <w:t xml:space="preserve">legal status may have </w:t>
      </w:r>
      <w:r w:rsidR="000C1922">
        <w:t xml:space="preserve">had </w:t>
      </w:r>
      <w:r w:rsidRPr="00FD3B10">
        <w:t>the</w:t>
      </w:r>
      <w:r w:rsidR="000C1922">
        <w:t>ir</w:t>
      </w:r>
      <w:r w:rsidRPr="00FD3B10">
        <w:t xml:space="preserve"> legal status converted to a</w:t>
      </w:r>
      <w:r w:rsidR="000C1922">
        <w:t xml:space="preserve"> civil legal </w:t>
      </w:r>
      <w:r>
        <w:t xml:space="preserve">status while remaining in care, </w:t>
      </w:r>
      <w:r w:rsidR="000C1922">
        <w:t xml:space="preserve">and subsequently </w:t>
      </w:r>
      <w:r w:rsidR="00B21F55">
        <w:t xml:space="preserve">they </w:t>
      </w:r>
      <w:r w:rsidR="000C1922">
        <w:t xml:space="preserve">were </w:t>
      </w:r>
      <w:r>
        <w:t xml:space="preserve">discharged </w:t>
      </w:r>
      <w:r w:rsidR="00FE1579">
        <w:t>with</w:t>
      </w:r>
      <w:r>
        <w:t xml:space="preserve"> a</w:t>
      </w:r>
      <w:r w:rsidR="000C1922">
        <w:t xml:space="preserve"> civil </w:t>
      </w:r>
      <w:r>
        <w:t xml:space="preserve">legal status. </w:t>
      </w:r>
      <w:r w:rsidR="00B21F55">
        <w:t xml:space="preserve"> </w:t>
      </w:r>
      <w:r w:rsidR="005C64A7">
        <w:t xml:space="preserve">As a result, there </w:t>
      </w:r>
      <w:r w:rsidR="00B21F55">
        <w:t>wa</w:t>
      </w:r>
      <w:r w:rsidR="000C1922">
        <w:t xml:space="preserve">s </w:t>
      </w:r>
      <w:r w:rsidR="005C64A7">
        <w:t>always some level of net gains in</w:t>
      </w:r>
      <w:r w:rsidR="000C1922">
        <w:t xml:space="preserve"> the</w:t>
      </w:r>
      <w:r w:rsidR="005C64A7">
        <w:t xml:space="preserve"> </w:t>
      </w:r>
      <w:r w:rsidR="005C64A7" w:rsidRPr="00736FB7">
        <w:rPr>
          <w:i/>
        </w:rPr>
        <w:t>Pre-trial</w:t>
      </w:r>
      <w:r w:rsidR="005C64A7">
        <w:t xml:space="preserve"> Population </w:t>
      </w:r>
      <w:r w:rsidR="00B21F55">
        <w:t>since</w:t>
      </w:r>
      <w:r w:rsidR="005C64A7">
        <w:t xml:space="preserve"> the level of </w:t>
      </w:r>
      <w:r w:rsidR="000C1922" w:rsidRPr="000C1922">
        <w:rPr>
          <w:i/>
        </w:rPr>
        <w:t>Pre-trial</w:t>
      </w:r>
      <w:r w:rsidR="000C1922">
        <w:t xml:space="preserve"> discharges </w:t>
      </w:r>
      <w:r w:rsidR="00B21F55">
        <w:t xml:space="preserve">would be </w:t>
      </w:r>
      <w:r w:rsidR="00575D93">
        <w:t xml:space="preserve">lower than the level of </w:t>
      </w:r>
      <w:r w:rsidR="00575D93" w:rsidRPr="00575D93">
        <w:rPr>
          <w:i/>
        </w:rPr>
        <w:t xml:space="preserve">Pre-trial </w:t>
      </w:r>
      <w:r w:rsidR="005C64A7">
        <w:t xml:space="preserve">admissions.  </w:t>
      </w:r>
      <w:r w:rsidR="00B63E6D">
        <w:t>T</w:t>
      </w:r>
      <w:r w:rsidR="00F53966">
        <w:t>he difference between admissions and discharges for</w:t>
      </w:r>
      <w:r w:rsidR="00575D93">
        <w:t xml:space="preserve"> the</w:t>
      </w:r>
      <w:r w:rsidR="00F53966">
        <w:t xml:space="preserve"> </w:t>
      </w:r>
      <w:r w:rsidR="00F53966" w:rsidRPr="00B665B1">
        <w:rPr>
          <w:i/>
        </w:rPr>
        <w:t>Pre-trial</w:t>
      </w:r>
      <w:r w:rsidR="00F53966">
        <w:t xml:space="preserve"> population during FY14 was exceptionally large.  Th</w:t>
      </w:r>
      <w:r w:rsidR="00B63E6D">
        <w:t>is</w:t>
      </w:r>
      <w:r w:rsidR="00F53966">
        <w:t xml:space="preserve"> is due to </w:t>
      </w:r>
      <w:r w:rsidR="00927FB3">
        <w:t xml:space="preserve">the </w:t>
      </w:r>
      <w:r w:rsidR="00B63E6D">
        <w:t>considerable</w:t>
      </w:r>
      <w:r w:rsidR="00F53966">
        <w:t xml:space="preserve"> increase</w:t>
      </w:r>
      <w:r w:rsidR="00B21F55">
        <w:t xml:space="preserve"> in the</w:t>
      </w:r>
      <w:r w:rsidR="00927FB3">
        <w:t xml:space="preserve"> number of </w:t>
      </w:r>
      <w:r w:rsidR="00927FB3" w:rsidRPr="00927FB3">
        <w:rPr>
          <w:i/>
        </w:rPr>
        <w:t>Pre-trial</w:t>
      </w:r>
      <w:r w:rsidR="00F53966">
        <w:t xml:space="preserve"> admissions</w:t>
      </w:r>
      <w:r w:rsidR="00B665B1">
        <w:t xml:space="preserve"> </w:t>
      </w:r>
      <w:r w:rsidR="00575D93">
        <w:t>while</w:t>
      </w:r>
      <w:r w:rsidR="00927FB3">
        <w:t xml:space="preserve"> the number of</w:t>
      </w:r>
      <w:r w:rsidR="00575D93">
        <w:t xml:space="preserve"> </w:t>
      </w:r>
      <w:r w:rsidR="00575D93" w:rsidRPr="00575D93">
        <w:rPr>
          <w:i/>
        </w:rPr>
        <w:t>Civil</w:t>
      </w:r>
      <w:r w:rsidR="00575D93">
        <w:t xml:space="preserve"> admissions decreased.</w:t>
      </w:r>
    </w:p>
    <w:p w:rsidR="00DB4206" w:rsidRDefault="00DB4206" w:rsidP="00EA5789">
      <w:pPr>
        <w:pStyle w:val="BodyText"/>
        <w:keepNext/>
        <w:spacing w:before="120"/>
        <w:ind w:left="907" w:right="-115" w:hanging="907"/>
        <w:rPr>
          <w:rStyle w:val="FigureChar"/>
        </w:rPr>
      </w:pPr>
      <w:bookmarkStart w:id="58" w:name="_Toc416357893"/>
      <w:r w:rsidRPr="00650386">
        <w:rPr>
          <w:rStyle w:val="FigureChar"/>
        </w:rPr>
        <w:t xml:space="preserve">Figure </w:t>
      </w:r>
      <w:r w:rsidRPr="00650386">
        <w:rPr>
          <w:rStyle w:val="FigureChar"/>
        </w:rPr>
        <w:fldChar w:fldCharType="begin"/>
      </w:r>
      <w:r w:rsidRPr="00650386">
        <w:rPr>
          <w:rStyle w:val="FigureChar"/>
        </w:rPr>
        <w:instrText xml:space="preserve"> SEQ Figure \* ARABIC </w:instrText>
      </w:r>
      <w:r w:rsidRPr="00650386">
        <w:rPr>
          <w:rStyle w:val="FigureChar"/>
        </w:rPr>
        <w:fldChar w:fldCharType="separate"/>
      </w:r>
      <w:r w:rsidR="007E3DB6">
        <w:rPr>
          <w:rStyle w:val="FigureChar"/>
          <w:noProof/>
        </w:rPr>
        <w:t>8</w:t>
      </w:r>
      <w:r w:rsidRPr="00650386">
        <w:rPr>
          <w:rStyle w:val="FigureChar"/>
        </w:rPr>
        <w:fldChar w:fldCharType="end"/>
      </w:r>
      <w:r w:rsidRPr="00650386">
        <w:rPr>
          <w:rStyle w:val="FigureChar"/>
        </w:rPr>
        <w:t xml:space="preserve">. </w:t>
      </w:r>
      <w:r>
        <w:rPr>
          <w:rStyle w:val="FigureChar"/>
        </w:rPr>
        <w:t xml:space="preserve">Difference between </w:t>
      </w:r>
      <w:r w:rsidRPr="00650386">
        <w:rPr>
          <w:rStyle w:val="FigureChar"/>
        </w:rPr>
        <w:t xml:space="preserve">Admissions </w:t>
      </w:r>
      <w:r>
        <w:rPr>
          <w:rStyle w:val="FigureChar"/>
        </w:rPr>
        <w:t>and</w:t>
      </w:r>
      <w:r w:rsidRPr="00650386">
        <w:rPr>
          <w:rStyle w:val="FigureChar"/>
        </w:rPr>
        <w:t xml:space="preserve"> Discharges </w:t>
      </w:r>
      <w:r>
        <w:rPr>
          <w:rStyle w:val="FigureChar"/>
        </w:rPr>
        <w:t xml:space="preserve">by Legal Status </w:t>
      </w:r>
      <w:r w:rsidRPr="00650386">
        <w:rPr>
          <w:rStyle w:val="FigureChar"/>
        </w:rPr>
        <w:t>(FY</w:t>
      </w:r>
      <w:r>
        <w:rPr>
          <w:rStyle w:val="FigureChar"/>
        </w:rPr>
        <w:t>10</w:t>
      </w:r>
      <w:r w:rsidRPr="00650386">
        <w:rPr>
          <w:rStyle w:val="FigureChar"/>
        </w:rPr>
        <w:t xml:space="preserve"> ~ </w:t>
      </w:r>
      <w:r>
        <w:rPr>
          <w:rStyle w:val="FigureChar"/>
        </w:rPr>
        <w:t>FY14</w:t>
      </w:r>
      <w:r w:rsidRPr="00650386">
        <w:rPr>
          <w:rStyle w:val="FigureChar"/>
        </w:rPr>
        <w:t>)</w:t>
      </w:r>
      <w:bookmarkEnd w:id="57"/>
      <w:bookmarkEnd w:id="58"/>
    </w:p>
    <w:tbl>
      <w:tblPr>
        <w:tblStyle w:val="TableGrid"/>
        <w:tblW w:w="10710" w:type="dxa"/>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10"/>
        <w:gridCol w:w="3600"/>
      </w:tblGrid>
      <w:tr w:rsidR="00DB4206" w:rsidTr="00F23124">
        <w:tc>
          <w:tcPr>
            <w:tcW w:w="7110" w:type="dxa"/>
          </w:tcPr>
          <w:p w:rsidR="00DB4206" w:rsidRDefault="00F23124" w:rsidP="00080C04">
            <w:pPr>
              <w:pStyle w:val="KeyFindings"/>
              <w:numPr>
                <w:ilvl w:val="0"/>
                <w:numId w:val="0"/>
              </w:numPr>
            </w:pPr>
            <w:r>
              <w:rPr>
                <w:noProof/>
                <w:lang w:eastAsia="en-US"/>
              </w:rPr>
              <w:drawing>
                <wp:inline distT="0" distB="0" distL="0" distR="0" wp14:anchorId="060B3854" wp14:editId="777C99F9">
                  <wp:extent cx="4563374" cy="2717321"/>
                  <wp:effectExtent l="0" t="0" r="8890" b="6985"/>
                  <wp:docPr id="155" name="Chart 1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3600" w:type="dxa"/>
          </w:tcPr>
          <w:p w:rsidR="00DB4206" w:rsidRDefault="00E44739" w:rsidP="00080C04">
            <w:pPr>
              <w:pStyle w:val="KeyFindings"/>
              <w:numPr>
                <w:ilvl w:val="0"/>
                <w:numId w:val="0"/>
              </w:numPr>
            </w:pPr>
            <w:r>
              <w:rPr>
                <w:noProof/>
                <w:lang w:eastAsia="en-US"/>
              </w:rPr>
              <w:drawing>
                <wp:inline distT="0" distB="0" distL="0" distR="0" wp14:anchorId="022BE3C9" wp14:editId="68CE4B4B">
                  <wp:extent cx="2182483" cy="2820838"/>
                  <wp:effectExtent l="0" t="0" r="8890" b="0"/>
                  <wp:docPr id="152" name="Chart 1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bl>
    <w:p w:rsidR="00DB4206" w:rsidRPr="00D760F8" w:rsidRDefault="00DB4206" w:rsidP="00DB4206">
      <w:pPr>
        <w:pStyle w:val="Heading2"/>
      </w:pPr>
      <w:bookmarkStart w:id="59" w:name="_Toc316897931"/>
      <w:bookmarkStart w:id="60" w:name="_Toc349913396"/>
      <w:bookmarkStart w:id="61" w:name="_Toc384134247"/>
      <w:bookmarkStart w:id="62" w:name="_Toc386095019"/>
      <w:bookmarkStart w:id="63" w:name="_Toc416357853"/>
      <w:r>
        <w:lastRenderedPageBreak/>
        <w:t xml:space="preserve">Inter-Unit </w:t>
      </w:r>
      <w:r w:rsidRPr="00D760F8">
        <w:t>Transfers</w:t>
      </w:r>
      <w:bookmarkEnd w:id="59"/>
      <w:bookmarkEnd w:id="60"/>
      <w:bookmarkEnd w:id="61"/>
      <w:bookmarkEnd w:id="62"/>
      <w:bookmarkEnd w:id="63"/>
    </w:p>
    <w:p w:rsidR="00DB4206" w:rsidRPr="0036085A" w:rsidRDefault="00EA6FCC" w:rsidP="00DB4206">
      <w:pPr>
        <w:pStyle w:val="KeyFindings"/>
        <w:rPr>
          <w:color w:val="auto"/>
        </w:rPr>
      </w:pPr>
      <w:r>
        <w:t>During FY14, there were a total of 154 inter-unit transfers</w:t>
      </w:r>
      <w:r>
        <w:rPr>
          <w:rStyle w:val="FootnoteReference"/>
        </w:rPr>
        <w:footnoteReference w:id="4"/>
      </w:r>
      <w:r>
        <w:t xml:space="preserve">, an average of 13 per month, which is a 35% increase from a total of </w:t>
      </w:r>
      <w:r w:rsidR="00DB4206">
        <w:t>114</w:t>
      </w:r>
      <w:r>
        <w:t xml:space="preserve"> or an average of 10 per month</w:t>
      </w:r>
      <w:r w:rsidR="00DB4206">
        <w:t xml:space="preserve"> in FY13. </w:t>
      </w:r>
      <w:r>
        <w:t xml:space="preserve"> </w:t>
      </w:r>
      <w:r w:rsidR="00DB4206">
        <w:t>Th</w:t>
      </w:r>
      <w:r>
        <w:t>is</w:t>
      </w:r>
      <w:r w:rsidR="00DB4206">
        <w:t xml:space="preserve"> increase </w:t>
      </w:r>
      <w:r>
        <w:t xml:space="preserve">is </w:t>
      </w:r>
      <w:r w:rsidR="00DB4206">
        <w:t xml:space="preserve">due in part to the Hospital-wide </w:t>
      </w:r>
      <w:r w:rsidR="00797283">
        <w:t>reconfiguration of</w:t>
      </w:r>
      <w:r w:rsidR="00DB4206">
        <w:t xml:space="preserve"> certified beds</w:t>
      </w:r>
      <w:r w:rsidR="00B21F55">
        <w:rPr>
          <w:rStyle w:val="FootnoteReference"/>
        </w:rPr>
        <w:footnoteReference w:id="5"/>
      </w:r>
      <w:r w:rsidR="00DB4206">
        <w:t xml:space="preserve"> </w:t>
      </w:r>
      <w:r w:rsidR="00EF1088">
        <w:t xml:space="preserve">that occurred in </w:t>
      </w:r>
      <w:r>
        <w:t>January 2014 a</w:t>
      </w:r>
      <w:r w:rsidR="00EF1088">
        <w:t xml:space="preserve">s well as </w:t>
      </w:r>
      <w:r>
        <w:t xml:space="preserve">preparation of unit realignment </w:t>
      </w:r>
      <w:r w:rsidR="00EF1088">
        <w:t xml:space="preserve">that occurred in early October 2014 </w:t>
      </w:r>
      <w:r>
        <w:t>to respond to t</w:t>
      </w:r>
      <w:r w:rsidR="00DB4206">
        <w:t xml:space="preserve">he </w:t>
      </w:r>
      <w:r>
        <w:t xml:space="preserve">changing demographics of </w:t>
      </w:r>
      <w:r w:rsidR="00B21F55">
        <w:t xml:space="preserve">the </w:t>
      </w:r>
      <w:r>
        <w:t xml:space="preserve">population in care.  Additionally, </w:t>
      </w:r>
      <w:r w:rsidR="00416C66">
        <w:t xml:space="preserve">in July 2014 </w:t>
      </w:r>
      <w:r>
        <w:t>a</w:t>
      </w:r>
      <w:r w:rsidR="00EF1088">
        <w:t>ll</w:t>
      </w:r>
      <w:r>
        <w:t xml:space="preserve"> </w:t>
      </w:r>
      <w:r w:rsidR="00416C66">
        <w:t xml:space="preserve">individuals residing in unit </w:t>
      </w:r>
      <w:r w:rsidR="00BD7AC3">
        <w:t>1</w:t>
      </w:r>
      <w:r w:rsidR="00416C66">
        <w:t xml:space="preserve">A had to be moved to different units </w:t>
      </w:r>
      <w:r>
        <w:t>temporar</w:t>
      </w:r>
      <w:r w:rsidR="00416C66">
        <w:t xml:space="preserve">ily </w:t>
      </w:r>
      <w:r>
        <w:t>wh</w:t>
      </w:r>
      <w:r w:rsidR="00BD7AC3">
        <w:t>ile</w:t>
      </w:r>
      <w:r>
        <w:t xml:space="preserve"> the Hospital </w:t>
      </w:r>
      <w:r w:rsidR="00416C66">
        <w:t>was c</w:t>
      </w:r>
      <w:r>
        <w:t>onduct</w:t>
      </w:r>
      <w:r w:rsidR="00416C66">
        <w:t>ing</w:t>
      </w:r>
      <w:r>
        <w:t xml:space="preserve"> major repair work </w:t>
      </w:r>
      <w:r w:rsidR="00D95D53">
        <w:t xml:space="preserve">on their </w:t>
      </w:r>
      <w:r w:rsidR="00416C66">
        <w:t>unit</w:t>
      </w:r>
      <w:r w:rsidR="00DB4206">
        <w:t>.</w:t>
      </w:r>
      <w:r w:rsidR="00416C66">
        <w:t xml:space="preserve">  These three months recorded unusually high number</w:t>
      </w:r>
      <w:r w:rsidR="00BD7AC3">
        <w:t>s</w:t>
      </w:r>
      <w:r w:rsidR="00416C66">
        <w:t xml:space="preserve"> of inter-unit transfers, contributing to an increase of the average for FY14.  </w:t>
      </w:r>
      <w:r w:rsidR="00BD7AC3">
        <w:t xml:space="preserve">With the exception of these </w:t>
      </w:r>
      <w:r w:rsidR="00416C66">
        <w:t xml:space="preserve">three months, the monthly number of inter-unit transfers </w:t>
      </w:r>
      <w:r w:rsidR="0067657A">
        <w:t xml:space="preserve">typically </w:t>
      </w:r>
      <w:r w:rsidR="00416C66">
        <w:t xml:space="preserve">ranged </w:t>
      </w:r>
      <w:r w:rsidR="00D95D53">
        <w:t xml:space="preserve">from </w:t>
      </w:r>
      <w:r w:rsidR="00416C66">
        <w:t xml:space="preserve">five (5) </w:t>
      </w:r>
      <w:r w:rsidR="00D95D53">
        <w:t>to</w:t>
      </w:r>
      <w:r w:rsidR="00416C66">
        <w:t xml:space="preserve"> 11.</w:t>
      </w:r>
    </w:p>
    <w:p w:rsidR="00DB4206" w:rsidRDefault="00DB4206" w:rsidP="00DB4206">
      <w:pPr>
        <w:pStyle w:val="BodyText"/>
        <w:keepNext/>
        <w:spacing w:before="120"/>
      </w:pPr>
      <w:bookmarkStart w:id="64" w:name="_Toc281982790"/>
      <w:bookmarkStart w:id="65" w:name="_Toc316897976"/>
      <w:bookmarkStart w:id="66" w:name="_Toc350841480"/>
      <w:bookmarkStart w:id="67" w:name="_Toc386095064"/>
      <w:bookmarkStart w:id="68" w:name="_Toc416357894"/>
      <w:r w:rsidRPr="00E269E2">
        <w:rPr>
          <w:rStyle w:val="FigureChar"/>
        </w:rPr>
        <w:t xml:space="preserve">Figure </w:t>
      </w:r>
      <w:r>
        <w:rPr>
          <w:rStyle w:val="FigureChar"/>
        </w:rPr>
        <w:fldChar w:fldCharType="begin"/>
      </w:r>
      <w:r>
        <w:rPr>
          <w:rStyle w:val="FigureChar"/>
        </w:rPr>
        <w:instrText xml:space="preserve"> SEQ Figure \* ARABIC </w:instrText>
      </w:r>
      <w:r>
        <w:rPr>
          <w:rStyle w:val="FigureChar"/>
        </w:rPr>
        <w:fldChar w:fldCharType="separate"/>
      </w:r>
      <w:r w:rsidR="007E3DB6">
        <w:rPr>
          <w:rStyle w:val="FigureChar"/>
          <w:noProof/>
        </w:rPr>
        <w:t>9</w:t>
      </w:r>
      <w:r>
        <w:rPr>
          <w:rStyle w:val="FigureChar"/>
        </w:rPr>
        <w:fldChar w:fldCharType="end"/>
      </w:r>
      <w:r w:rsidRPr="00E269E2">
        <w:rPr>
          <w:rStyle w:val="FigureChar"/>
        </w:rPr>
        <w:t xml:space="preserve">. Inter-Unit Transfers </w:t>
      </w:r>
      <w:r>
        <w:rPr>
          <w:rStyle w:val="FigureChar"/>
        </w:rPr>
        <w:t>(FY14)</w:t>
      </w:r>
      <w:bookmarkEnd w:id="64"/>
      <w:bookmarkEnd w:id="65"/>
      <w:bookmarkEnd w:id="66"/>
      <w:bookmarkEnd w:id="67"/>
      <w:bookmarkEnd w:id="68"/>
    </w:p>
    <w:p w:rsidR="00DB4206" w:rsidRDefault="00EF197C" w:rsidP="00DB4206">
      <w:pPr>
        <w:pStyle w:val="BodyText"/>
        <w:spacing w:after="120"/>
      </w:pPr>
      <w:r>
        <w:rPr>
          <w:noProof/>
          <w:lang w:eastAsia="en-US"/>
        </w:rPr>
        <w:drawing>
          <wp:inline distT="0" distB="0" distL="0" distR="0" wp14:anchorId="4D2B5BB5" wp14:editId="136A08F8">
            <wp:extent cx="6572250" cy="1819275"/>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D7AC3" w:rsidRPr="003F2F5E" w:rsidRDefault="00BD7AC3" w:rsidP="00BD7AC3">
      <w:pPr>
        <w:pStyle w:val="KeyFindings"/>
        <w:rPr>
          <w:color w:val="auto"/>
        </w:rPr>
      </w:pPr>
      <w:r>
        <w:t xml:space="preserve">The 154 transfers involved </w:t>
      </w:r>
      <w:r w:rsidRPr="00264B12">
        <w:t xml:space="preserve">a total of </w:t>
      </w:r>
      <w:r>
        <w:t xml:space="preserve">123 unique individuals, which is about 19% of all 636 individuals served at least one day at the Hospital during FY14. </w:t>
      </w:r>
    </w:p>
    <w:p w:rsidR="00DB4206" w:rsidRDefault="00DB4206" w:rsidP="00DB4206">
      <w:pPr>
        <w:pStyle w:val="KeyFindings"/>
        <w:spacing w:after="120"/>
      </w:pPr>
      <w:r>
        <w:t xml:space="preserve">Of those </w:t>
      </w:r>
      <w:r w:rsidR="0012601E">
        <w:t>123</w:t>
      </w:r>
      <w:r>
        <w:t xml:space="preserve"> individuals, </w:t>
      </w:r>
      <w:r w:rsidR="0012601E">
        <w:t>95</w:t>
      </w:r>
      <w:r>
        <w:t xml:space="preserve"> or </w:t>
      </w:r>
      <w:r w:rsidR="0012601E">
        <w:t>77</w:t>
      </w:r>
      <w:r>
        <w:t xml:space="preserve">% experienced only one inter-unit transfer.  The other </w:t>
      </w:r>
      <w:r w:rsidR="0012601E">
        <w:t>28</w:t>
      </w:r>
      <w:r>
        <w:t xml:space="preserve"> individuals were transferred more than once over the 12 month period, including </w:t>
      </w:r>
      <w:r w:rsidR="00283E15">
        <w:t>two (2) individuals who were</w:t>
      </w:r>
      <w:r>
        <w:t xml:space="preserve"> transferred</w:t>
      </w:r>
      <w:r w:rsidR="00283E15">
        <w:t xml:space="preserve"> more than twice.</w:t>
      </w:r>
      <w:r>
        <w:t xml:space="preserve"> </w:t>
      </w:r>
    </w:p>
    <w:p w:rsidR="00DB4206" w:rsidRDefault="00DB4206" w:rsidP="00DB4206">
      <w:pPr>
        <w:pStyle w:val="BodyText"/>
        <w:keepNext/>
        <w:spacing w:before="120"/>
        <w:rPr>
          <w:rStyle w:val="FigureChar"/>
        </w:rPr>
      </w:pPr>
      <w:bookmarkStart w:id="69" w:name="_Toc281982830"/>
      <w:bookmarkStart w:id="70" w:name="_Toc316898023"/>
      <w:bookmarkStart w:id="71" w:name="_Toc416357956"/>
      <w:r w:rsidRPr="00E269E2">
        <w:rPr>
          <w:rStyle w:val="FigureChar"/>
        </w:rPr>
        <w:t xml:space="preserve">Table </w:t>
      </w:r>
      <w:r w:rsidRPr="00344689">
        <w:rPr>
          <w:rStyle w:val="FigureChar"/>
        </w:rPr>
        <w:fldChar w:fldCharType="begin"/>
      </w:r>
      <w:r w:rsidRPr="00344689">
        <w:rPr>
          <w:rStyle w:val="FigureChar"/>
        </w:rPr>
        <w:instrText xml:space="preserve"> SEQ Table \* ARABIC </w:instrText>
      </w:r>
      <w:r w:rsidRPr="00344689">
        <w:rPr>
          <w:rStyle w:val="FigureChar"/>
        </w:rPr>
        <w:fldChar w:fldCharType="separate"/>
      </w:r>
      <w:r w:rsidR="007E3DB6">
        <w:rPr>
          <w:rStyle w:val="FigureChar"/>
          <w:noProof/>
        </w:rPr>
        <w:t>3</w:t>
      </w:r>
      <w:r w:rsidRPr="00344689">
        <w:rPr>
          <w:rStyle w:val="FigureChar"/>
        </w:rPr>
        <w:fldChar w:fldCharType="end"/>
      </w:r>
      <w:r w:rsidRPr="00E269E2">
        <w:rPr>
          <w:rStyle w:val="FigureChar"/>
        </w:rPr>
        <w:t xml:space="preserve">. Unique </w:t>
      </w:r>
      <w:r>
        <w:rPr>
          <w:rStyle w:val="FigureChar"/>
        </w:rPr>
        <w:t>Individuals in Care</w:t>
      </w:r>
      <w:r w:rsidRPr="00E269E2">
        <w:rPr>
          <w:rStyle w:val="FigureChar"/>
        </w:rPr>
        <w:t xml:space="preserve"> Transferred between Units</w:t>
      </w:r>
      <w:r>
        <w:rPr>
          <w:rStyle w:val="FigureChar"/>
        </w:rPr>
        <w:t xml:space="preserve"> (FY12 ~ FY14)</w:t>
      </w:r>
      <w:bookmarkEnd w:id="69"/>
      <w:bookmarkEnd w:id="70"/>
      <w:bookmarkEnd w:id="71"/>
    </w:p>
    <w:tbl>
      <w:tblPr>
        <w:tblW w:w="9956" w:type="dxa"/>
        <w:jc w:val="center"/>
        <w:tblInd w:w="-123" w:type="dxa"/>
        <w:shd w:val="clear" w:color="auto" w:fill="DBE5F1"/>
        <w:tblLayout w:type="fixed"/>
        <w:tblCellMar>
          <w:left w:w="29" w:type="dxa"/>
          <w:right w:w="29" w:type="dxa"/>
        </w:tblCellMar>
        <w:tblLook w:val="04A0" w:firstRow="1" w:lastRow="0" w:firstColumn="1" w:lastColumn="0" w:noHBand="0" w:noVBand="1"/>
      </w:tblPr>
      <w:tblGrid>
        <w:gridCol w:w="3544"/>
        <w:gridCol w:w="1350"/>
        <w:gridCol w:w="810"/>
        <w:gridCol w:w="1350"/>
        <w:gridCol w:w="810"/>
        <w:gridCol w:w="1350"/>
        <w:gridCol w:w="742"/>
      </w:tblGrid>
      <w:tr w:rsidR="00DB4206" w:rsidRPr="00936EB1" w:rsidTr="000A1B40">
        <w:trPr>
          <w:trHeight w:val="71"/>
          <w:jc w:val="center"/>
        </w:trPr>
        <w:tc>
          <w:tcPr>
            <w:tcW w:w="3544" w:type="dxa"/>
            <w:vMerge w:val="restart"/>
            <w:tcBorders>
              <w:top w:val="single" w:sz="4" w:space="0" w:color="4F81BD"/>
              <w:left w:val="single" w:sz="4" w:space="0" w:color="4F81BD"/>
              <w:right w:val="single" w:sz="4" w:space="0" w:color="4F81BD"/>
            </w:tcBorders>
            <w:shd w:val="clear" w:color="auto" w:fill="C6D9F1"/>
            <w:noWrap/>
            <w:vAlign w:val="center"/>
          </w:tcPr>
          <w:p w:rsidR="00B043D5" w:rsidRDefault="00DB4206" w:rsidP="000A1B40">
            <w:pPr>
              <w:keepNext/>
              <w:rPr>
                <w:rFonts w:eastAsia="Batang" w:cs="Arial"/>
                <w:b/>
                <w:color w:val="1F497D"/>
                <w:sz w:val="20"/>
              </w:rPr>
            </w:pPr>
            <w:r>
              <w:rPr>
                <w:rFonts w:eastAsia="Batang" w:cs="Arial"/>
                <w:b/>
                <w:color w:val="1F497D"/>
                <w:sz w:val="20"/>
              </w:rPr>
              <w:t xml:space="preserve">Total </w:t>
            </w:r>
            <w:r w:rsidR="00B043D5">
              <w:rPr>
                <w:rFonts w:eastAsia="Batang" w:cs="Arial"/>
                <w:b/>
                <w:color w:val="1F497D"/>
                <w:sz w:val="20"/>
              </w:rPr>
              <w:t>Number of Inter-Unit Transfers</w:t>
            </w:r>
          </w:p>
          <w:p w:rsidR="00DB4206" w:rsidRPr="00936EB1" w:rsidRDefault="00DB4206" w:rsidP="000A1B40">
            <w:pPr>
              <w:keepNext/>
              <w:rPr>
                <w:rFonts w:cs="Arial"/>
                <w:color w:val="1F497D"/>
                <w:sz w:val="20"/>
              </w:rPr>
            </w:pPr>
            <w:r w:rsidRPr="00083E67">
              <w:rPr>
                <w:rFonts w:eastAsia="Batang" w:cs="Arial"/>
                <w:b/>
                <w:color w:val="1F497D"/>
                <w:sz w:val="20"/>
              </w:rPr>
              <w:t>during 12</w:t>
            </w:r>
            <w:r>
              <w:rPr>
                <w:rFonts w:eastAsia="Batang" w:cs="Arial"/>
                <w:b/>
                <w:color w:val="1F497D"/>
                <w:sz w:val="20"/>
              </w:rPr>
              <w:t>-</w:t>
            </w:r>
            <w:r w:rsidRPr="00083E67">
              <w:rPr>
                <w:rFonts w:eastAsia="Batang" w:cs="Arial"/>
                <w:b/>
                <w:color w:val="1F497D"/>
                <w:sz w:val="20"/>
              </w:rPr>
              <w:t>Month</w:t>
            </w:r>
            <w:r>
              <w:rPr>
                <w:rFonts w:eastAsia="Batang" w:cs="Arial"/>
                <w:b/>
                <w:color w:val="1F497D"/>
                <w:sz w:val="20"/>
              </w:rPr>
              <w:t xml:space="preserve"> Period</w:t>
            </w:r>
          </w:p>
        </w:tc>
        <w:tc>
          <w:tcPr>
            <w:tcW w:w="2160" w:type="dxa"/>
            <w:gridSpan w:val="2"/>
            <w:tcBorders>
              <w:top w:val="single" w:sz="4" w:space="0" w:color="4F81BD"/>
              <w:left w:val="single" w:sz="4" w:space="0" w:color="4F81BD"/>
              <w:bottom w:val="single" w:sz="6" w:space="0" w:color="4F81BD"/>
              <w:right w:val="single" w:sz="6" w:space="0" w:color="4F81BD"/>
            </w:tcBorders>
            <w:shd w:val="clear" w:color="auto" w:fill="C6D9F1"/>
            <w:noWrap/>
            <w:vAlign w:val="center"/>
          </w:tcPr>
          <w:p w:rsidR="00DB4206" w:rsidRPr="00936EB1" w:rsidRDefault="00DB4206" w:rsidP="000A1B40">
            <w:pPr>
              <w:keepNext/>
              <w:jc w:val="center"/>
              <w:rPr>
                <w:rFonts w:cs="Arial"/>
                <w:b/>
                <w:color w:val="1F497D"/>
                <w:sz w:val="20"/>
              </w:rPr>
            </w:pPr>
            <w:r>
              <w:rPr>
                <w:rFonts w:cs="Arial"/>
                <w:b/>
                <w:color w:val="1F497D"/>
                <w:sz w:val="20"/>
              </w:rPr>
              <w:t>FY12</w:t>
            </w:r>
          </w:p>
        </w:tc>
        <w:tc>
          <w:tcPr>
            <w:tcW w:w="2160" w:type="dxa"/>
            <w:gridSpan w:val="2"/>
            <w:tcBorders>
              <w:top w:val="single" w:sz="4" w:space="0" w:color="4F81BD"/>
              <w:left w:val="single" w:sz="6" w:space="0" w:color="4F81BD"/>
              <w:bottom w:val="single" w:sz="6" w:space="0" w:color="4F81BD"/>
              <w:right w:val="single" w:sz="4" w:space="0" w:color="4F81BD"/>
            </w:tcBorders>
            <w:shd w:val="clear" w:color="auto" w:fill="C6D9F1"/>
            <w:vAlign w:val="center"/>
          </w:tcPr>
          <w:p w:rsidR="00DB4206" w:rsidRPr="00936EB1" w:rsidRDefault="00DB4206" w:rsidP="000A1B40">
            <w:pPr>
              <w:keepNext/>
              <w:jc w:val="center"/>
              <w:rPr>
                <w:rFonts w:cs="Arial"/>
                <w:b/>
                <w:color w:val="1F497D"/>
                <w:sz w:val="20"/>
              </w:rPr>
            </w:pPr>
            <w:r>
              <w:rPr>
                <w:rFonts w:cs="Arial"/>
                <w:b/>
                <w:color w:val="1F497D"/>
                <w:sz w:val="20"/>
              </w:rPr>
              <w:t>FY13</w:t>
            </w:r>
          </w:p>
        </w:tc>
        <w:tc>
          <w:tcPr>
            <w:tcW w:w="2092" w:type="dxa"/>
            <w:gridSpan w:val="2"/>
            <w:tcBorders>
              <w:top w:val="single" w:sz="4" w:space="0" w:color="4F81BD"/>
              <w:left w:val="single" w:sz="6" w:space="0" w:color="4F81BD"/>
              <w:bottom w:val="single" w:sz="6" w:space="0" w:color="4F81BD"/>
              <w:right w:val="single" w:sz="4" w:space="0" w:color="4F81BD"/>
            </w:tcBorders>
            <w:shd w:val="clear" w:color="auto" w:fill="C6D9F1"/>
          </w:tcPr>
          <w:p w:rsidR="00DB4206" w:rsidRDefault="00DB4206" w:rsidP="000A1B40">
            <w:pPr>
              <w:keepNext/>
              <w:jc w:val="center"/>
              <w:rPr>
                <w:rFonts w:cs="Arial"/>
                <w:b/>
                <w:color w:val="1F497D"/>
                <w:sz w:val="20"/>
              </w:rPr>
            </w:pPr>
            <w:r>
              <w:rPr>
                <w:rFonts w:cs="Arial"/>
                <w:b/>
                <w:color w:val="1F497D"/>
                <w:sz w:val="20"/>
              </w:rPr>
              <w:t>FY14</w:t>
            </w:r>
          </w:p>
        </w:tc>
      </w:tr>
      <w:tr w:rsidR="000A1B40" w:rsidRPr="00936EB1" w:rsidTr="000A1B40">
        <w:trPr>
          <w:trHeight w:val="80"/>
          <w:jc w:val="center"/>
        </w:trPr>
        <w:tc>
          <w:tcPr>
            <w:tcW w:w="3544" w:type="dxa"/>
            <w:vMerge/>
            <w:tcBorders>
              <w:left w:val="single" w:sz="4" w:space="0" w:color="4F81BD"/>
              <w:bottom w:val="single" w:sz="4" w:space="0" w:color="4F81BD"/>
              <w:right w:val="single" w:sz="4" w:space="0" w:color="4F81BD"/>
            </w:tcBorders>
            <w:shd w:val="clear" w:color="auto" w:fill="C6D9F1"/>
            <w:noWrap/>
            <w:vAlign w:val="center"/>
          </w:tcPr>
          <w:p w:rsidR="00DB4206" w:rsidRPr="00936EB1" w:rsidRDefault="00DB4206" w:rsidP="000A1B40">
            <w:pPr>
              <w:keepNext/>
              <w:rPr>
                <w:rFonts w:cs="Arial"/>
                <w:color w:val="1F497D"/>
                <w:sz w:val="20"/>
              </w:rPr>
            </w:pPr>
          </w:p>
        </w:tc>
        <w:tc>
          <w:tcPr>
            <w:tcW w:w="1350" w:type="dxa"/>
            <w:tcBorders>
              <w:top w:val="single" w:sz="6" w:space="0" w:color="4F81BD"/>
              <w:left w:val="single" w:sz="4" w:space="0" w:color="4F81BD"/>
              <w:bottom w:val="single" w:sz="6" w:space="0" w:color="4F81BD"/>
              <w:right w:val="single" w:sz="6" w:space="0" w:color="4F81BD"/>
            </w:tcBorders>
            <w:shd w:val="clear" w:color="auto" w:fill="C6D9F1"/>
            <w:noWrap/>
            <w:vAlign w:val="center"/>
          </w:tcPr>
          <w:p w:rsidR="00DB4206" w:rsidRPr="00D52547" w:rsidRDefault="00DB4206" w:rsidP="000A1B40">
            <w:pPr>
              <w:keepNext/>
              <w:jc w:val="center"/>
              <w:rPr>
                <w:rFonts w:cs="Arial"/>
                <w:b/>
                <w:color w:val="1F497D"/>
                <w:sz w:val="20"/>
              </w:rPr>
            </w:pPr>
            <w:r>
              <w:rPr>
                <w:rFonts w:cs="Arial"/>
                <w:b/>
                <w:color w:val="1F497D"/>
                <w:sz w:val="20"/>
              </w:rPr>
              <w:t xml:space="preserve"># of </w:t>
            </w:r>
            <w:r w:rsidR="000A1B40">
              <w:rPr>
                <w:rFonts w:cs="Arial"/>
                <w:b/>
                <w:color w:val="1F497D"/>
                <w:sz w:val="20"/>
              </w:rPr>
              <w:t>Individuals</w:t>
            </w:r>
          </w:p>
        </w:tc>
        <w:tc>
          <w:tcPr>
            <w:tcW w:w="810" w:type="dxa"/>
            <w:tcBorders>
              <w:top w:val="single" w:sz="6" w:space="0" w:color="4F81BD"/>
              <w:left w:val="single" w:sz="6" w:space="0" w:color="4F81BD"/>
              <w:bottom w:val="single" w:sz="6" w:space="0" w:color="4F81BD"/>
              <w:right w:val="single" w:sz="6" w:space="0" w:color="4F81BD"/>
            </w:tcBorders>
            <w:shd w:val="clear" w:color="auto" w:fill="C6D9F1"/>
            <w:vAlign w:val="center"/>
          </w:tcPr>
          <w:p w:rsidR="00DB4206" w:rsidRPr="00D52547" w:rsidRDefault="00DB4206" w:rsidP="000A1B40">
            <w:pPr>
              <w:keepNext/>
              <w:jc w:val="center"/>
              <w:rPr>
                <w:rFonts w:cs="Arial"/>
                <w:b/>
                <w:color w:val="1F497D"/>
                <w:sz w:val="20"/>
              </w:rPr>
            </w:pPr>
            <w:r w:rsidRPr="00D52547">
              <w:rPr>
                <w:rFonts w:cs="Arial"/>
                <w:b/>
                <w:color w:val="1F497D"/>
                <w:sz w:val="20"/>
              </w:rPr>
              <w:t>Percent</w:t>
            </w:r>
          </w:p>
        </w:tc>
        <w:tc>
          <w:tcPr>
            <w:tcW w:w="1350" w:type="dxa"/>
            <w:tcBorders>
              <w:top w:val="single" w:sz="6" w:space="0" w:color="4F81BD"/>
              <w:left w:val="single" w:sz="6" w:space="0" w:color="4F81BD"/>
              <w:bottom w:val="single" w:sz="6" w:space="0" w:color="4F81BD"/>
              <w:right w:val="single" w:sz="6" w:space="0" w:color="4F81BD"/>
            </w:tcBorders>
            <w:shd w:val="clear" w:color="auto" w:fill="C6D9F1"/>
            <w:vAlign w:val="center"/>
          </w:tcPr>
          <w:p w:rsidR="00DB4206" w:rsidRPr="00936EB1" w:rsidRDefault="00DB4206" w:rsidP="000A1B40">
            <w:pPr>
              <w:keepNext/>
              <w:jc w:val="center"/>
              <w:rPr>
                <w:rFonts w:cs="Arial"/>
                <w:b/>
                <w:color w:val="1F497D"/>
                <w:sz w:val="20"/>
              </w:rPr>
            </w:pPr>
            <w:r>
              <w:rPr>
                <w:rFonts w:cs="Arial"/>
                <w:b/>
                <w:color w:val="1F497D"/>
                <w:sz w:val="20"/>
              </w:rPr>
              <w:t xml:space="preserve"># of </w:t>
            </w:r>
            <w:r w:rsidR="000A1B40">
              <w:rPr>
                <w:rFonts w:cs="Arial"/>
                <w:b/>
                <w:color w:val="1F497D"/>
                <w:sz w:val="20"/>
              </w:rPr>
              <w:t>Individuals</w:t>
            </w:r>
          </w:p>
        </w:tc>
        <w:tc>
          <w:tcPr>
            <w:tcW w:w="810" w:type="dxa"/>
            <w:tcBorders>
              <w:top w:val="single" w:sz="6" w:space="0" w:color="4F81BD"/>
              <w:left w:val="single" w:sz="6" w:space="0" w:color="4F81BD"/>
              <w:bottom w:val="single" w:sz="6" w:space="0" w:color="4F81BD"/>
              <w:right w:val="single" w:sz="4" w:space="0" w:color="4F81BD"/>
            </w:tcBorders>
            <w:shd w:val="clear" w:color="auto" w:fill="C6D9F1"/>
            <w:vAlign w:val="center"/>
          </w:tcPr>
          <w:p w:rsidR="00DB4206" w:rsidRPr="00936EB1" w:rsidRDefault="00DB4206" w:rsidP="000A1B40">
            <w:pPr>
              <w:keepNext/>
              <w:jc w:val="center"/>
              <w:rPr>
                <w:rFonts w:cs="Arial"/>
                <w:b/>
                <w:color w:val="1F497D"/>
                <w:sz w:val="20"/>
              </w:rPr>
            </w:pPr>
            <w:r w:rsidRPr="00936EB1">
              <w:rPr>
                <w:rFonts w:cs="Arial"/>
                <w:b/>
                <w:color w:val="1F497D"/>
                <w:sz w:val="20"/>
              </w:rPr>
              <w:t>Percent</w:t>
            </w:r>
          </w:p>
        </w:tc>
        <w:tc>
          <w:tcPr>
            <w:tcW w:w="1350" w:type="dxa"/>
            <w:tcBorders>
              <w:top w:val="single" w:sz="6" w:space="0" w:color="4F81BD"/>
              <w:left w:val="single" w:sz="6" w:space="0" w:color="4F81BD"/>
              <w:bottom w:val="single" w:sz="6" w:space="0" w:color="4F81BD"/>
              <w:right w:val="single" w:sz="6" w:space="0" w:color="4F81BD"/>
            </w:tcBorders>
            <w:shd w:val="clear" w:color="auto" w:fill="C6D9F1"/>
            <w:vAlign w:val="center"/>
          </w:tcPr>
          <w:p w:rsidR="00DB4206" w:rsidRPr="00936EB1" w:rsidRDefault="00DB4206" w:rsidP="000A1B40">
            <w:pPr>
              <w:keepNext/>
              <w:jc w:val="center"/>
              <w:rPr>
                <w:rFonts w:cs="Arial"/>
                <w:b/>
                <w:color w:val="1F497D"/>
                <w:sz w:val="20"/>
              </w:rPr>
            </w:pPr>
            <w:r>
              <w:rPr>
                <w:rFonts w:cs="Arial"/>
                <w:b/>
                <w:color w:val="1F497D"/>
                <w:sz w:val="20"/>
              </w:rPr>
              <w:t># of Individuals</w:t>
            </w:r>
          </w:p>
        </w:tc>
        <w:tc>
          <w:tcPr>
            <w:tcW w:w="742" w:type="dxa"/>
            <w:tcBorders>
              <w:top w:val="single" w:sz="6" w:space="0" w:color="4F81BD"/>
              <w:left w:val="single" w:sz="6" w:space="0" w:color="4F81BD"/>
              <w:bottom w:val="single" w:sz="6" w:space="0" w:color="4F81BD"/>
              <w:right w:val="single" w:sz="6" w:space="0" w:color="4F81BD"/>
            </w:tcBorders>
            <w:shd w:val="clear" w:color="auto" w:fill="C6D9F1"/>
          </w:tcPr>
          <w:p w:rsidR="00DB4206" w:rsidRDefault="00DB4206" w:rsidP="000A1B40">
            <w:pPr>
              <w:jc w:val="center"/>
            </w:pPr>
            <w:r>
              <w:rPr>
                <w:rFonts w:cs="Arial"/>
                <w:b/>
                <w:color w:val="1F497D"/>
                <w:sz w:val="20"/>
              </w:rPr>
              <w:t>Percent</w:t>
            </w:r>
          </w:p>
        </w:tc>
      </w:tr>
      <w:tr w:rsidR="000A1B40" w:rsidRPr="00936EB1" w:rsidTr="000A1B40">
        <w:trPr>
          <w:trHeight w:val="98"/>
          <w:jc w:val="center"/>
        </w:trPr>
        <w:tc>
          <w:tcPr>
            <w:tcW w:w="3544" w:type="dxa"/>
            <w:tcBorders>
              <w:top w:val="single" w:sz="4" w:space="0" w:color="4F81BD"/>
              <w:left w:val="single" w:sz="4" w:space="0" w:color="4F81BD"/>
              <w:right w:val="single" w:sz="4" w:space="0" w:color="4F81BD"/>
            </w:tcBorders>
            <w:shd w:val="clear" w:color="auto" w:fill="auto"/>
            <w:noWrap/>
            <w:vAlign w:val="center"/>
          </w:tcPr>
          <w:p w:rsidR="00DB4206" w:rsidRPr="00083E67" w:rsidRDefault="00DB4206" w:rsidP="00080C04">
            <w:pPr>
              <w:keepNext/>
              <w:rPr>
                <w:rFonts w:eastAsia="Batang" w:cs="Arial"/>
                <w:color w:val="1F497D"/>
                <w:sz w:val="20"/>
              </w:rPr>
            </w:pPr>
            <w:r w:rsidRPr="00083E67">
              <w:rPr>
                <w:rFonts w:eastAsia="Batang" w:cs="Arial"/>
                <w:color w:val="1F497D"/>
                <w:sz w:val="20"/>
              </w:rPr>
              <w:t>Once</w:t>
            </w:r>
          </w:p>
        </w:tc>
        <w:tc>
          <w:tcPr>
            <w:tcW w:w="1350" w:type="dxa"/>
            <w:tcBorders>
              <w:top w:val="single" w:sz="6" w:space="0" w:color="4F81BD"/>
              <w:left w:val="single" w:sz="4" w:space="0" w:color="4F81BD"/>
              <w:bottom w:val="single" w:sz="6" w:space="0" w:color="4F81BD"/>
              <w:right w:val="single" w:sz="6" w:space="0" w:color="4F81BD"/>
            </w:tcBorders>
            <w:shd w:val="clear" w:color="auto" w:fill="auto"/>
            <w:noWrap/>
            <w:vAlign w:val="center"/>
          </w:tcPr>
          <w:p w:rsidR="00DB4206" w:rsidRPr="00B031E3" w:rsidRDefault="00DB4206" w:rsidP="00080C04">
            <w:pPr>
              <w:keepNext/>
              <w:jc w:val="center"/>
              <w:rPr>
                <w:rFonts w:cs="Arial"/>
                <w:color w:val="1F497D"/>
                <w:sz w:val="20"/>
              </w:rPr>
            </w:pPr>
            <w:r>
              <w:rPr>
                <w:rFonts w:cs="Arial"/>
                <w:color w:val="1F497D"/>
                <w:sz w:val="20"/>
              </w:rPr>
              <w:t>63</w:t>
            </w:r>
          </w:p>
        </w:tc>
        <w:tc>
          <w:tcPr>
            <w:tcW w:w="810" w:type="dxa"/>
            <w:tcBorders>
              <w:top w:val="single" w:sz="6" w:space="0" w:color="4F81BD"/>
              <w:left w:val="single" w:sz="6" w:space="0" w:color="4F81BD"/>
              <w:bottom w:val="single" w:sz="6" w:space="0" w:color="4F81BD"/>
              <w:right w:val="single" w:sz="6" w:space="0" w:color="4F81BD"/>
            </w:tcBorders>
            <w:shd w:val="clear" w:color="auto" w:fill="auto"/>
            <w:vAlign w:val="center"/>
          </w:tcPr>
          <w:p w:rsidR="00DB4206" w:rsidRPr="00B031E3" w:rsidRDefault="00DB4206" w:rsidP="00080C04">
            <w:pPr>
              <w:jc w:val="center"/>
              <w:rPr>
                <w:bCs/>
                <w:color w:val="1F497D"/>
                <w:sz w:val="20"/>
              </w:rPr>
            </w:pPr>
            <w:r>
              <w:rPr>
                <w:bCs/>
                <w:color w:val="1F497D"/>
                <w:sz w:val="20"/>
              </w:rPr>
              <w:t>91%</w:t>
            </w:r>
          </w:p>
        </w:tc>
        <w:tc>
          <w:tcPr>
            <w:tcW w:w="1350" w:type="dxa"/>
            <w:tcBorders>
              <w:top w:val="single" w:sz="6" w:space="0" w:color="4F81BD"/>
              <w:left w:val="single" w:sz="6" w:space="0" w:color="4F81BD"/>
              <w:bottom w:val="single" w:sz="6" w:space="0" w:color="4F81BD"/>
              <w:right w:val="single" w:sz="6" w:space="0" w:color="4F81BD"/>
            </w:tcBorders>
            <w:shd w:val="clear" w:color="auto" w:fill="auto"/>
            <w:vAlign w:val="center"/>
          </w:tcPr>
          <w:p w:rsidR="00DB4206" w:rsidRPr="00B031E3" w:rsidRDefault="00DB4206" w:rsidP="00080C04">
            <w:pPr>
              <w:keepNext/>
              <w:jc w:val="center"/>
              <w:rPr>
                <w:rFonts w:cs="Arial"/>
                <w:color w:val="1F497D"/>
                <w:sz w:val="20"/>
              </w:rPr>
            </w:pPr>
            <w:r>
              <w:rPr>
                <w:rFonts w:cs="Arial"/>
                <w:color w:val="1F497D"/>
                <w:sz w:val="20"/>
              </w:rPr>
              <w:t>73</w:t>
            </w:r>
          </w:p>
        </w:tc>
        <w:tc>
          <w:tcPr>
            <w:tcW w:w="810" w:type="dxa"/>
            <w:tcBorders>
              <w:top w:val="single" w:sz="6" w:space="0" w:color="4F81BD"/>
              <w:left w:val="single" w:sz="6" w:space="0" w:color="4F81BD"/>
              <w:bottom w:val="single" w:sz="6" w:space="0" w:color="4F81BD"/>
              <w:right w:val="single" w:sz="4" w:space="0" w:color="4F81BD"/>
            </w:tcBorders>
            <w:shd w:val="clear" w:color="auto" w:fill="auto"/>
            <w:vAlign w:val="center"/>
          </w:tcPr>
          <w:p w:rsidR="00DB4206" w:rsidRPr="00B031E3" w:rsidRDefault="00DB4206" w:rsidP="00080C04">
            <w:pPr>
              <w:jc w:val="center"/>
              <w:rPr>
                <w:bCs/>
                <w:color w:val="1F497D"/>
                <w:sz w:val="20"/>
              </w:rPr>
            </w:pPr>
            <w:r>
              <w:rPr>
                <w:bCs/>
                <w:color w:val="1F497D"/>
                <w:sz w:val="20"/>
              </w:rPr>
              <w:t>81%</w:t>
            </w:r>
          </w:p>
        </w:tc>
        <w:tc>
          <w:tcPr>
            <w:tcW w:w="1350" w:type="dxa"/>
            <w:tcBorders>
              <w:top w:val="single" w:sz="6" w:space="0" w:color="4F81BD"/>
              <w:left w:val="single" w:sz="6" w:space="0" w:color="4F81BD"/>
              <w:bottom w:val="single" w:sz="6" w:space="0" w:color="4F81BD"/>
              <w:right w:val="single" w:sz="6" w:space="0" w:color="4F81BD"/>
            </w:tcBorders>
          </w:tcPr>
          <w:p w:rsidR="00DB4206" w:rsidRDefault="00DB4206" w:rsidP="00080C04">
            <w:pPr>
              <w:jc w:val="center"/>
              <w:rPr>
                <w:bCs/>
                <w:color w:val="1F497D"/>
                <w:sz w:val="20"/>
              </w:rPr>
            </w:pPr>
            <w:r>
              <w:rPr>
                <w:bCs/>
                <w:color w:val="1F497D"/>
                <w:sz w:val="20"/>
              </w:rPr>
              <w:t>95</w:t>
            </w:r>
          </w:p>
        </w:tc>
        <w:tc>
          <w:tcPr>
            <w:tcW w:w="742" w:type="dxa"/>
            <w:tcBorders>
              <w:top w:val="single" w:sz="6" w:space="0" w:color="4F81BD"/>
              <w:left w:val="single" w:sz="6" w:space="0" w:color="4F81BD"/>
              <w:bottom w:val="single" w:sz="6" w:space="0" w:color="4F81BD"/>
              <w:right w:val="single" w:sz="6" w:space="0" w:color="4F81BD"/>
            </w:tcBorders>
          </w:tcPr>
          <w:p w:rsidR="00DB4206" w:rsidRDefault="00DB4206" w:rsidP="00080C04">
            <w:pPr>
              <w:jc w:val="center"/>
              <w:rPr>
                <w:bCs/>
                <w:color w:val="1F497D"/>
                <w:sz w:val="20"/>
              </w:rPr>
            </w:pPr>
            <w:r>
              <w:rPr>
                <w:bCs/>
                <w:color w:val="1F497D"/>
                <w:sz w:val="20"/>
              </w:rPr>
              <w:t>77%</w:t>
            </w:r>
          </w:p>
        </w:tc>
      </w:tr>
      <w:tr w:rsidR="000A1B40" w:rsidRPr="00936EB1" w:rsidTr="000A1B40">
        <w:trPr>
          <w:trHeight w:val="80"/>
          <w:jc w:val="center"/>
        </w:trPr>
        <w:tc>
          <w:tcPr>
            <w:tcW w:w="3544" w:type="dxa"/>
            <w:tcBorders>
              <w:left w:val="single" w:sz="4" w:space="0" w:color="4F81BD"/>
              <w:right w:val="single" w:sz="4" w:space="0" w:color="4F81BD"/>
            </w:tcBorders>
            <w:shd w:val="clear" w:color="auto" w:fill="auto"/>
            <w:noWrap/>
            <w:vAlign w:val="center"/>
          </w:tcPr>
          <w:p w:rsidR="00DB4206" w:rsidRPr="00083E67" w:rsidRDefault="00DB4206" w:rsidP="00080C04">
            <w:pPr>
              <w:keepNext/>
              <w:rPr>
                <w:rFonts w:eastAsia="Batang" w:cs="Arial"/>
                <w:color w:val="1F497D"/>
                <w:sz w:val="20"/>
              </w:rPr>
            </w:pPr>
            <w:r w:rsidRPr="00083E67">
              <w:rPr>
                <w:rFonts w:eastAsia="Batang" w:cs="Arial"/>
                <w:color w:val="1F497D"/>
                <w:sz w:val="20"/>
              </w:rPr>
              <w:t>Twice</w:t>
            </w:r>
          </w:p>
        </w:tc>
        <w:tc>
          <w:tcPr>
            <w:tcW w:w="1350" w:type="dxa"/>
            <w:tcBorders>
              <w:top w:val="single" w:sz="6" w:space="0" w:color="4F81BD"/>
              <w:left w:val="single" w:sz="4" w:space="0" w:color="4F81BD"/>
              <w:bottom w:val="single" w:sz="6" w:space="0" w:color="4F81BD"/>
              <w:right w:val="single" w:sz="6" w:space="0" w:color="4F81BD"/>
            </w:tcBorders>
            <w:shd w:val="clear" w:color="auto" w:fill="auto"/>
            <w:noWrap/>
            <w:vAlign w:val="center"/>
          </w:tcPr>
          <w:p w:rsidR="00DB4206" w:rsidRPr="00B031E3" w:rsidRDefault="00DB4206" w:rsidP="00080C04">
            <w:pPr>
              <w:keepNext/>
              <w:jc w:val="center"/>
              <w:rPr>
                <w:rFonts w:cs="Arial"/>
                <w:color w:val="1F497D"/>
                <w:sz w:val="20"/>
              </w:rPr>
            </w:pPr>
            <w:r>
              <w:rPr>
                <w:rFonts w:cs="Arial"/>
                <w:color w:val="1F497D"/>
                <w:sz w:val="20"/>
              </w:rPr>
              <w:t>2</w:t>
            </w:r>
          </w:p>
        </w:tc>
        <w:tc>
          <w:tcPr>
            <w:tcW w:w="810" w:type="dxa"/>
            <w:tcBorders>
              <w:top w:val="single" w:sz="6" w:space="0" w:color="4F81BD"/>
              <w:left w:val="single" w:sz="6" w:space="0" w:color="4F81BD"/>
              <w:bottom w:val="single" w:sz="6" w:space="0" w:color="4F81BD"/>
              <w:right w:val="single" w:sz="6" w:space="0" w:color="4F81BD"/>
            </w:tcBorders>
            <w:shd w:val="clear" w:color="auto" w:fill="auto"/>
            <w:vAlign w:val="center"/>
          </w:tcPr>
          <w:p w:rsidR="00DB4206" w:rsidRPr="00B031E3" w:rsidRDefault="00DB4206" w:rsidP="00080C04">
            <w:pPr>
              <w:jc w:val="center"/>
              <w:rPr>
                <w:bCs/>
                <w:color w:val="1F497D"/>
                <w:sz w:val="20"/>
              </w:rPr>
            </w:pPr>
            <w:r>
              <w:rPr>
                <w:bCs/>
                <w:color w:val="1F497D"/>
                <w:sz w:val="20"/>
              </w:rPr>
              <w:t>8%</w:t>
            </w:r>
          </w:p>
        </w:tc>
        <w:tc>
          <w:tcPr>
            <w:tcW w:w="1350" w:type="dxa"/>
            <w:tcBorders>
              <w:top w:val="single" w:sz="6" w:space="0" w:color="4F81BD"/>
              <w:left w:val="single" w:sz="6" w:space="0" w:color="4F81BD"/>
              <w:bottom w:val="single" w:sz="6" w:space="0" w:color="4F81BD"/>
              <w:right w:val="single" w:sz="6" w:space="0" w:color="4F81BD"/>
            </w:tcBorders>
            <w:shd w:val="clear" w:color="auto" w:fill="auto"/>
            <w:vAlign w:val="center"/>
          </w:tcPr>
          <w:p w:rsidR="00DB4206" w:rsidRPr="00B031E3" w:rsidRDefault="00DB4206" w:rsidP="00080C04">
            <w:pPr>
              <w:keepNext/>
              <w:jc w:val="center"/>
              <w:rPr>
                <w:rFonts w:cs="Arial"/>
                <w:color w:val="1F497D"/>
                <w:sz w:val="20"/>
              </w:rPr>
            </w:pPr>
            <w:r>
              <w:rPr>
                <w:rFonts w:cs="Arial"/>
                <w:color w:val="1F497D"/>
                <w:sz w:val="20"/>
              </w:rPr>
              <w:t>12</w:t>
            </w:r>
          </w:p>
        </w:tc>
        <w:tc>
          <w:tcPr>
            <w:tcW w:w="810" w:type="dxa"/>
            <w:tcBorders>
              <w:top w:val="single" w:sz="6" w:space="0" w:color="4F81BD"/>
              <w:left w:val="single" w:sz="6" w:space="0" w:color="4F81BD"/>
              <w:bottom w:val="single" w:sz="6" w:space="0" w:color="4F81BD"/>
              <w:right w:val="single" w:sz="4" w:space="0" w:color="4F81BD"/>
            </w:tcBorders>
            <w:shd w:val="clear" w:color="auto" w:fill="auto"/>
            <w:vAlign w:val="center"/>
          </w:tcPr>
          <w:p w:rsidR="00DB4206" w:rsidRPr="00B031E3" w:rsidRDefault="00DB4206" w:rsidP="00080C04">
            <w:pPr>
              <w:jc w:val="center"/>
              <w:rPr>
                <w:bCs/>
                <w:color w:val="1F497D"/>
                <w:sz w:val="20"/>
              </w:rPr>
            </w:pPr>
            <w:r>
              <w:rPr>
                <w:bCs/>
                <w:color w:val="1F497D"/>
                <w:sz w:val="20"/>
              </w:rPr>
              <w:t>13%</w:t>
            </w:r>
          </w:p>
        </w:tc>
        <w:tc>
          <w:tcPr>
            <w:tcW w:w="1350" w:type="dxa"/>
            <w:tcBorders>
              <w:top w:val="single" w:sz="6" w:space="0" w:color="4F81BD"/>
              <w:left w:val="single" w:sz="6" w:space="0" w:color="4F81BD"/>
              <w:bottom w:val="single" w:sz="6" w:space="0" w:color="4F81BD"/>
              <w:right w:val="single" w:sz="6" w:space="0" w:color="4F81BD"/>
            </w:tcBorders>
          </w:tcPr>
          <w:p w:rsidR="00DB4206" w:rsidRDefault="00DB4206" w:rsidP="00080C04">
            <w:pPr>
              <w:jc w:val="center"/>
              <w:rPr>
                <w:bCs/>
                <w:color w:val="1F497D"/>
                <w:sz w:val="20"/>
              </w:rPr>
            </w:pPr>
            <w:r>
              <w:rPr>
                <w:bCs/>
                <w:color w:val="1F497D"/>
                <w:sz w:val="20"/>
              </w:rPr>
              <w:t>26</w:t>
            </w:r>
          </w:p>
        </w:tc>
        <w:tc>
          <w:tcPr>
            <w:tcW w:w="742" w:type="dxa"/>
            <w:tcBorders>
              <w:top w:val="single" w:sz="6" w:space="0" w:color="4F81BD"/>
              <w:left w:val="single" w:sz="6" w:space="0" w:color="4F81BD"/>
              <w:bottom w:val="single" w:sz="6" w:space="0" w:color="4F81BD"/>
              <w:right w:val="single" w:sz="6" w:space="0" w:color="4F81BD"/>
            </w:tcBorders>
          </w:tcPr>
          <w:p w:rsidR="00DB4206" w:rsidRDefault="00DB4206" w:rsidP="00080C04">
            <w:pPr>
              <w:jc w:val="center"/>
              <w:rPr>
                <w:bCs/>
                <w:color w:val="1F497D"/>
                <w:sz w:val="20"/>
              </w:rPr>
            </w:pPr>
            <w:r>
              <w:rPr>
                <w:bCs/>
                <w:color w:val="1F497D"/>
                <w:sz w:val="20"/>
              </w:rPr>
              <w:t>21%</w:t>
            </w:r>
          </w:p>
        </w:tc>
      </w:tr>
      <w:tr w:rsidR="000A1B40" w:rsidRPr="00936EB1" w:rsidTr="000A1B40">
        <w:trPr>
          <w:trHeight w:val="80"/>
          <w:jc w:val="center"/>
        </w:trPr>
        <w:tc>
          <w:tcPr>
            <w:tcW w:w="3544" w:type="dxa"/>
            <w:tcBorders>
              <w:left w:val="single" w:sz="4" w:space="0" w:color="4F81BD"/>
              <w:right w:val="single" w:sz="4" w:space="0" w:color="4F81BD"/>
            </w:tcBorders>
            <w:shd w:val="clear" w:color="auto" w:fill="auto"/>
            <w:noWrap/>
            <w:vAlign w:val="center"/>
          </w:tcPr>
          <w:p w:rsidR="00DB4206" w:rsidRPr="00083E67" w:rsidRDefault="00DB4206" w:rsidP="00080C04">
            <w:pPr>
              <w:keepNext/>
              <w:rPr>
                <w:rFonts w:eastAsia="Batang" w:cs="Arial"/>
                <w:color w:val="1F497D"/>
                <w:sz w:val="20"/>
              </w:rPr>
            </w:pPr>
            <w:r w:rsidRPr="00083E67">
              <w:rPr>
                <w:rFonts w:eastAsia="Batang" w:cs="Arial"/>
                <w:color w:val="1F497D"/>
                <w:sz w:val="20"/>
              </w:rPr>
              <w:t>Three</w:t>
            </w:r>
            <w:r>
              <w:rPr>
                <w:rFonts w:eastAsia="Batang" w:cs="Arial"/>
                <w:color w:val="1F497D"/>
                <w:sz w:val="20"/>
              </w:rPr>
              <w:t xml:space="preserve"> (3)</w:t>
            </w:r>
            <w:r w:rsidRPr="00083E67">
              <w:rPr>
                <w:rFonts w:eastAsia="Batang" w:cs="Arial"/>
                <w:color w:val="1F497D"/>
                <w:sz w:val="20"/>
              </w:rPr>
              <w:t xml:space="preserve"> Times</w:t>
            </w:r>
          </w:p>
        </w:tc>
        <w:tc>
          <w:tcPr>
            <w:tcW w:w="1350" w:type="dxa"/>
            <w:tcBorders>
              <w:top w:val="single" w:sz="6" w:space="0" w:color="4F81BD"/>
              <w:left w:val="single" w:sz="4" w:space="0" w:color="4F81BD"/>
              <w:bottom w:val="single" w:sz="6" w:space="0" w:color="4F81BD"/>
              <w:right w:val="single" w:sz="6" w:space="0" w:color="4F81BD"/>
            </w:tcBorders>
            <w:shd w:val="clear" w:color="auto" w:fill="auto"/>
            <w:noWrap/>
            <w:vAlign w:val="center"/>
          </w:tcPr>
          <w:p w:rsidR="00DB4206" w:rsidRPr="00B031E3" w:rsidRDefault="00DB4206" w:rsidP="00080C04">
            <w:pPr>
              <w:keepNext/>
              <w:jc w:val="center"/>
              <w:rPr>
                <w:rFonts w:cs="Arial"/>
                <w:color w:val="1F497D"/>
                <w:sz w:val="20"/>
              </w:rPr>
            </w:pPr>
            <w:r>
              <w:rPr>
                <w:rFonts w:cs="Arial"/>
                <w:color w:val="1F497D"/>
                <w:sz w:val="20"/>
              </w:rPr>
              <w:t>1</w:t>
            </w:r>
          </w:p>
        </w:tc>
        <w:tc>
          <w:tcPr>
            <w:tcW w:w="810" w:type="dxa"/>
            <w:tcBorders>
              <w:top w:val="single" w:sz="6" w:space="0" w:color="4F81BD"/>
              <w:left w:val="single" w:sz="6" w:space="0" w:color="4F81BD"/>
              <w:bottom w:val="single" w:sz="6" w:space="0" w:color="4F81BD"/>
              <w:right w:val="single" w:sz="6" w:space="0" w:color="4F81BD"/>
            </w:tcBorders>
            <w:shd w:val="clear" w:color="auto" w:fill="auto"/>
            <w:vAlign w:val="center"/>
          </w:tcPr>
          <w:p w:rsidR="00DB4206" w:rsidRPr="00B031E3" w:rsidRDefault="00DB4206" w:rsidP="00080C04">
            <w:pPr>
              <w:jc w:val="center"/>
              <w:rPr>
                <w:bCs/>
                <w:color w:val="1F497D"/>
                <w:sz w:val="20"/>
              </w:rPr>
            </w:pPr>
            <w:r>
              <w:rPr>
                <w:bCs/>
                <w:color w:val="1F497D"/>
                <w:sz w:val="20"/>
              </w:rPr>
              <w:t>1%</w:t>
            </w:r>
          </w:p>
        </w:tc>
        <w:tc>
          <w:tcPr>
            <w:tcW w:w="1350" w:type="dxa"/>
            <w:tcBorders>
              <w:top w:val="single" w:sz="6" w:space="0" w:color="4F81BD"/>
              <w:left w:val="single" w:sz="6" w:space="0" w:color="4F81BD"/>
              <w:bottom w:val="single" w:sz="6" w:space="0" w:color="4F81BD"/>
              <w:right w:val="single" w:sz="6" w:space="0" w:color="4F81BD"/>
            </w:tcBorders>
            <w:shd w:val="clear" w:color="auto" w:fill="auto"/>
            <w:vAlign w:val="center"/>
          </w:tcPr>
          <w:p w:rsidR="00DB4206" w:rsidRPr="00B031E3" w:rsidRDefault="00DB4206" w:rsidP="00080C04">
            <w:pPr>
              <w:keepNext/>
              <w:jc w:val="center"/>
              <w:rPr>
                <w:rFonts w:cs="Arial"/>
                <w:color w:val="1F497D"/>
                <w:sz w:val="20"/>
              </w:rPr>
            </w:pPr>
            <w:r>
              <w:rPr>
                <w:rFonts w:cs="Arial"/>
                <w:color w:val="1F497D"/>
                <w:sz w:val="20"/>
              </w:rPr>
              <w:t>4</w:t>
            </w:r>
          </w:p>
        </w:tc>
        <w:tc>
          <w:tcPr>
            <w:tcW w:w="810" w:type="dxa"/>
            <w:tcBorders>
              <w:top w:val="single" w:sz="6" w:space="0" w:color="4F81BD"/>
              <w:left w:val="single" w:sz="6" w:space="0" w:color="4F81BD"/>
              <w:bottom w:val="single" w:sz="6" w:space="0" w:color="4F81BD"/>
              <w:right w:val="single" w:sz="4" w:space="0" w:color="4F81BD"/>
            </w:tcBorders>
            <w:shd w:val="clear" w:color="auto" w:fill="auto"/>
            <w:vAlign w:val="center"/>
          </w:tcPr>
          <w:p w:rsidR="00DB4206" w:rsidRPr="00B031E3" w:rsidRDefault="00DB4206" w:rsidP="00080C04">
            <w:pPr>
              <w:jc w:val="center"/>
              <w:rPr>
                <w:bCs/>
                <w:color w:val="1F497D"/>
                <w:sz w:val="20"/>
              </w:rPr>
            </w:pPr>
            <w:r>
              <w:rPr>
                <w:bCs/>
                <w:color w:val="1F497D"/>
                <w:sz w:val="20"/>
              </w:rPr>
              <w:t>4%</w:t>
            </w:r>
          </w:p>
        </w:tc>
        <w:tc>
          <w:tcPr>
            <w:tcW w:w="1350" w:type="dxa"/>
            <w:tcBorders>
              <w:top w:val="single" w:sz="6" w:space="0" w:color="4F81BD"/>
              <w:left w:val="single" w:sz="6" w:space="0" w:color="4F81BD"/>
              <w:bottom w:val="single" w:sz="6" w:space="0" w:color="4F81BD"/>
              <w:right w:val="single" w:sz="6" w:space="0" w:color="4F81BD"/>
            </w:tcBorders>
          </w:tcPr>
          <w:p w:rsidR="00DB4206" w:rsidRDefault="00DB4206" w:rsidP="00080C04">
            <w:pPr>
              <w:jc w:val="center"/>
              <w:rPr>
                <w:bCs/>
                <w:color w:val="1F497D"/>
                <w:sz w:val="20"/>
              </w:rPr>
            </w:pPr>
            <w:r>
              <w:rPr>
                <w:bCs/>
                <w:color w:val="1F497D"/>
                <w:sz w:val="20"/>
              </w:rPr>
              <w:t>1</w:t>
            </w:r>
          </w:p>
        </w:tc>
        <w:tc>
          <w:tcPr>
            <w:tcW w:w="742" w:type="dxa"/>
            <w:tcBorders>
              <w:top w:val="single" w:sz="6" w:space="0" w:color="4F81BD"/>
              <w:left w:val="single" w:sz="6" w:space="0" w:color="4F81BD"/>
              <w:bottom w:val="single" w:sz="6" w:space="0" w:color="4F81BD"/>
              <w:right w:val="single" w:sz="6" w:space="0" w:color="4F81BD"/>
            </w:tcBorders>
          </w:tcPr>
          <w:p w:rsidR="00DB4206" w:rsidRDefault="00DB4206" w:rsidP="00080C04">
            <w:pPr>
              <w:jc w:val="center"/>
              <w:rPr>
                <w:bCs/>
                <w:color w:val="1F497D"/>
                <w:sz w:val="20"/>
              </w:rPr>
            </w:pPr>
            <w:r>
              <w:rPr>
                <w:bCs/>
                <w:color w:val="1F497D"/>
                <w:sz w:val="20"/>
              </w:rPr>
              <w:t>1%</w:t>
            </w:r>
          </w:p>
        </w:tc>
      </w:tr>
      <w:tr w:rsidR="000A1B40" w:rsidRPr="00936EB1" w:rsidTr="000A1B40">
        <w:trPr>
          <w:trHeight w:val="80"/>
          <w:jc w:val="center"/>
        </w:trPr>
        <w:tc>
          <w:tcPr>
            <w:tcW w:w="3544" w:type="dxa"/>
            <w:tcBorders>
              <w:left w:val="single" w:sz="4" w:space="0" w:color="4F81BD"/>
              <w:right w:val="single" w:sz="4" w:space="0" w:color="4F81BD"/>
            </w:tcBorders>
            <w:shd w:val="clear" w:color="auto" w:fill="auto"/>
            <w:noWrap/>
            <w:vAlign w:val="center"/>
          </w:tcPr>
          <w:p w:rsidR="00DB4206" w:rsidRPr="00083E67" w:rsidRDefault="00DB4206" w:rsidP="00080C04">
            <w:pPr>
              <w:keepNext/>
              <w:rPr>
                <w:rFonts w:eastAsia="Batang" w:cs="Arial"/>
                <w:color w:val="1F497D"/>
                <w:sz w:val="20"/>
              </w:rPr>
            </w:pPr>
            <w:r>
              <w:rPr>
                <w:rFonts w:eastAsia="Batang" w:cs="Arial"/>
                <w:color w:val="1F497D"/>
                <w:sz w:val="20"/>
              </w:rPr>
              <w:t>Four (</w:t>
            </w:r>
            <w:r w:rsidRPr="00083E67">
              <w:rPr>
                <w:rFonts w:eastAsia="Batang" w:cs="Arial"/>
                <w:color w:val="1F497D"/>
                <w:sz w:val="20"/>
              </w:rPr>
              <w:t>4</w:t>
            </w:r>
            <w:r>
              <w:rPr>
                <w:rFonts w:eastAsia="Batang" w:cs="Arial"/>
                <w:color w:val="1F497D"/>
                <w:sz w:val="20"/>
              </w:rPr>
              <w:t>) Times or More</w:t>
            </w:r>
          </w:p>
        </w:tc>
        <w:tc>
          <w:tcPr>
            <w:tcW w:w="1350" w:type="dxa"/>
            <w:tcBorders>
              <w:top w:val="single" w:sz="6" w:space="0" w:color="4F81BD"/>
              <w:left w:val="single" w:sz="4" w:space="0" w:color="4F81BD"/>
              <w:bottom w:val="single" w:sz="6" w:space="0" w:color="4F81BD"/>
              <w:right w:val="single" w:sz="6" w:space="0" w:color="4F81BD"/>
            </w:tcBorders>
            <w:shd w:val="clear" w:color="auto" w:fill="auto"/>
            <w:noWrap/>
            <w:vAlign w:val="center"/>
          </w:tcPr>
          <w:p w:rsidR="00DB4206" w:rsidRPr="00B031E3" w:rsidRDefault="00DB4206" w:rsidP="00080C04">
            <w:pPr>
              <w:keepNext/>
              <w:jc w:val="center"/>
              <w:rPr>
                <w:rFonts w:cs="Arial"/>
                <w:color w:val="1F497D"/>
                <w:sz w:val="20"/>
              </w:rPr>
            </w:pPr>
            <w:r>
              <w:rPr>
                <w:rFonts w:cs="Arial"/>
                <w:color w:val="1F497D"/>
                <w:sz w:val="20"/>
              </w:rPr>
              <w:t>0</w:t>
            </w:r>
          </w:p>
        </w:tc>
        <w:tc>
          <w:tcPr>
            <w:tcW w:w="810" w:type="dxa"/>
            <w:tcBorders>
              <w:top w:val="single" w:sz="6" w:space="0" w:color="4F81BD"/>
              <w:left w:val="single" w:sz="6" w:space="0" w:color="4F81BD"/>
              <w:bottom w:val="single" w:sz="6" w:space="0" w:color="4F81BD"/>
              <w:right w:val="single" w:sz="6" w:space="0" w:color="4F81BD"/>
            </w:tcBorders>
            <w:shd w:val="clear" w:color="auto" w:fill="auto"/>
            <w:vAlign w:val="center"/>
          </w:tcPr>
          <w:p w:rsidR="00DB4206" w:rsidRPr="00B031E3" w:rsidRDefault="00DB4206" w:rsidP="00080C04">
            <w:pPr>
              <w:jc w:val="center"/>
              <w:rPr>
                <w:bCs/>
                <w:color w:val="1F497D"/>
                <w:sz w:val="20"/>
              </w:rPr>
            </w:pPr>
            <w:r>
              <w:rPr>
                <w:bCs/>
                <w:color w:val="1F497D"/>
                <w:sz w:val="20"/>
              </w:rPr>
              <w:t>0%</w:t>
            </w:r>
          </w:p>
        </w:tc>
        <w:tc>
          <w:tcPr>
            <w:tcW w:w="1350" w:type="dxa"/>
            <w:tcBorders>
              <w:top w:val="single" w:sz="6" w:space="0" w:color="4F81BD"/>
              <w:left w:val="single" w:sz="6" w:space="0" w:color="4F81BD"/>
              <w:bottom w:val="single" w:sz="6" w:space="0" w:color="4F81BD"/>
              <w:right w:val="single" w:sz="6" w:space="0" w:color="4F81BD"/>
            </w:tcBorders>
            <w:shd w:val="clear" w:color="auto" w:fill="auto"/>
            <w:vAlign w:val="center"/>
          </w:tcPr>
          <w:p w:rsidR="00DB4206" w:rsidRPr="00B031E3" w:rsidRDefault="00DB4206" w:rsidP="00080C04">
            <w:pPr>
              <w:keepNext/>
              <w:jc w:val="center"/>
              <w:rPr>
                <w:rFonts w:cs="Arial"/>
                <w:color w:val="1F497D"/>
                <w:sz w:val="20"/>
              </w:rPr>
            </w:pPr>
            <w:r>
              <w:rPr>
                <w:rFonts w:cs="Arial"/>
                <w:color w:val="1F497D"/>
                <w:sz w:val="20"/>
              </w:rPr>
              <w:t>1</w:t>
            </w:r>
          </w:p>
        </w:tc>
        <w:tc>
          <w:tcPr>
            <w:tcW w:w="810" w:type="dxa"/>
            <w:tcBorders>
              <w:top w:val="single" w:sz="6" w:space="0" w:color="4F81BD"/>
              <w:left w:val="single" w:sz="6" w:space="0" w:color="4F81BD"/>
              <w:bottom w:val="single" w:sz="6" w:space="0" w:color="4F81BD"/>
              <w:right w:val="single" w:sz="4" w:space="0" w:color="4F81BD"/>
            </w:tcBorders>
            <w:shd w:val="clear" w:color="auto" w:fill="auto"/>
            <w:vAlign w:val="center"/>
          </w:tcPr>
          <w:p w:rsidR="00DB4206" w:rsidRPr="00B031E3" w:rsidRDefault="00DB4206" w:rsidP="00080C04">
            <w:pPr>
              <w:jc w:val="center"/>
              <w:rPr>
                <w:bCs/>
                <w:color w:val="1F497D"/>
                <w:sz w:val="20"/>
              </w:rPr>
            </w:pPr>
            <w:r>
              <w:rPr>
                <w:bCs/>
                <w:color w:val="1F497D"/>
                <w:sz w:val="20"/>
              </w:rPr>
              <w:t>1%</w:t>
            </w:r>
          </w:p>
        </w:tc>
        <w:tc>
          <w:tcPr>
            <w:tcW w:w="1350" w:type="dxa"/>
            <w:tcBorders>
              <w:top w:val="single" w:sz="6" w:space="0" w:color="4F81BD"/>
              <w:left w:val="single" w:sz="6" w:space="0" w:color="4F81BD"/>
              <w:bottom w:val="single" w:sz="6" w:space="0" w:color="4F81BD"/>
              <w:right w:val="single" w:sz="6" w:space="0" w:color="4F81BD"/>
            </w:tcBorders>
          </w:tcPr>
          <w:p w:rsidR="00DB4206" w:rsidRDefault="00DB4206" w:rsidP="00080C04">
            <w:pPr>
              <w:jc w:val="center"/>
              <w:rPr>
                <w:bCs/>
                <w:color w:val="1F497D"/>
                <w:sz w:val="20"/>
              </w:rPr>
            </w:pPr>
            <w:r>
              <w:rPr>
                <w:bCs/>
                <w:color w:val="1F497D"/>
                <w:sz w:val="20"/>
              </w:rPr>
              <w:t>1</w:t>
            </w:r>
          </w:p>
        </w:tc>
        <w:tc>
          <w:tcPr>
            <w:tcW w:w="742" w:type="dxa"/>
            <w:tcBorders>
              <w:top w:val="single" w:sz="6" w:space="0" w:color="4F81BD"/>
              <w:left w:val="single" w:sz="6" w:space="0" w:color="4F81BD"/>
              <w:bottom w:val="single" w:sz="6" w:space="0" w:color="4F81BD"/>
              <w:right w:val="single" w:sz="6" w:space="0" w:color="4F81BD"/>
            </w:tcBorders>
          </w:tcPr>
          <w:p w:rsidR="00DB4206" w:rsidRDefault="00DB4206" w:rsidP="00080C04">
            <w:pPr>
              <w:jc w:val="center"/>
              <w:rPr>
                <w:bCs/>
                <w:color w:val="1F497D"/>
                <w:sz w:val="20"/>
              </w:rPr>
            </w:pPr>
            <w:r>
              <w:rPr>
                <w:bCs/>
                <w:color w:val="1F497D"/>
                <w:sz w:val="20"/>
              </w:rPr>
              <w:t>1%</w:t>
            </w:r>
          </w:p>
        </w:tc>
      </w:tr>
      <w:tr w:rsidR="000A1B40" w:rsidRPr="00936EB1" w:rsidTr="000A1B40">
        <w:trPr>
          <w:trHeight w:val="310"/>
          <w:jc w:val="center"/>
        </w:trPr>
        <w:tc>
          <w:tcPr>
            <w:tcW w:w="3544" w:type="dxa"/>
            <w:tcBorders>
              <w:left w:val="single" w:sz="4" w:space="0" w:color="4F81BD"/>
              <w:bottom w:val="single" w:sz="4" w:space="0" w:color="4F81BD" w:themeColor="accent1"/>
              <w:right w:val="single" w:sz="4" w:space="0" w:color="4F81BD"/>
            </w:tcBorders>
            <w:shd w:val="clear" w:color="auto" w:fill="C6D9F1"/>
            <w:noWrap/>
            <w:vAlign w:val="center"/>
          </w:tcPr>
          <w:p w:rsidR="00DB4206" w:rsidRPr="007535BD" w:rsidRDefault="00DB4206" w:rsidP="000A1B40">
            <w:pPr>
              <w:keepNext/>
              <w:rPr>
                <w:rFonts w:cs="Arial"/>
                <w:b/>
                <w:color w:val="1F497D"/>
                <w:sz w:val="20"/>
              </w:rPr>
            </w:pPr>
            <w:r w:rsidRPr="00083E67">
              <w:rPr>
                <w:rFonts w:eastAsia="Batang" w:cs="Arial"/>
                <w:b/>
                <w:color w:val="1F497D"/>
                <w:sz w:val="20"/>
              </w:rPr>
              <w:t xml:space="preserve">Total </w:t>
            </w:r>
            <w:r w:rsidR="000A1B40">
              <w:rPr>
                <w:rFonts w:eastAsia="Batang" w:cs="Arial"/>
                <w:b/>
                <w:color w:val="1F497D"/>
                <w:sz w:val="20"/>
              </w:rPr>
              <w:t xml:space="preserve">Number of </w:t>
            </w:r>
            <w:r>
              <w:rPr>
                <w:rFonts w:eastAsia="Batang" w:cs="Arial"/>
                <w:b/>
                <w:color w:val="1F497D"/>
                <w:sz w:val="20"/>
              </w:rPr>
              <w:t xml:space="preserve">individuals who </w:t>
            </w:r>
            <w:r w:rsidRPr="00083E67">
              <w:rPr>
                <w:rFonts w:eastAsia="Batang" w:cs="Arial"/>
                <w:b/>
                <w:color w:val="1F497D"/>
                <w:sz w:val="20"/>
              </w:rPr>
              <w:t xml:space="preserve">experienced </w:t>
            </w:r>
            <w:r>
              <w:rPr>
                <w:rFonts w:eastAsia="Batang" w:cs="Arial"/>
                <w:b/>
                <w:color w:val="1F497D"/>
                <w:sz w:val="20"/>
              </w:rPr>
              <w:t xml:space="preserve">&gt;=1 </w:t>
            </w:r>
            <w:r w:rsidRPr="00083E67">
              <w:rPr>
                <w:rFonts w:eastAsia="Batang" w:cs="Arial"/>
                <w:b/>
                <w:color w:val="1F497D"/>
                <w:sz w:val="20"/>
              </w:rPr>
              <w:t>transfer</w:t>
            </w:r>
            <w:r>
              <w:rPr>
                <w:rFonts w:eastAsia="Batang" w:cs="Arial"/>
                <w:b/>
                <w:color w:val="1F497D"/>
                <w:sz w:val="20"/>
              </w:rPr>
              <w:t xml:space="preserve"> in fiscal year</w:t>
            </w:r>
          </w:p>
        </w:tc>
        <w:tc>
          <w:tcPr>
            <w:tcW w:w="1350" w:type="dxa"/>
            <w:tcBorders>
              <w:top w:val="single" w:sz="6" w:space="0" w:color="4F81BD"/>
              <w:left w:val="single" w:sz="4" w:space="0" w:color="4F81BD"/>
              <w:bottom w:val="single" w:sz="4" w:space="0" w:color="4F81BD"/>
              <w:right w:val="single" w:sz="6" w:space="0" w:color="4F81BD"/>
            </w:tcBorders>
            <w:shd w:val="clear" w:color="auto" w:fill="C6D9F1"/>
            <w:noWrap/>
            <w:vAlign w:val="center"/>
          </w:tcPr>
          <w:p w:rsidR="00DB4206" w:rsidRPr="00083E67" w:rsidRDefault="00DB4206" w:rsidP="00080C04">
            <w:pPr>
              <w:jc w:val="center"/>
              <w:rPr>
                <w:rFonts w:eastAsia="Batang" w:cs="Arial"/>
                <w:b/>
                <w:color w:val="1F497D"/>
                <w:sz w:val="20"/>
              </w:rPr>
            </w:pPr>
            <w:r>
              <w:rPr>
                <w:rFonts w:eastAsia="Batang" w:cs="Arial"/>
                <w:b/>
                <w:color w:val="1F497D"/>
                <w:sz w:val="20"/>
              </w:rPr>
              <w:t>66</w:t>
            </w:r>
          </w:p>
        </w:tc>
        <w:tc>
          <w:tcPr>
            <w:tcW w:w="810" w:type="dxa"/>
            <w:tcBorders>
              <w:top w:val="single" w:sz="6" w:space="0" w:color="4F81BD"/>
              <w:left w:val="single" w:sz="6" w:space="0" w:color="4F81BD"/>
              <w:bottom w:val="single" w:sz="4" w:space="0" w:color="4F81BD"/>
              <w:right w:val="single" w:sz="6" w:space="0" w:color="4F81BD"/>
            </w:tcBorders>
            <w:shd w:val="clear" w:color="auto" w:fill="C6D9F1"/>
            <w:vAlign w:val="center"/>
          </w:tcPr>
          <w:p w:rsidR="00DB4206" w:rsidRDefault="00DB4206" w:rsidP="00080C04">
            <w:pPr>
              <w:jc w:val="center"/>
              <w:rPr>
                <w:b/>
                <w:bCs/>
                <w:color w:val="1F497D"/>
                <w:sz w:val="20"/>
              </w:rPr>
            </w:pPr>
            <w:r>
              <w:rPr>
                <w:b/>
                <w:bCs/>
                <w:color w:val="1F497D"/>
                <w:sz w:val="20"/>
              </w:rPr>
              <w:t>100%</w:t>
            </w:r>
          </w:p>
        </w:tc>
        <w:tc>
          <w:tcPr>
            <w:tcW w:w="1350" w:type="dxa"/>
            <w:tcBorders>
              <w:top w:val="single" w:sz="6" w:space="0" w:color="4F81BD"/>
              <w:left w:val="single" w:sz="6" w:space="0" w:color="4F81BD"/>
              <w:bottom w:val="single" w:sz="4" w:space="0" w:color="4F81BD"/>
              <w:right w:val="single" w:sz="6" w:space="0" w:color="4F81BD"/>
            </w:tcBorders>
            <w:shd w:val="clear" w:color="auto" w:fill="C6D9F1"/>
            <w:vAlign w:val="center"/>
          </w:tcPr>
          <w:p w:rsidR="00DB4206" w:rsidRPr="00083E67" w:rsidRDefault="00DB4206" w:rsidP="00080C04">
            <w:pPr>
              <w:jc w:val="center"/>
              <w:rPr>
                <w:rFonts w:eastAsia="Batang" w:cs="Arial"/>
                <w:b/>
                <w:color w:val="1F497D"/>
                <w:sz w:val="20"/>
              </w:rPr>
            </w:pPr>
            <w:r>
              <w:rPr>
                <w:rFonts w:eastAsia="Batang" w:cs="Arial"/>
                <w:b/>
                <w:color w:val="1F497D"/>
                <w:sz w:val="20"/>
              </w:rPr>
              <w:t>90</w:t>
            </w:r>
          </w:p>
        </w:tc>
        <w:tc>
          <w:tcPr>
            <w:tcW w:w="810" w:type="dxa"/>
            <w:tcBorders>
              <w:top w:val="single" w:sz="6" w:space="0" w:color="4F81BD"/>
              <w:left w:val="single" w:sz="6" w:space="0" w:color="4F81BD"/>
              <w:bottom w:val="single" w:sz="4" w:space="0" w:color="4F81BD"/>
              <w:right w:val="single" w:sz="4" w:space="0" w:color="4F81BD"/>
            </w:tcBorders>
            <w:shd w:val="clear" w:color="auto" w:fill="C6D9F1"/>
            <w:vAlign w:val="center"/>
          </w:tcPr>
          <w:p w:rsidR="00DB4206" w:rsidRDefault="00DB4206" w:rsidP="00080C04">
            <w:pPr>
              <w:jc w:val="center"/>
              <w:rPr>
                <w:b/>
                <w:bCs/>
                <w:color w:val="1F497D"/>
                <w:sz w:val="20"/>
              </w:rPr>
            </w:pPr>
            <w:r>
              <w:rPr>
                <w:b/>
                <w:bCs/>
                <w:color w:val="1F497D"/>
                <w:sz w:val="20"/>
              </w:rPr>
              <w:t>100%</w:t>
            </w:r>
          </w:p>
        </w:tc>
        <w:tc>
          <w:tcPr>
            <w:tcW w:w="1350" w:type="dxa"/>
            <w:tcBorders>
              <w:top w:val="single" w:sz="6" w:space="0" w:color="4F81BD"/>
              <w:left w:val="single" w:sz="6" w:space="0" w:color="4F81BD"/>
              <w:bottom w:val="single" w:sz="4" w:space="0" w:color="4F81BD"/>
              <w:right w:val="single" w:sz="4" w:space="0" w:color="4F81BD"/>
            </w:tcBorders>
            <w:shd w:val="clear" w:color="auto" w:fill="C6D9F1"/>
            <w:vAlign w:val="center"/>
          </w:tcPr>
          <w:p w:rsidR="00DB4206" w:rsidRDefault="00DB4206" w:rsidP="00080C04">
            <w:pPr>
              <w:jc w:val="center"/>
              <w:rPr>
                <w:b/>
                <w:bCs/>
                <w:color w:val="1F497D"/>
                <w:sz w:val="20"/>
              </w:rPr>
            </w:pPr>
            <w:r>
              <w:rPr>
                <w:b/>
                <w:bCs/>
                <w:color w:val="1F497D"/>
                <w:sz w:val="20"/>
              </w:rPr>
              <w:t>123</w:t>
            </w:r>
          </w:p>
        </w:tc>
        <w:tc>
          <w:tcPr>
            <w:tcW w:w="742" w:type="dxa"/>
            <w:tcBorders>
              <w:top w:val="single" w:sz="6" w:space="0" w:color="4F81BD"/>
              <w:left w:val="single" w:sz="6" w:space="0" w:color="4F81BD"/>
              <w:bottom w:val="single" w:sz="4" w:space="0" w:color="4F81BD"/>
              <w:right w:val="single" w:sz="4" w:space="0" w:color="4F81BD"/>
            </w:tcBorders>
            <w:shd w:val="clear" w:color="auto" w:fill="C6D9F1"/>
            <w:vAlign w:val="center"/>
          </w:tcPr>
          <w:p w:rsidR="00DB4206" w:rsidRDefault="00DB4206" w:rsidP="00080C04">
            <w:pPr>
              <w:jc w:val="center"/>
              <w:rPr>
                <w:b/>
                <w:bCs/>
                <w:color w:val="1F497D"/>
                <w:sz w:val="20"/>
              </w:rPr>
            </w:pPr>
            <w:r>
              <w:rPr>
                <w:b/>
                <w:bCs/>
                <w:color w:val="1F497D"/>
                <w:sz w:val="20"/>
              </w:rPr>
              <w:t>100%</w:t>
            </w:r>
          </w:p>
        </w:tc>
      </w:tr>
      <w:tr w:rsidR="00DB4206" w:rsidRPr="00936EB1" w:rsidTr="000A1B40">
        <w:trPr>
          <w:trHeight w:val="310"/>
          <w:jc w:val="center"/>
        </w:trPr>
        <w:tc>
          <w:tcPr>
            <w:tcW w:w="3544" w:type="dxa"/>
            <w:tcBorders>
              <w:top w:val="single" w:sz="4" w:space="0" w:color="4F81BD" w:themeColor="accent1"/>
              <w:left w:val="single" w:sz="4" w:space="0" w:color="4F81BD"/>
              <w:bottom w:val="single" w:sz="4" w:space="0" w:color="4F81BD"/>
              <w:right w:val="single" w:sz="4" w:space="0" w:color="4F81BD"/>
            </w:tcBorders>
            <w:shd w:val="clear" w:color="auto" w:fill="C6D9F1"/>
            <w:noWrap/>
            <w:vAlign w:val="center"/>
          </w:tcPr>
          <w:p w:rsidR="00DB4206" w:rsidRPr="00B913A9" w:rsidRDefault="00CA089A" w:rsidP="00CA089A">
            <w:pPr>
              <w:rPr>
                <w:rFonts w:eastAsia="Batang" w:cs="Arial"/>
                <w:b/>
                <w:i/>
                <w:color w:val="1F497D"/>
                <w:sz w:val="20"/>
              </w:rPr>
            </w:pPr>
            <w:r>
              <w:rPr>
                <w:rFonts w:eastAsia="Batang" w:cs="Arial"/>
                <w:b/>
                <w:i/>
                <w:color w:val="1F497D"/>
                <w:sz w:val="20"/>
              </w:rPr>
              <w:t xml:space="preserve">Total/average # of </w:t>
            </w:r>
            <w:r w:rsidR="00DB4206" w:rsidRPr="00B913A9">
              <w:rPr>
                <w:rFonts w:eastAsia="Batang" w:cs="Arial"/>
                <w:b/>
                <w:i/>
                <w:color w:val="1F497D"/>
                <w:sz w:val="20"/>
              </w:rPr>
              <w:t xml:space="preserve"> inter-unit transfers</w:t>
            </w:r>
            <w:r w:rsidR="00DB4206">
              <w:rPr>
                <w:rFonts w:eastAsia="Batang" w:cs="Arial"/>
                <w:b/>
                <w:i/>
                <w:color w:val="1F497D"/>
                <w:sz w:val="20"/>
              </w:rPr>
              <w:t xml:space="preserve"> </w:t>
            </w:r>
          </w:p>
        </w:tc>
        <w:tc>
          <w:tcPr>
            <w:tcW w:w="2160" w:type="dxa"/>
            <w:gridSpan w:val="2"/>
            <w:tcBorders>
              <w:top w:val="single" w:sz="4" w:space="0" w:color="4F81BD"/>
              <w:left w:val="single" w:sz="4" w:space="0" w:color="4F81BD"/>
              <w:bottom w:val="single" w:sz="4" w:space="0" w:color="4F81BD"/>
              <w:right w:val="single" w:sz="4" w:space="0" w:color="4F81BD"/>
            </w:tcBorders>
            <w:shd w:val="clear" w:color="auto" w:fill="C6D9F1"/>
            <w:noWrap/>
            <w:vAlign w:val="center"/>
          </w:tcPr>
          <w:p w:rsidR="00DB4206" w:rsidRPr="00B913A9" w:rsidRDefault="00DB4206" w:rsidP="00080C04">
            <w:pPr>
              <w:jc w:val="center"/>
              <w:rPr>
                <w:b/>
                <w:bCs/>
                <w:i/>
                <w:color w:val="1F497D"/>
                <w:sz w:val="20"/>
              </w:rPr>
            </w:pPr>
            <w:r>
              <w:rPr>
                <w:rFonts w:eastAsia="Batang" w:cs="Arial"/>
                <w:b/>
                <w:i/>
                <w:color w:val="1F497D"/>
                <w:sz w:val="20"/>
              </w:rPr>
              <w:t>70 (6 per month)</w:t>
            </w:r>
          </w:p>
        </w:tc>
        <w:tc>
          <w:tcPr>
            <w:tcW w:w="2160" w:type="dxa"/>
            <w:gridSpan w:val="2"/>
            <w:tcBorders>
              <w:top w:val="single" w:sz="4" w:space="0" w:color="4F81BD"/>
              <w:left w:val="single" w:sz="4" w:space="0" w:color="4F81BD"/>
              <w:bottom w:val="single" w:sz="4" w:space="0" w:color="4F81BD"/>
              <w:right w:val="single" w:sz="4" w:space="0" w:color="4F81BD"/>
            </w:tcBorders>
            <w:shd w:val="clear" w:color="auto" w:fill="C6D9F1"/>
            <w:vAlign w:val="center"/>
          </w:tcPr>
          <w:p w:rsidR="00DB4206" w:rsidRPr="00B913A9" w:rsidRDefault="00DB4206" w:rsidP="00080C04">
            <w:pPr>
              <w:jc w:val="center"/>
              <w:rPr>
                <w:b/>
                <w:bCs/>
                <w:i/>
                <w:color w:val="1F497D"/>
                <w:sz w:val="20"/>
              </w:rPr>
            </w:pPr>
            <w:r>
              <w:rPr>
                <w:rFonts w:eastAsia="Batang" w:cs="Arial"/>
                <w:b/>
                <w:i/>
                <w:color w:val="1F497D"/>
                <w:sz w:val="20"/>
              </w:rPr>
              <w:t>114 (10 per month)</w:t>
            </w:r>
          </w:p>
        </w:tc>
        <w:tc>
          <w:tcPr>
            <w:tcW w:w="2092" w:type="dxa"/>
            <w:gridSpan w:val="2"/>
            <w:tcBorders>
              <w:top w:val="single" w:sz="4" w:space="0" w:color="4F81BD"/>
              <w:left w:val="single" w:sz="4" w:space="0" w:color="4F81BD"/>
              <w:bottom w:val="single" w:sz="4" w:space="0" w:color="4F81BD"/>
              <w:right w:val="single" w:sz="4" w:space="0" w:color="4F81BD"/>
            </w:tcBorders>
            <w:shd w:val="clear" w:color="auto" w:fill="C6D9F1"/>
            <w:vAlign w:val="center"/>
          </w:tcPr>
          <w:p w:rsidR="00DB4206" w:rsidRDefault="00DB4206" w:rsidP="00080C04">
            <w:pPr>
              <w:jc w:val="center"/>
              <w:rPr>
                <w:rFonts w:eastAsia="Batang" w:cs="Arial"/>
                <w:b/>
                <w:i/>
                <w:color w:val="1F497D"/>
                <w:sz w:val="20"/>
              </w:rPr>
            </w:pPr>
            <w:r>
              <w:rPr>
                <w:rFonts w:eastAsia="Batang" w:cs="Arial"/>
                <w:b/>
                <w:i/>
                <w:color w:val="1F497D"/>
                <w:sz w:val="20"/>
              </w:rPr>
              <w:t>154 (13 per month)</w:t>
            </w:r>
          </w:p>
        </w:tc>
      </w:tr>
    </w:tbl>
    <w:p w:rsidR="00DB4206" w:rsidRPr="00D760F8" w:rsidRDefault="00DB4206" w:rsidP="00DB4206">
      <w:pPr>
        <w:pStyle w:val="Heading2"/>
      </w:pPr>
      <w:bookmarkStart w:id="72" w:name="_Toc316897932"/>
      <w:bookmarkStart w:id="73" w:name="_Toc349913397"/>
      <w:bookmarkStart w:id="74" w:name="_Toc384134248"/>
      <w:bookmarkStart w:id="75" w:name="_Ref384856673"/>
      <w:bookmarkStart w:id="76" w:name="_Ref384856684"/>
      <w:bookmarkStart w:id="77" w:name="_Ref384856703"/>
      <w:bookmarkStart w:id="78" w:name="_Ref384856724"/>
      <w:bookmarkStart w:id="79" w:name="_Toc386095020"/>
      <w:bookmarkStart w:id="80" w:name="_Toc416357854"/>
      <w:r w:rsidRPr="00D760F8">
        <w:t>Leave</w:t>
      </w:r>
      <w:r>
        <w:t>s</w:t>
      </w:r>
      <w:bookmarkEnd w:id="72"/>
      <w:bookmarkEnd w:id="73"/>
      <w:bookmarkEnd w:id="74"/>
      <w:bookmarkEnd w:id="75"/>
      <w:bookmarkEnd w:id="76"/>
      <w:bookmarkEnd w:id="77"/>
      <w:bookmarkEnd w:id="78"/>
      <w:bookmarkEnd w:id="79"/>
      <w:bookmarkEnd w:id="80"/>
    </w:p>
    <w:p w:rsidR="000B7638" w:rsidRDefault="00DB4206" w:rsidP="00FA3949">
      <w:pPr>
        <w:pStyle w:val="KeyFindings"/>
        <w:spacing w:after="120"/>
      </w:pPr>
      <w:bookmarkStart w:id="81" w:name="_Toc386095065"/>
      <w:bookmarkStart w:id="82" w:name="_Toc350841481"/>
      <w:bookmarkStart w:id="83" w:name="_Toc281982831"/>
      <w:bookmarkStart w:id="84" w:name="_Toc316898024"/>
      <w:r w:rsidRPr="0058517D">
        <w:t>The total number of documented leave episodes in FY</w:t>
      </w:r>
      <w:r w:rsidR="000B7638">
        <w:t>1</w:t>
      </w:r>
      <w:r w:rsidRPr="0058517D">
        <w:t xml:space="preserve">4 was </w:t>
      </w:r>
      <w:r>
        <w:t>3,641</w:t>
      </w:r>
      <w:r w:rsidRPr="0058517D">
        <w:t>, which represent</w:t>
      </w:r>
      <w:r>
        <w:t xml:space="preserve"> about </w:t>
      </w:r>
      <w:r w:rsidR="00265E02">
        <w:t xml:space="preserve">303 leave episodes per month or </w:t>
      </w:r>
      <w:r>
        <w:t>10</w:t>
      </w:r>
      <w:r w:rsidRPr="0058517D">
        <w:t xml:space="preserve"> episodes on a given day. </w:t>
      </w:r>
      <w:r w:rsidR="00265E02">
        <w:t xml:space="preserve"> </w:t>
      </w:r>
      <w:r w:rsidRPr="0058517D">
        <w:t xml:space="preserve">Of the 3,641 leaves, </w:t>
      </w:r>
      <w:r w:rsidR="002E188C">
        <w:t>1</w:t>
      </w:r>
      <w:r w:rsidR="003E0D17">
        <w:t>,3</w:t>
      </w:r>
      <w:r w:rsidR="002E188C">
        <w:t>78 or 38%</w:t>
      </w:r>
      <w:r w:rsidR="00265E02">
        <w:t xml:space="preserve"> were placed </w:t>
      </w:r>
      <w:r w:rsidR="00BD7AC3">
        <w:t>on leave to participate in</w:t>
      </w:r>
      <w:r w:rsidR="00265E02">
        <w:t xml:space="preserve"> ‘therapeutic community activities’, </w:t>
      </w:r>
      <w:r w:rsidRPr="0058517D">
        <w:t>74</w:t>
      </w:r>
      <w:r w:rsidR="00BD7AC3">
        <w:t>8</w:t>
      </w:r>
      <w:r w:rsidRPr="0058517D">
        <w:t xml:space="preserve"> or 21% were medical leaves</w:t>
      </w:r>
      <w:r w:rsidR="00265E02">
        <w:t xml:space="preserve"> (</w:t>
      </w:r>
      <w:r w:rsidRPr="0058517D">
        <w:t xml:space="preserve">including 190 </w:t>
      </w:r>
      <w:r w:rsidRPr="0058517D">
        <w:lastRenderedPageBreak/>
        <w:t>emergency medical leaves</w:t>
      </w:r>
      <w:r w:rsidR="00265E02">
        <w:t xml:space="preserve"> </w:t>
      </w:r>
      <w:r w:rsidRPr="0058517D">
        <w:t>and 55</w:t>
      </w:r>
      <w:r w:rsidR="00BD7AC3">
        <w:t>8</w:t>
      </w:r>
      <w:r w:rsidRPr="0058517D">
        <w:t xml:space="preserve"> non-</w:t>
      </w:r>
      <w:r>
        <w:t>emergency medical leaves</w:t>
      </w:r>
      <w:r w:rsidR="00265E02">
        <w:t>)</w:t>
      </w:r>
      <w:r w:rsidR="006C6BEF">
        <w:t>;</w:t>
      </w:r>
      <w:r>
        <w:t xml:space="preserve"> 671 </w:t>
      </w:r>
      <w:r w:rsidR="00265E02">
        <w:t xml:space="preserve">or </w:t>
      </w:r>
      <w:r w:rsidRPr="0058517D">
        <w:t xml:space="preserve">18% were </w:t>
      </w:r>
      <w:r w:rsidR="00886445">
        <w:t xml:space="preserve">leaves </w:t>
      </w:r>
      <w:r w:rsidRPr="0058517D">
        <w:t>authorized</w:t>
      </w:r>
      <w:r w:rsidR="004A5609">
        <w:t xml:space="preserve"> </w:t>
      </w:r>
      <w:r w:rsidRPr="0058517D">
        <w:t>for home visits</w:t>
      </w:r>
      <w:r w:rsidR="006C6BEF">
        <w:t>;</w:t>
      </w:r>
      <w:r w:rsidRPr="0058517D">
        <w:t xml:space="preserve"> 516</w:t>
      </w:r>
      <w:r>
        <w:t xml:space="preserve"> </w:t>
      </w:r>
      <w:r w:rsidR="00265E02">
        <w:t xml:space="preserve">or </w:t>
      </w:r>
      <w:r w:rsidRPr="0058517D">
        <w:t>14% were authorized for a court hearing</w:t>
      </w:r>
      <w:r w:rsidR="006C6BEF">
        <w:t>;</w:t>
      </w:r>
      <w:r>
        <w:t xml:space="preserve"> and 320 </w:t>
      </w:r>
      <w:r w:rsidR="00265E02">
        <w:t xml:space="preserve">or </w:t>
      </w:r>
      <w:r>
        <w:t xml:space="preserve">9% were for </w:t>
      </w:r>
      <w:r w:rsidR="003E0D17">
        <w:t>pre-discharge activities</w:t>
      </w:r>
      <w:r w:rsidRPr="0058517D">
        <w:t xml:space="preserve">.  Unauthorized leaves (elopements) numbered </w:t>
      </w:r>
      <w:r w:rsidR="004A5609">
        <w:t xml:space="preserve">eight </w:t>
      </w:r>
      <w:r w:rsidR="00265E02">
        <w:t>(</w:t>
      </w:r>
      <w:r w:rsidR="004A5609">
        <w:t>8</w:t>
      </w:r>
      <w:r w:rsidR="00265E02">
        <w:t>)</w:t>
      </w:r>
      <w:r w:rsidRPr="0058517D">
        <w:t xml:space="preserve"> in FY14.</w:t>
      </w:r>
      <w:r w:rsidR="00FA3949">
        <w:t xml:space="preserve"> </w:t>
      </w:r>
    </w:p>
    <w:p w:rsidR="00BD7AC3" w:rsidRPr="002D0EF0" w:rsidRDefault="00BD7AC3" w:rsidP="00BD7AC3">
      <w:pPr>
        <w:pStyle w:val="KeyFindings"/>
        <w:keepNext/>
        <w:numPr>
          <w:ilvl w:val="0"/>
          <w:numId w:val="0"/>
        </w:numPr>
        <w:rPr>
          <w:rStyle w:val="FigureChar"/>
        </w:rPr>
      </w:pPr>
      <w:bookmarkStart w:id="85" w:name="_Toc416357957"/>
      <w:r w:rsidRPr="00E269E2">
        <w:rPr>
          <w:rStyle w:val="FigureChar"/>
        </w:rPr>
        <w:t xml:space="preserve">Table </w:t>
      </w:r>
      <w:r w:rsidRPr="00344689">
        <w:rPr>
          <w:rStyle w:val="FigureChar"/>
        </w:rPr>
        <w:fldChar w:fldCharType="begin"/>
      </w:r>
      <w:r w:rsidRPr="00344689">
        <w:rPr>
          <w:rStyle w:val="FigureChar"/>
        </w:rPr>
        <w:instrText xml:space="preserve"> SEQ Table \* ARABIC </w:instrText>
      </w:r>
      <w:r w:rsidRPr="00344689">
        <w:rPr>
          <w:rStyle w:val="FigureChar"/>
        </w:rPr>
        <w:fldChar w:fldCharType="separate"/>
      </w:r>
      <w:r w:rsidR="007E3DB6">
        <w:rPr>
          <w:rStyle w:val="FigureChar"/>
          <w:noProof/>
        </w:rPr>
        <w:t>4</w:t>
      </w:r>
      <w:r w:rsidRPr="00344689">
        <w:rPr>
          <w:rStyle w:val="FigureChar"/>
        </w:rPr>
        <w:fldChar w:fldCharType="end"/>
      </w:r>
      <w:r w:rsidRPr="00E269E2">
        <w:rPr>
          <w:rStyle w:val="FigureChar"/>
        </w:rPr>
        <w:t xml:space="preserve">. </w:t>
      </w:r>
      <w:r>
        <w:rPr>
          <w:rStyle w:val="FigureChar"/>
        </w:rPr>
        <w:t>Leave Episodes by Type and Reason</w:t>
      </w:r>
      <w:r w:rsidRPr="00E269E2">
        <w:rPr>
          <w:rStyle w:val="FigureChar"/>
        </w:rPr>
        <w:t xml:space="preserve"> (</w:t>
      </w:r>
      <w:r>
        <w:rPr>
          <w:rStyle w:val="FigureChar"/>
        </w:rPr>
        <w:t>FY14</w:t>
      </w:r>
      <w:r w:rsidRPr="00E269E2">
        <w:rPr>
          <w:rStyle w:val="FigureChar"/>
        </w:rPr>
        <w:t>)</w:t>
      </w:r>
      <w:bookmarkEnd w:id="85"/>
    </w:p>
    <w:tbl>
      <w:tblPr>
        <w:tblW w:w="10009" w:type="dxa"/>
        <w:jc w:val="center"/>
        <w:tblBorders>
          <w:top w:val="single" w:sz="4" w:space="0" w:color="auto"/>
          <w:left w:val="single" w:sz="4" w:space="0" w:color="auto"/>
          <w:bottom w:val="single" w:sz="4" w:space="0" w:color="auto"/>
          <w:right w:val="single" w:sz="4" w:space="0" w:color="auto"/>
        </w:tblBorders>
        <w:tblLayout w:type="fixed"/>
        <w:tblCellMar>
          <w:left w:w="14" w:type="dxa"/>
          <w:right w:w="14" w:type="dxa"/>
        </w:tblCellMar>
        <w:tblLook w:val="0000" w:firstRow="0" w:lastRow="0" w:firstColumn="0" w:lastColumn="0" w:noHBand="0" w:noVBand="0"/>
      </w:tblPr>
      <w:tblGrid>
        <w:gridCol w:w="2321"/>
        <w:gridCol w:w="528"/>
        <w:gridCol w:w="528"/>
        <w:gridCol w:w="528"/>
        <w:gridCol w:w="528"/>
        <w:gridCol w:w="528"/>
        <w:gridCol w:w="529"/>
        <w:gridCol w:w="528"/>
        <w:gridCol w:w="528"/>
        <w:gridCol w:w="528"/>
        <w:gridCol w:w="528"/>
        <w:gridCol w:w="528"/>
        <w:gridCol w:w="529"/>
        <w:gridCol w:w="630"/>
        <w:gridCol w:w="720"/>
      </w:tblGrid>
      <w:tr w:rsidR="00BD7AC3" w:rsidRPr="00936EB1" w:rsidTr="00BD7AC3">
        <w:trPr>
          <w:trHeight w:val="320"/>
          <w:jc w:val="center"/>
        </w:trPr>
        <w:tc>
          <w:tcPr>
            <w:tcW w:w="2321" w:type="dxa"/>
            <w:tcBorders>
              <w:top w:val="single" w:sz="4" w:space="0" w:color="548DD4"/>
              <w:left w:val="single" w:sz="4" w:space="0" w:color="548DD4"/>
              <w:bottom w:val="single" w:sz="4" w:space="0" w:color="548DD4"/>
              <w:right w:val="single" w:sz="4" w:space="0" w:color="548DD4"/>
            </w:tcBorders>
            <w:shd w:val="clear" w:color="auto" w:fill="C6D9F1"/>
            <w:noWrap/>
            <w:vAlign w:val="center"/>
          </w:tcPr>
          <w:p w:rsidR="00BD7AC3" w:rsidRPr="005B1DA3" w:rsidRDefault="00BD7AC3" w:rsidP="00266393">
            <w:pPr>
              <w:keepNext/>
              <w:rPr>
                <w:rFonts w:eastAsia="Batang" w:cs="Arial"/>
                <w:b/>
                <w:color w:val="1F497D"/>
                <w:sz w:val="20"/>
              </w:rPr>
            </w:pPr>
            <w:r w:rsidRPr="005B1DA3">
              <w:rPr>
                <w:rFonts w:eastAsia="Batang" w:cs="Arial"/>
                <w:b/>
                <w:color w:val="1F497D"/>
                <w:sz w:val="20"/>
              </w:rPr>
              <w:t>Leave Type &amp; Reason</w:t>
            </w:r>
          </w:p>
        </w:tc>
        <w:tc>
          <w:tcPr>
            <w:tcW w:w="528" w:type="dxa"/>
            <w:tcBorders>
              <w:top w:val="single" w:sz="4" w:space="0" w:color="548DD4"/>
              <w:left w:val="single" w:sz="4" w:space="0" w:color="548DD4"/>
              <w:bottom w:val="single" w:sz="4" w:space="0" w:color="548DD4"/>
            </w:tcBorders>
            <w:shd w:val="clear" w:color="auto" w:fill="C6D9F1"/>
            <w:noWrap/>
            <w:vAlign w:val="center"/>
          </w:tcPr>
          <w:p w:rsidR="00BD7AC3" w:rsidRPr="00D02C01" w:rsidRDefault="00BD7AC3" w:rsidP="00266393">
            <w:pPr>
              <w:keepNext/>
              <w:jc w:val="center"/>
              <w:rPr>
                <w:rFonts w:cs="Arial"/>
                <w:b/>
                <w:bCs/>
                <w:color w:val="1F497D"/>
                <w:sz w:val="20"/>
              </w:rPr>
            </w:pPr>
            <w:r w:rsidRPr="00D02C01">
              <w:rPr>
                <w:rFonts w:cs="Arial"/>
                <w:b/>
                <w:bCs/>
                <w:color w:val="1F497D"/>
                <w:sz w:val="20"/>
              </w:rPr>
              <w:t>Oct</w:t>
            </w:r>
            <w:r>
              <w:rPr>
                <w:rFonts w:cs="Arial"/>
                <w:b/>
                <w:bCs/>
                <w:color w:val="1F497D"/>
                <w:sz w:val="20"/>
              </w:rPr>
              <w:t>-13</w:t>
            </w:r>
          </w:p>
        </w:tc>
        <w:tc>
          <w:tcPr>
            <w:tcW w:w="528" w:type="dxa"/>
            <w:tcBorders>
              <w:top w:val="single" w:sz="4" w:space="0" w:color="548DD4"/>
              <w:bottom w:val="single" w:sz="4" w:space="0" w:color="548DD4"/>
            </w:tcBorders>
            <w:shd w:val="clear" w:color="auto" w:fill="C6D9F1"/>
            <w:noWrap/>
            <w:vAlign w:val="center"/>
          </w:tcPr>
          <w:p w:rsidR="00BD7AC3" w:rsidRPr="00D02C01" w:rsidRDefault="00BD7AC3" w:rsidP="00266393">
            <w:pPr>
              <w:keepNext/>
              <w:jc w:val="center"/>
              <w:rPr>
                <w:rFonts w:cs="Arial"/>
                <w:b/>
                <w:bCs/>
                <w:color w:val="1F497D"/>
                <w:sz w:val="20"/>
              </w:rPr>
            </w:pPr>
            <w:r w:rsidRPr="00D02C01">
              <w:rPr>
                <w:rFonts w:cs="Arial"/>
                <w:b/>
                <w:bCs/>
                <w:color w:val="1F497D"/>
                <w:sz w:val="20"/>
              </w:rPr>
              <w:t>Nov</w:t>
            </w:r>
            <w:r>
              <w:rPr>
                <w:rFonts w:cs="Arial"/>
                <w:b/>
                <w:bCs/>
                <w:color w:val="1F497D"/>
                <w:sz w:val="20"/>
              </w:rPr>
              <w:t>-13</w:t>
            </w:r>
          </w:p>
        </w:tc>
        <w:tc>
          <w:tcPr>
            <w:tcW w:w="528" w:type="dxa"/>
            <w:tcBorders>
              <w:top w:val="single" w:sz="4" w:space="0" w:color="548DD4"/>
              <w:bottom w:val="single" w:sz="4" w:space="0" w:color="548DD4"/>
            </w:tcBorders>
            <w:shd w:val="clear" w:color="auto" w:fill="C6D9F1"/>
            <w:noWrap/>
            <w:vAlign w:val="center"/>
          </w:tcPr>
          <w:p w:rsidR="00BD7AC3" w:rsidRPr="00D02C01" w:rsidRDefault="00BD7AC3" w:rsidP="00266393">
            <w:pPr>
              <w:keepNext/>
              <w:jc w:val="center"/>
              <w:rPr>
                <w:rFonts w:cs="Arial"/>
                <w:b/>
                <w:bCs/>
                <w:color w:val="1F497D"/>
                <w:sz w:val="20"/>
              </w:rPr>
            </w:pPr>
            <w:r w:rsidRPr="00D02C01">
              <w:rPr>
                <w:rFonts w:cs="Arial"/>
                <w:b/>
                <w:bCs/>
                <w:color w:val="1F497D"/>
                <w:sz w:val="20"/>
              </w:rPr>
              <w:t>Dec</w:t>
            </w:r>
            <w:r>
              <w:rPr>
                <w:rFonts w:cs="Arial"/>
                <w:b/>
                <w:bCs/>
                <w:color w:val="1F497D"/>
                <w:sz w:val="20"/>
              </w:rPr>
              <w:t>-13</w:t>
            </w:r>
          </w:p>
        </w:tc>
        <w:tc>
          <w:tcPr>
            <w:tcW w:w="528" w:type="dxa"/>
            <w:tcBorders>
              <w:top w:val="single" w:sz="4" w:space="0" w:color="548DD4"/>
              <w:bottom w:val="single" w:sz="4" w:space="0" w:color="548DD4"/>
            </w:tcBorders>
            <w:shd w:val="clear" w:color="auto" w:fill="C6D9F1"/>
            <w:noWrap/>
            <w:vAlign w:val="center"/>
          </w:tcPr>
          <w:p w:rsidR="00BD7AC3" w:rsidRPr="00D02C01" w:rsidRDefault="00BD7AC3" w:rsidP="00266393">
            <w:pPr>
              <w:keepNext/>
              <w:jc w:val="center"/>
              <w:rPr>
                <w:rFonts w:cs="Arial"/>
                <w:b/>
                <w:bCs/>
                <w:color w:val="1F497D"/>
                <w:sz w:val="20"/>
              </w:rPr>
            </w:pPr>
            <w:r w:rsidRPr="00D02C01">
              <w:rPr>
                <w:rFonts w:cs="Arial"/>
                <w:b/>
                <w:bCs/>
                <w:color w:val="1F497D"/>
                <w:sz w:val="20"/>
              </w:rPr>
              <w:t>Jan</w:t>
            </w:r>
            <w:r>
              <w:rPr>
                <w:rFonts w:cs="Arial"/>
                <w:b/>
                <w:bCs/>
                <w:color w:val="1F497D"/>
                <w:sz w:val="20"/>
              </w:rPr>
              <w:t>-14</w:t>
            </w:r>
          </w:p>
        </w:tc>
        <w:tc>
          <w:tcPr>
            <w:tcW w:w="528" w:type="dxa"/>
            <w:tcBorders>
              <w:top w:val="single" w:sz="4" w:space="0" w:color="548DD4"/>
              <w:bottom w:val="single" w:sz="4" w:space="0" w:color="548DD4"/>
            </w:tcBorders>
            <w:shd w:val="clear" w:color="auto" w:fill="C6D9F1"/>
            <w:noWrap/>
            <w:vAlign w:val="center"/>
          </w:tcPr>
          <w:p w:rsidR="00BD7AC3" w:rsidRPr="00D02C01" w:rsidRDefault="00BD7AC3" w:rsidP="00266393">
            <w:pPr>
              <w:keepNext/>
              <w:jc w:val="center"/>
              <w:rPr>
                <w:rFonts w:cs="Arial"/>
                <w:b/>
                <w:bCs/>
                <w:color w:val="1F497D"/>
                <w:sz w:val="20"/>
              </w:rPr>
            </w:pPr>
            <w:r w:rsidRPr="00D02C01">
              <w:rPr>
                <w:rFonts w:cs="Arial"/>
                <w:b/>
                <w:bCs/>
                <w:color w:val="1F497D"/>
                <w:sz w:val="20"/>
              </w:rPr>
              <w:t>Feb</w:t>
            </w:r>
            <w:r>
              <w:rPr>
                <w:rFonts w:cs="Arial"/>
                <w:b/>
                <w:bCs/>
                <w:color w:val="1F497D"/>
                <w:sz w:val="20"/>
              </w:rPr>
              <w:t>-14</w:t>
            </w:r>
          </w:p>
        </w:tc>
        <w:tc>
          <w:tcPr>
            <w:tcW w:w="529" w:type="dxa"/>
            <w:tcBorders>
              <w:top w:val="single" w:sz="4" w:space="0" w:color="548DD4"/>
              <w:bottom w:val="single" w:sz="4" w:space="0" w:color="548DD4"/>
            </w:tcBorders>
            <w:shd w:val="clear" w:color="auto" w:fill="C6D9F1"/>
            <w:noWrap/>
            <w:vAlign w:val="center"/>
          </w:tcPr>
          <w:p w:rsidR="00BD7AC3" w:rsidRPr="00D02C01" w:rsidRDefault="00BD7AC3" w:rsidP="00266393">
            <w:pPr>
              <w:keepNext/>
              <w:jc w:val="center"/>
              <w:rPr>
                <w:rFonts w:cs="Arial"/>
                <w:b/>
                <w:bCs/>
                <w:color w:val="1F497D"/>
                <w:sz w:val="20"/>
              </w:rPr>
            </w:pPr>
            <w:r w:rsidRPr="00D02C01">
              <w:rPr>
                <w:rFonts w:cs="Arial"/>
                <w:b/>
                <w:bCs/>
                <w:color w:val="1F497D"/>
                <w:sz w:val="20"/>
              </w:rPr>
              <w:t>Mar</w:t>
            </w:r>
            <w:r>
              <w:rPr>
                <w:rFonts w:cs="Arial"/>
                <w:b/>
                <w:bCs/>
                <w:color w:val="1F497D"/>
                <w:sz w:val="20"/>
              </w:rPr>
              <w:t>-14</w:t>
            </w:r>
          </w:p>
        </w:tc>
        <w:tc>
          <w:tcPr>
            <w:tcW w:w="528" w:type="dxa"/>
            <w:tcBorders>
              <w:top w:val="single" w:sz="4" w:space="0" w:color="548DD4"/>
              <w:bottom w:val="single" w:sz="4" w:space="0" w:color="548DD4"/>
            </w:tcBorders>
            <w:shd w:val="clear" w:color="auto" w:fill="C6D9F1"/>
            <w:noWrap/>
            <w:vAlign w:val="center"/>
          </w:tcPr>
          <w:p w:rsidR="00BD7AC3" w:rsidRPr="00D02C01" w:rsidRDefault="00BD7AC3" w:rsidP="00266393">
            <w:pPr>
              <w:keepNext/>
              <w:jc w:val="center"/>
              <w:rPr>
                <w:rFonts w:cs="Arial"/>
                <w:b/>
                <w:bCs/>
                <w:color w:val="1F497D"/>
                <w:sz w:val="20"/>
              </w:rPr>
            </w:pPr>
            <w:r w:rsidRPr="00D02C01">
              <w:rPr>
                <w:rFonts w:cs="Arial"/>
                <w:b/>
                <w:bCs/>
                <w:color w:val="1F497D"/>
                <w:sz w:val="20"/>
              </w:rPr>
              <w:t>Apr</w:t>
            </w:r>
            <w:r>
              <w:rPr>
                <w:rFonts w:cs="Arial"/>
                <w:b/>
                <w:bCs/>
                <w:color w:val="1F497D"/>
                <w:sz w:val="20"/>
              </w:rPr>
              <w:t>-14</w:t>
            </w:r>
          </w:p>
        </w:tc>
        <w:tc>
          <w:tcPr>
            <w:tcW w:w="528" w:type="dxa"/>
            <w:tcBorders>
              <w:top w:val="single" w:sz="4" w:space="0" w:color="548DD4"/>
              <w:bottom w:val="single" w:sz="4" w:space="0" w:color="548DD4"/>
            </w:tcBorders>
            <w:shd w:val="clear" w:color="auto" w:fill="C6D9F1"/>
            <w:noWrap/>
            <w:vAlign w:val="center"/>
          </w:tcPr>
          <w:p w:rsidR="00BD7AC3" w:rsidRPr="00D02C01" w:rsidRDefault="00BD7AC3" w:rsidP="00266393">
            <w:pPr>
              <w:keepNext/>
              <w:jc w:val="center"/>
              <w:rPr>
                <w:rFonts w:cs="Arial"/>
                <w:b/>
                <w:bCs/>
                <w:color w:val="1F497D"/>
                <w:sz w:val="20"/>
              </w:rPr>
            </w:pPr>
            <w:r w:rsidRPr="00D02C01">
              <w:rPr>
                <w:rFonts w:cs="Arial"/>
                <w:b/>
                <w:bCs/>
                <w:color w:val="1F497D"/>
                <w:sz w:val="20"/>
              </w:rPr>
              <w:t>May</w:t>
            </w:r>
            <w:r>
              <w:rPr>
                <w:rFonts w:cs="Arial"/>
                <w:b/>
                <w:bCs/>
                <w:color w:val="1F497D"/>
                <w:sz w:val="20"/>
              </w:rPr>
              <w:t>-14</w:t>
            </w:r>
          </w:p>
        </w:tc>
        <w:tc>
          <w:tcPr>
            <w:tcW w:w="528" w:type="dxa"/>
            <w:tcBorders>
              <w:top w:val="single" w:sz="4" w:space="0" w:color="548DD4"/>
              <w:bottom w:val="single" w:sz="4" w:space="0" w:color="548DD4"/>
            </w:tcBorders>
            <w:shd w:val="clear" w:color="auto" w:fill="C6D9F1"/>
            <w:noWrap/>
            <w:vAlign w:val="center"/>
          </w:tcPr>
          <w:p w:rsidR="00BD7AC3" w:rsidRPr="00D02C01" w:rsidRDefault="00BD7AC3" w:rsidP="00266393">
            <w:pPr>
              <w:keepNext/>
              <w:jc w:val="center"/>
              <w:rPr>
                <w:rFonts w:cs="Arial"/>
                <w:b/>
                <w:bCs/>
                <w:color w:val="1F497D"/>
                <w:sz w:val="20"/>
              </w:rPr>
            </w:pPr>
            <w:r w:rsidRPr="00D02C01">
              <w:rPr>
                <w:rFonts w:cs="Arial"/>
                <w:b/>
                <w:bCs/>
                <w:color w:val="1F497D"/>
                <w:sz w:val="20"/>
              </w:rPr>
              <w:t>Jun</w:t>
            </w:r>
            <w:r>
              <w:rPr>
                <w:rFonts w:cs="Arial"/>
                <w:b/>
                <w:bCs/>
                <w:color w:val="1F497D"/>
                <w:sz w:val="20"/>
              </w:rPr>
              <w:t>-14</w:t>
            </w:r>
          </w:p>
        </w:tc>
        <w:tc>
          <w:tcPr>
            <w:tcW w:w="528" w:type="dxa"/>
            <w:tcBorders>
              <w:top w:val="single" w:sz="4" w:space="0" w:color="548DD4"/>
              <w:bottom w:val="single" w:sz="4" w:space="0" w:color="548DD4"/>
            </w:tcBorders>
            <w:shd w:val="clear" w:color="auto" w:fill="C6D9F1"/>
            <w:noWrap/>
            <w:vAlign w:val="center"/>
          </w:tcPr>
          <w:p w:rsidR="00BD7AC3" w:rsidRPr="00D02C01" w:rsidRDefault="00BD7AC3" w:rsidP="00266393">
            <w:pPr>
              <w:keepNext/>
              <w:jc w:val="center"/>
              <w:rPr>
                <w:rFonts w:cs="Arial"/>
                <w:b/>
                <w:bCs/>
                <w:color w:val="1F497D"/>
                <w:sz w:val="20"/>
              </w:rPr>
            </w:pPr>
            <w:r w:rsidRPr="00D02C01">
              <w:rPr>
                <w:rFonts w:cs="Arial"/>
                <w:b/>
                <w:bCs/>
                <w:color w:val="1F497D"/>
                <w:sz w:val="20"/>
              </w:rPr>
              <w:t>Jul</w:t>
            </w:r>
            <w:r>
              <w:rPr>
                <w:rFonts w:cs="Arial"/>
                <w:b/>
                <w:bCs/>
                <w:color w:val="1F497D"/>
                <w:sz w:val="20"/>
              </w:rPr>
              <w:t>- 14</w:t>
            </w:r>
          </w:p>
        </w:tc>
        <w:tc>
          <w:tcPr>
            <w:tcW w:w="528" w:type="dxa"/>
            <w:tcBorders>
              <w:top w:val="single" w:sz="4" w:space="0" w:color="548DD4"/>
              <w:bottom w:val="single" w:sz="4" w:space="0" w:color="548DD4"/>
            </w:tcBorders>
            <w:shd w:val="clear" w:color="auto" w:fill="C6D9F1"/>
            <w:noWrap/>
            <w:vAlign w:val="center"/>
          </w:tcPr>
          <w:p w:rsidR="00BD7AC3" w:rsidRPr="00D02C01" w:rsidRDefault="00BD7AC3" w:rsidP="00266393">
            <w:pPr>
              <w:keepNext/>
              <w:jc w:val="center"/>
              <w:rPr>
                <w:rFonts w:cs="Arial"/>
                <w:b/>
                <w:bCs/>
                <w:color w:val="1F497D"/>
                <w:sz w:val="20"/>
              </w:rPr>
            </w:pPr>
            <w:r w:rsidRPr="00D02C01">
              <w:rPr>
                <w:rFonts w:cs="Arial"/>
                <w:b/>
                <w:bCs/>
                <w:color w:val="1F497D"/>
                <w:sz w:val="20"/>
              </w:rPr>
              <w:t>Aug</w:t>
            </w:r>
            <w:r>
              <w:rPr>
                <w:rFonts w:cs="Arial"/>
                <w:b/>
                <w:bCs/>
                <w:color w:val="1F497D"/>
                <w:sz w:val="20"/>
              </w:rPr>
              <w:t>-14</w:t>
            </w:r>
          </w:p>
        </w:tc>
        <w:tc>
          <w:tcPr>
            <w:tcW w:w="529" w:type="dxa"/>
            <w:tcBorders>
              <w:top w:val="single" w:sz="4" w:space="0" w:color="548DD4"/>
              <w:bottom w:val="single" w:sz="4" w:space="0" w:color="548DD4"/>
              <w:right w:val="single" w:sz="4" w:space="0" w:color="548DD4"/>
            </w:tcBorders>
            <w:shd w:val="clear" w:color="auto" w:fill="C6D9F1"/>
            <w:noWrap/>
            <w:vAlign w:val="center"/>
          </w:tcPr>
          <w:p w:rsidR="00BD7AC3" w:rsidRPr="00D02C01" w:rsidRDefault="00BD7AC3" w:rsidP="00266393">
            <w:pPr>
              <w:keepNext/>
              <w:jc w:val="center"/>
              <w:rPr>
                <w:rFonts w:cs="Arial"/>
                <w:b/>
                <w:bCs/>
                <w:color w:val="1F497D"/>
                <w:sz w:val="20"/>
              </w:rPr>
            </w:pPr>
            <w:r w:rsidRPr="00D02C01">
              <w:rPr>
                <w:rFonts w:cs="Arial"/>
                <w:b/>
                <w:bCs/>
                <w:color w:val="1F497D"/>
                <w:sz w:val="20"/>
              </w:rPr>
              <w:t>Sep</w:t>
            </w:r>
            <w:r>
              <w:rPr>
                <w:rFonts w:cs="Arial"/>
                <w:b/>
                <w:bCs/>
                <w:color w:val="1F497D"/>
                <w:sz w:val="20"/>
              </w:rPr>
              <w:t>-14</w:t>
            </w:r>
          </w:p>
        </w:tc>
        <w:tc>
          <w:tcPr>
            <w:tcW w:w="630" w:type="dxa"/>
            <w:tcBorders>
              <w:top w:val="single" w:sz="4" w:space="0" w:color="548DD4"/>
              <w:left w:val="single" w:sz="4" w:space="0" w:color="548DD4"/>
              <w:bottom w:val="single" w:sz="4" w:space="0" w:color="548DD4"/>
              <w:right w:val="single" w:sz="4" w:space="0" w:color="548DD4"/>
            </w:tcBorders>
            <w:shd w:val="clear" w:color="auto" w:fill="C6D9F1"/>
            <w:vAlign w:val="center"/>
          </w:tcPr>
          <w:p w:rsidR="00BD7AC3" w:rsidRPr="00D02C01" w:rsidRDefault="00BD7AC3" w:rsidP="00266393">
            <w:pPr>
              <w:keepNext/>
              <w:jc w:val="center"/>
              <w:rPr>
                <w:rFonts w:cs="Arial"/>
                <w:b/>
                <w:bCs/>
                <w:color w:val="1F497D"/>
                <w:sz w:val="20"/>
              </w:rPr>
            </w:pPr>
            <w:r>
              <w:rPr>
                <w:rFonts w:cs="Arial"/>
                <w:b/>
                <w:bCs/>
                <w:color w:val="1F497D"/>
                <w:sz w:val="20"/>
              </w:rPr>
              <w:t xml:space="preserve">FY14 </w:t>
            </w:r>
            <w:r w:rsidRPr="00D02C01">
              <w:rPr>
                <w:rFonts w:cs="Arial"/>
                <w:b/>
                <w:bCs/>
                <w:color w:val="1F497D"/>
                <w:sz w:val="20"/>
              </w:rPr>
              <w:t>Total</w:t>
            </w:r>
          </w:p>
        </w:tc>
        <w:tc>
          <w:tcPr>
            <w:tcW w:w="720" w:type="dxa"/>
            <w:tcBorders>
              <w:top w:val="single" w:sz="4" w:space="0" w:color="548DD4"/>
              <w:left w:val="single" w:sz="4" w:space="0" w:color="548DD4"/>
              <w:bottom w:val="single" w:sz="4" w:space="0" w:color="548DD4"/>
              <w:right w:val="single" w:sz="4" w:space="0" w:color="548DD4"/>
            </w:tcBorders>
            <w:shd w:val="clear" w:color="auto" w:fill="C6D9F1"/>
            <w:vAlign w:val="center"/>
          </w:tcPr>
          <w:p w:rsidR="00BD7AC3" w:rsidRPr="00BE249B" w:rsidRDefault="00BD7AC3" w:rsidP="00266393">
            <w:pPr>
              <w:keepNext/>
              <w:jc w:val="center"/>
              <w:rPr>
                <w:rFonts w:cs="Arial"/>
                <w:b/>
                <w:bCs/>
                <w:color w:val="1F497D"/>
                <w:sz w:val="18"/>
                <w:szCs w:val="18"/>
              </w:rPr>
            </w:pPr>
            <w:r>
              <w:rPr>
                <w:rFonts w:cs="Arial"/>
                <w:b/>
                <w:bCs/>
                <w:color w:val="1F497D"/>
                <w:sz w:val="18"/>
                <w:szCs w:val="18"/>
              </w:rPr>
              <w:t xml:space="preserve">Monthly </w:t>
            </w:r>
            <w:r w:rsidRPr="00BE249B">
              <w:rPr>
                <w:rFonts w:cs="Arial"/>
                <w:b/>
                <w:bCs/>
                <w:color w:val="1F497D"/>
                <w:sz w:val="18"/>
                <w:szCs w:val="18"/>
              </w:rPr>
              <w:t>Average</w:t>
            </w:r>
          </w:p>
        </w:tc>
      </w:tr>
      <w:tr w:rsidR="00BD7AC3" w:rsidRPr="00446EC5" w:rsidTr="00BD7AC3">
        <w:trPr>
          <w:trHeight w:val="304"/>
          <w:jc w:val="center"/>
        </w:trPr>
        <w:tc>
          <w:tcPr>
            <w:tcW w:w="2321" w:type="dxa"/>
            <w:tcBorders>
              <w:top w:val="single" w:sz="4" w:space="0" w:color="548DD4"/>
              <w:left w:val="single" w:sz="4" w:space="0" w:color="548DD4"/>
              <w:bottom w:val="nil"/>
              <w:right w:val="single" w:sz="4" w:space="0" w:color="548DD4"/>
            </w:tcBorders>
            <w:shd w:val="clear" w:color="auto" w:fill="auto"/>
            <w:noWrap/>
            <w:vAlign w:val="center"/>
          </w:tcPr>
          <w:p w:rsidR="00BD7AC3" w:rsidRPr="00D02C01" w:rsidRDefault="00BD7AC3" w:rsidP="00266393">
            <w:pPr>
              <w:keepNext/>
              <w:rPr>
                <w:rFonts w:cs="Arial"/>
                <w:color w:val="1F497D"/>
                <w:sz w:val="20"/>
              </w:rPr>
            </w:pPr>
            <w:r w:rsidRPr="00D02C01">
              <w:rPr>
                <w:rFonts w:cs="Arial"/>
                <w:color w:val="1F497D"/>
                <w:sz w:val="20"/>
              </w:rPr>
              <w:t>Medical</w:t>
            </w:r>
            <w:r>
              <w:rPr>
                <w:rFonts w:cs="Arial"/>
                <w:color w:val="1F497D"/>
                <w:sz w:val="20"/>
              </w:rPr>
              <w:t>/</w:t>
            </w:r>
            <w:r w:rsidRPr="00D02C01">
              <w:rPr>
                <w:rFonts w:cs="Arial"/>
                <w:color w:val="1F497D"/>
                <w:sz w:val="20"/>
              </w:rPr>
              <w:t>Emergency</w:t>
            </w:r>
          </w:p>
        </w:tc>
        <w:tc>
          <w:tcPr>
            <w:tcW w:w="528" w:type="dxa"/>
            <w:tcBorders>
              <w:top w:val="single" w:sz="4" w:space="0" w:color="548DD4"/>
              <w:left w:val="single" w:sz="4" w:space="0" w:color="548DD4"/>
              <w:bottom w:val="nil"/>
            </w:tcBorders>
            <w:shd w:val="clear" w:color="auto" w:fill="auto"/>
            <w:noWrap/>
            <w:vAlign w:val="center"/>
          </w:tcPr>
          <w:p w:rsidR="00BD7AC3" w:rsidRDefault="00BD7AC3" w:rsidP="00266393">
            <w:pPr>
              <w:jc w:val="center"/>
              <w:rPr>
                <w:rFonts w:cs="Arial"/>
                <w:sz w:val="20"/>
              </w:rPr>
            </w:pPr>
            <w:r>
              <w:rPr>
                <w:rFonts w:cs="Arial"/>
                <w:sz w:val="20"/>
              </w:rPr>
              <w:t>20</w:t>
            </w:r>
          </w:p>
        </w:tc>
        <w:tc>
          <w:tcPr>
            <w:tcW w:w="528" w:type="dxa"/>
            <w:tcBorders>
              <w:top w:val="single" w:sz="4" w:space="0" w:color="548DD4"/>
              <w:left w:val="nil"/>
              <w:bottom w:val="nil"/>
              <w:right w:val="nil"/>
            </w:tcBorders>
            <w:shd w:val="clear" w:color="auto" w:fill="auto"/>
            <w:noWrap/>
            <w:vAlign w:val="center"/>
          </w:tcPr>
          <w:p w:rsidR="00BD7AC3" w:rsidRDefault="00BD7AC3" w:rsidP="00266393">
            <w:pPr>
              <w:jc w:val="center"/>
              <w:rPr>
                <w:rFonts w:cs="Arial"/>
                <w:sz w:val="20"/>
              </w:rPr>
            </w:pPr>
            <w:r>
              <w:rPr>
                <w:rFonts w:cs="Arial"/>
                <w:sz w:val="20"/>
              </w:rPr>
              <w:t>14</w:t>
            </w:r>
          </w:p>
        </w:tc>
        <w:tc>
          <w:tcPr>
            <w:tcW w:w="528" w:type="dxa"/>
            <w:tcBorders>
              <w:top w:val="single" w:sz="4" w:space="0" w:color="548DD4"/>
              <w:bottom w:val="nil"/>
            </w:tcBorders>
            <w:shd w:val="clear" w:color="auto" w:fill="auto"/>
            <w:noWrap/>
            <w:vAlign w:val="center"/>
          </w:tcPr>
          <w:p w:rsidR="00BD7AC3" w:rsidRDefault="00BD7AC3" w:rsidP="00266393">
            <w:pPr>
              <w:jc w:val="center"/>
              <w:rPr>
                <w:rFonts w:cs="Arial"/>
                <w:sz w:val="20"/>
              </w:rPr>
            </w:pPr>
            <w:r>
              <w:rPr>
                <w:rFonts w:cs="Arial"/>
                <w:sz w:val="20"/>
              </w:rPr>
              <w:t>14</w:t>
            </w:r>
          </w:p>
        </w:tc>
        <w:tc>
          <w:tcPr>
            <w:tcW w:w="528" w:type="dxa"/>
            <w:tcBorders>
              <w:top w:val="single" w:sz="4" w:space="0" w:color="548DD4"/>
              <w:left w:val="nil"/>
              <w:bottom w:val="nil"/>
              <w:right w:val="nil"/>
            </w:tcBorders>
            <w:shd w:val="clear" w:color="auto" w:fill="auto"/>
            <w:noWrap/>
            <w:vAlign w:val="center"/>
          </w:tcPr>
          <w:p w:rsidR="00BD7AC3" w:rsidRDefault="00BD7AC3" w:rsidP="00266393">
            <w:pPr>
              <w:jc w:val="center"/>
              <w:rPr>
                <w:rFonts w:cs="Arial"/>
                <w:sz w:val="20"/>
              </w:rPr>
            </w:pPr>
            <w:r>
              <w:rPr>
                <w:rFonts w:cs="Arial"/>
                <w:sz w:val="20"/>
              </w:rPr>
              <w:t>14</w:t>
            </w:r>
          </w:p>
        </w:tc>
        <w:tc>
          <w:tcPr>
            <w:tcW w:w="528" w:type="dxa"/>
            <w:tcBorders>
              <w:top w:val="single" w:sz="4" w:space="0" w:color="548DD4"/>
              <w:bottom w:val="nil"/>
            </w:tcBorders>
            <w:shd w:val="clear" w:color="auto" w:fill="auto"/>
            <w:noWrap/>
            <w:vAlign w:val="center"/>
          </w:tcPr>
          <w:p w:rsidR="00BD7AC3" w:rsidRDefault="00BD7AC3" w:rsidP="00266393">
            <w:pPr>
              <w:jc w:val="center"/>
              <w:rPr>
                <w:rFonts w:cs="Arial"/>
                <w:sz w:val="20"/>
              </w:rPr>
            </w:pPr>
            <w:r>
              <w:rPr>
                <w:rFonts w:cs="Arial"/>
                <w:sz w:val="20"/>
              </w:rPr>
              <w:t>9</w:t>
            </w:r>
          </w:p>
        </w:tc>
        <w:tc>
          <w:tcPr>
            <w:tcW w:w="529" w:type="dxa"/>
            <w:tcBorders>
              <w:top w:val="single" w:sz="4" w:space="0" w:color="548DD4"/>
              <w:left w:val="nil"/>
              <w:bottom w:val="nil"/>
              <w:right w:val="nil"/>
            </w:tcBorders>
            <w:shd w:val="clear" w:color="auto" w:fill="auto"/>
            <w:noWrap/>
            <w:vAlign w:val="center"/>
          </w:tcPr>
          <w:p w:rsidR="00BD7AC3" w:rsidRDefault="00BD7AC3" w:rsidP="00266393">
            <w:pPr>
              <w:jc w:val="center"/>
              <w:rPr>
                <w:rFonts w:cs="Arial"/>
                <w:sz w:val="20"/>
              </w:rPr>
            </w:pPr>
            <w:r>
              <w:rPr>
                <w:rFonts w:cs="Arial"/>
                <w:sz w:val="20"/>
              </w:rPr>
              <w:t>18</w:t>
            </w:r>
          </w:p>
        </w:tc>
        <w:tc>
          <w:tcPr>
            <w:tcW w:w="528" w:type="dxa"/>
            <w:tcBorders>
              <w:top w:val="single" w:sz="4" w:space="0" w:color="548DD4"/>
              <w:bottom w:val="nil"/>
            </w:tcBorders>
            <w:shd w:val="clear" w:color="auto" w:fill="auto"/>
            <w:noWrap/>
            <w:vAlign w:val="center"/>
          </w:tcPr>
          <w:p w:rsidR="00BD7AC3" w:rsidRDefault="00BD7AC3" w:rsidP="00266393">
            <w:pPr>
              <w:jc w:val="center"/>
              <w:rPr>
                <w:rFonts w:cs="Arial"/>
                <w:sz w:val="20"/>
              </w:rPr>
            </w:pPr>
            <w:r>
              <w:rPr>
                <w:rFonts w:cs="Arial"/>
                <w:sz w:val="20"/>
              </w:rPr>
              <w:t>8</w:t>
            </w:r>
          </w:p>
        </w:tc>
        <w:tc>
          <w:tcPr>
            <w:tcW w:w="528" w:type="dxa"/>
            <w:tcBorders>
              <w:top w:val="single" w:sz="4" w:space="0" w:color="548DD4"/>
              <w:left w:val="nil"/>
              <w:bottom w:val="nil"/>
              <w:right w:val="nil"/>
            </w:tcBorders>
            <w:shd w:val="clear" w:color="auto" w:fill="auto"/>
            <w:noWrap/>
            <w:vAlign w:val="center"/>
          </w:tcPr>
          <w:p w:rsidR="00BD7AC3" w:rsidRDefault="00BD7AC3" w:rsidP="00266393">
            <w:pPr>
              <w:jc w:val="center"/>
              <w:rPr>
                <w:rFonts w:cs="Arial"/>
                <w:sz w:val="20"/>
              </w:rPr>
            </w:pPr>
            <w:r>
              <w:rPr>
                <w:rFonts w:cs="Arial"/>
                <w:sz w:val="20"/>
              </w:rPr>
              <w:t>18</w:t>
            </w:r>
          </w:p>
        </w:tc>
        <w:tc>
          <w:tcPr>
            <w:tcW w:w="528" w:type="dxa"/>
            <w:tcBorders>
              <w:top w:val="single" w:sz="4" w:space="0" w:color="548DD4"/>
              <w:bottom w:val="nil"/>
            </w:tcBorders>
            <w:shd w:val="clear" w:color="auto" w:fill="auto"/>
            <w:noWrap/>
            <w:vAlign w:val="center"/>
          </w:tcPr>
          <w:p w:rsidR="00BD7AC3" w:rsidRDefault="00BD7AC3" w:rsidP="00266393">
            <w:pPr>
              <w:jc w:val="center"/>
              <w:rPr>
                <w:rFonts w:cs="Arial"/>
                <w:sz w:val="20"/>
              </w:rPr>
            </w:pPr>
            <w:r>
              <w:rPr>
                <w:rFonts w:cs="Arial"/>
                <w:sz w:val="20"/>
              </w:rPr>
              <w:t>20</w:t>
            </w:r>
          </w:p>
        </w:tc>
        <w:tc>
          <w:tcPr>
            <w:tcW w:w="528" w:type="dxa"/>
            <w:tcBorders>
              <w:top w:val="single" w:sz="4" w:space="0" w:color="548DD4"/>
              <w:left w:val="nil"/>
              <w:bottom w:val="nil"/>
              <w:right w:val="nil"/>
            </w:tcBorders>
            <w:shd w:val="clear" w:color="auto" w:fill="auto"/>
            <w:noWrap/>
            <w:vAlign w:val="center"/>
          </w:tcPr>
          <w:p w:rsidR="00BD7AC3" w:rsidRDefault="00BD7AC3" w:rsidP="00266393">
            <w:pPr>
              <w:jc w:val="center"/>
              <w:rPr>
                <w:rFonts w:cs="Arial"/>
                <w:sz w:val="20"/>
              </w:rPr>
            </w:pPr>
            <w:r>
              <w:rPr>
                <w:rFonts w:cs="Arial"/>
                <w:sz w:val="20"/>
              </w:rPr>
              <w:t>24</w:t>
            </w:r>
          </w:p>
        </w:tc>
        <w:tc>
          <w:tcPr>
            <w:tcW w:w="528" w:type="dxa"/>
            <w:tcBorders>
              <w:top w:val="single" w:sz="4" w:space="0" w:color="548DD4"/>
              <w:bottom w:val="nil"/>
            </w:tcBorders>
            <w:shd w:val="clear" w:color="auto" w:fill="auto"/>
            <w:noWrap/>
            <w:vAlign w:val="center"/>
          </w:tcPr>
          <w:p w:rsidR="00BD7AC3" w:rsidRDefault="00BD7AC3" w:rsidP="00266393">
            <w:pPr>
              <w:jc w:val="center"/>
              <w:rPr>
                <w:rFonts w:cs="Arial"/>
                <w:sz w:val="20"/>
              </w:rPr>
            </w:pPr>
            <w:r>
              <w:rPr>
                <w:rFonts w:cs="Arial"/>
                <w:sz w:val="20"/>
              </w:rPr>
              <w:t>16</w:t>
            </w:r>
          </w:p>
        </w:tc>
        <w:tc>
          <w:tcPr>
            <w:tcW w:w="529" w:type="dxa"/>
            <w:tcBorders>
              <w:top w:val="single" w:sz="4" w:space="0" w:color="548DD4"/>
              <w:left w:val="nil"/>
              <w:bottom w:val="nil"/>
              <w:right w:val="single" w:sz="4" w:space="0" w:color="548DD4"/>
            </w:tcBorders>
            <w:shd w:val="clear" w:color="auto" w:fill="auto"/>
            <w:noWrap/>
            <w:vAlign w:val="center"/>
          </w:tcPr>
          <w:p w:rsidR="00BD7AC3" w:rsidRDefault="00BD7AC3" w:rsidP="00266393">
            <w:pPr>
              <w:jc w:val="center"/>
              <w:rPr>
                <w:rFonts w:cs="Arial"/>
                <w:sz w:val="20"/>
              </w:rPr>
            </w:pPr>
            <w:r>
              <w:rPr>
                <w:rFonts w:cs="Arial"/>
                <w:sz w:val="20"/>
              </w:rPr>
              <w:t>15</w:t>
            </w:r>
          </w:p>
        </w:tc>
        <w:tc>
          <w:tcPr>
            <w:tcW w:w="630" w:type="dxa"/>
            <w:tcBorders>
              <w:top w:val="single" w:sz="4" w:space="0" w:color="548DD4"/>
              <w:left w:val="single" w:sz="4" w:space="0" w:color="548DD4"/>
              <w:bottom w:val="nil"/>
              <w:right w:val="single" w:sz="4" w:space="0" w:color="548DD4"/>
            </w:tcBorders>
            <w:shd w:val="clear" w:color="auto" w:fill="auto"/>
            <w:vAlign w:val="center"/>
          </w:tcPr>
          <w:p w:rsidR="00BD7AC3" w:rsidRDefault="00BD7AC3" w:rsidP="00266393">
            <w:pPr>
              <w:jc w:val="center"/>
              <w:rPr>
                <w:rFonts w:cs="Arial"/>
                <w:sz w:val="20"/>
              </w:rPr>
            </w:pPr>
            <w:r>
              <w:rPr>
                <w:rFonts w:cs="Arial"/>
                <w:sz w:val="20"/>
              </w:rPr>
              <w:t>190</w:t>
            </w:r>
          </w:p>
        </w:tc>
        <w:tc>
          <w:tcPr>
            <w:tcW w:w="720" w:type="dxa"/>
            <w:tcBorders>
              <w:top w:val="single" w:sz="4" w:space="0" w:color="548DD4"/>
              <w:left w:val="single" w:sz="4" w:space="0" w:color="548DD4"/>
              <w:bottom w:val="nil"/>
              <w:right w:val="single" w:sz="4" w:space="0" w:color="548DD4"/>
            </w:tcBorders>
            <w:shd w:val="clear" w:color="auto" w:fill="auto"/>
            <w:vAlign w:val="center"/>
          </w:tcPr>
          <w:p w:rsidR="00BD7AC3" w:rsidRDefault="00BD7AC3" w:rsidP="00266393">
            <w:pPr>
              <w:jc w:val="center"/>
              <w:rPr>
                <w:rFonts w:cs="Arial"/>
                <w:sz w:val="20"/>
              </w:rPr>
            </w:pPr>
            <w:r>
              <w:rPr>
                <w:rFonts w:cs="Arial"/>
                <w:sz w:val="20"/>
              </w:rPr>
              <w:t>16</w:t>
            </w:r>
          </w:p>
        </w:tc>
      </w:tr>
      <w:tr w:rsidR="00BD7AC3" w:rsidRPr="00936EB1" w:rsidTr="00BD7AC3">
        <w:trPr>
          <w:trHeight w:val="304"/>
          <w:jc w:val="center"/>
        </w:trPr>
        <w:tc>
          <w:tcPr>
            <w:tcW w:w="2321" w:type="dxa"/>
            <w:tcBorders>
              <w:top w:val="nil"/>
              <w:left w:val="single" w:sz="4" w:space="0" w:color="548DD4"/>
              <w:bottom w:val="nil"/>
              <w:right w:val="single" w:sz="4" w:space="0" w:color="548DD4"/>
            </w:tcBorders>
            <w:shd w:val="clear" w:color="auto" w:fill="auto"/>
            <w:noWrap/>
            <w:vAlign w:val="center"/>
          </w:tcPr>
          <w:p w:rsidR="00BD7AC3" w:rsidRPr="00D02C01" w:rsidRDefault="00BD7AC3" w:rsidP="00266393">
            <w:pPr>
              <w:keepNext/>
              <w:rPr>
                <w:rFonts w:cs="Arial"/>
                <w:color w:val="1F497D"/>
                <w:sz w:val="20"/>
              </w:rPr>
            </w:pPr>
            <w:r w:rsidRPr="00D02C01">
              <w:rPr>
                <w:rFonts w:cs="Arial"/>
                <w:color w:val="1F497D"/>
                <w:sz w:val="20"/>
              </w:rPr>
              <w:t>Medical</w:t>
            </w:r>
            <w:r>
              <w:rPr>
                <w:rFonts w:cs="Arial"/>
                <w:color w:val="1F497D"/>
                <w:sz w:val="20"/>
              </w:rPr>
              <w:t>/</w:t>
            </w:r>
            <w:r w:rsidRPr="00D02C01">
              <w:rPr>
                <w:rFonts w:cs="Arial"/>
                <w:color w:val="1F497D"/>
                <w:sz w:val="20"/>
              </w:rPr>
              <w:t>Non-Emergency</w:t>
            </w:r>
          </w:p>
        </w:tc>
        <w:tc>
          <w:tcPr>
            <w:tcW w:w="528" w:type="dxa"/>
            <w:tcBorders>
              <w:top w:val="nil"/>
              <w:left w:val="single" w:sz="4" w:space="0" w:color="548DD4"/>
              <w:bottom w:val="nil"/>
            </w:tcBorders>
            <w:shd w:val="clear" w:color="auto" w:fill="auto"/>
            <w:noWrap/>
            <w:vAlign w:val="center"/>
          </w:tcPr>
          <w:p w:rsidR="00BD7AC3" w:rsidRDefault="00BD7AC3" w:rsidP="00266393">
            <w:pPr>
              <w:jc w:val="center"/>
              <w:rPr>
                <w:rFonts w:cs="Arial"/>
                <w:sz w:val="20"/>
              </w:rPr>
            </w:pPr>
            <w:r>
              <w:rPr>
                <w:rFonts w:cs="Arial"/>
                <w:sz w:val="20"/>
              </w:rPr>
              <w:t>39</w:t>
            </w:r>
          </w:p>
        </w:tc>
        <w:tc>
          <w:tcPr>
            <w:tcW w:w="528" w:type="dxa"/>
            <w:tcBorders>
              <w:top w:val="nil"/>
              <w:bottom w:val="nil"/>
            </w:tcBorders>
            <w:shd w:val="clear" w:color="auto" w:fill="auto"/>
            <w:noWrap/>
            <w:vAlign w:val="center"/>
          </w:tcPr>
          <w:p w:rsidR="00BD7AC3" w:rsidRDefault="00BD7AC3" w:rsidP="00266393">
            <w:pPr>
              <w:jc w:val="center"/>
              <w:rPr>
                <w:rFonts w:cs="Arial"/>
                <w:sz w:val="20"/>
              </w:rPr>
            </w:pPr>
            <w:r>
              <w:rPr>
                <w:rFonts w:cs="Arial"/>
                <w:sz w:val="20"/>
              </w:rPr>
              <w:t>27</w:t>
            </w:r>
          </w:p>
        </w:tc>
        <w:tc>
          <w:tcPr>
            <w:tcW w:w="528" w:type="dxa"/>
            <w:tcBorders>
              <w:top w:val="nil"/>
              <w:bottom w:val="nil"/>
            </w:tcBorders>
            <w:shd w:val="clear" w:color="auto" w:fill="auto"/>
            <w:noWrap/>
            <w:vAlign w:val="center"/>
          </w:tcPr>
          <w:p w:rsidR="00BD7AC3" w:rsidRDefault="00BD7AC3" w:rsidP="00266393">
            <w:pPr>
              <w:jc w:val="center"/>
              <w:rPr>
                <w:rFonts w:cs="Arial"/>
                <w:sz w:val="20"/>
              </w:rPr>
            </w:pPr>
            <w:r>
              <w:rPr>
                <w:rFonts w:cs="Arial"/>
                <w:sz w:val="20"/>
              </w:rPr>
              <w:t>41</w:t>
            </w:r>
          </w:p>
        </w:tc>
        <w:tc>
          <w:tcPr>
            <w:tcW w:w="528" w:type="dxa"/>
            <w:tcBorders>
              <w:top w:val="nil"/>
              <w:bottom w:val="nil"/>
            </w:tcBorders>
            <w:shd w:val="clear" w:color="auto" w:fill="auto"/>
            <w:noWrap/>
            <w:vAlign w:val="center"/>
          </w:tcPr>
          <w:p w:rsidR="00BD7AC3" w:rsidRDefault="00BD7AC3" w:rsidP="00266393">
            <w:pPr>
              <w:jc w:val="center"/>
              <w:rPr>
                <w:rFonts w:cs="Arial"/>
                <w:sz w:val="20"/>
              </w:rPr>
            </w:pPr>
            <w:r>
              <w:rPr>
                <w:rFonts w:cs="Arial"/>
                <w:sz w:val="20"/>
              </w:rPr>
              <w:t>25</w:t>
            </w:r>
          </w:p>
        </w:tc>
        <w:tc>
          <w:tcPr>
            <w:tcW w:w="528" w:type="dxa"/>
            <w:tcBorders>
              <w:top w:val="nil"/>
              <w:bottom w:val="nil"/>
            </w:tcBorders>
            <w:shd w:val="clear" w:color="auto" w:fill="auto"/>
            <w:noWrap/>
            <w:vAlign w:val="center"/>
          </w:tcPr>
          <w:p w:rsidR="00BD7AC3" w:rsidRDefault="00BD7AC3" w:rsidP="00266393">
            <w:pPr>
              <w:jc w:val="center"/>
              <w:rPr>
                <w:rFonts w:cs="Arial"/>
                <w:sz w:val="20"/>
              </w:rPr>
            </w:pPr>
            <w:r>
              <w:rPr>
                <w:rFonts w:cs="Arial"/>
                <w:sz w:val="20"/>
              </w:rPr>
              <w:t>32</w:t>
            </w:r>
          </w:p>
        </w:tc>
        <w:tc>
          <w:tcPr>
            <w:tcW w:w="529" w:type="dxa"/>
            <w:tcBorders>
              <w:top w:val="nil"/>
              <w:bottom w:val="nil"/>
            </w:tcBorders>
            <w:shd w:val="clear" w:color="auto" w:fill="auto"/>
            <w:noWrap/>
            <w:vAlign w:val="center"/>
          </w:tcPr>
          <w:p w:rsidR="00BD7AC3" w:rsidRDefault="00BD7AC3" w:rsidP="00266393">
            <w:pPr>
              <w:jc w:val="center"/>
              <w:rPr>
                <w:rFonts w:cs="Arial"/>
                <w:sz w:val="20"/>
              </w:rPr>
            </w:pPr>
            <w:r>
              <w:rPr>
                <w:rFonts w:cs="Arial"/>
                <w:sz w:val="20"/>
              </w:rPr>
              <w:t>25</w:t>
            </w:r>
          </w:p>
        </w:tc>
        <w:tc>
          <w:tcPr>
            <w:tcW w:w="528" w:type="dxa"/>
            <w:tcBorders>
              <w:top w:val="nil"/>
              <w:bottom w:val="nil"/>
            </w:tcBorders>
            <w:shd w:val="clear" w:color="auto" w:fill="auto"/>
            <w:noWrap/>
            <w:vAlign w:val="center"/>
          </w:tcPr>
          <w:p w:rsidR="00BD7AC3" w:rsidRDefault="00BD7AC3" w:rsidP="00266393">
            <w:pPr>
              <w:jc w:val="center"/>
              <w:rPr>
                <w:rFonts w:cs="Arial"/>
                <w:sz w:val="20"/>
              </w:rPr>
            </w:pPr>
            <w:r>
              <w:rPr>
                <w:rFonts w:cs="Arial"/>
                <w:sz w:val="20"/>
              </w:rPr>
              <w:t>30</w:t>
            </w:r>
          </w:p>
        </w:tc>
        <w:tc>
          <w:tcPr>
            <w:tcW w:w="528" w:type="dxa"/>
            <w:tcBorders>
              <w:top w:val="nil"/>
              <w:bottom w:val="nil"/>
            </w:tcBorders>
            <w:shd w:val="clear" w:color="auto" w:fill="auto"/>
            <w:noWrap/>
            <w:vAlign w:val="center"/>
          </w:tcPr>
          <w:p w:rsidR="00BD7AC3" w:rsidRDefault="00BD7AC3" w:rsidP="00266393">
            <w:pPr>
              <w:jc w:val="center"/>
              <w:rPr>
                <w:rFonts w:cs="Arial"/>
                <w:sz w:val="20"/>
              </w:rPr>
            </w:pPr>
            <w:r>
              <w:rPr>
                <w:rFonts w:cs="Arial"/>
                <w:sz w:val="20"/>
              </w:rPr>
              <w:t>34</w:t>
            </w:r>
          </w:p>
        </w:tc>
        <w:tc>
          <w:tcPr>
            <w:tcW w:w="528" w:type="dxa"/>
            <w:tcBorders>
              <w:top w:val="nil"/>
              <w:bottom w:val="nil"/>
            </w:tcBorders>
            <w:shd w:val="clear" w:color="auto" w:fill="auto"/>
            <w:noWrap/>
            <w:vAlign w:val="center"/>
          </w:tcPr>
          <w:p w:rsidR="00BD7AC3" w:rsidRDefault="00BD7AC3" w:rsidP="00266393">
            <w:pPr>
              <w:jc w:val="center"/>
              <w:rPr>
                <w:rFonts w:cs="Arial"/>
                <w:sz w:val="20"/>
              </w:rPr>
            </w:pPr>
            <w:r>
              <w:rPr>
                <w:rFonts w:cs="Arial"/>
                <w:sz w:val="20"/>
              </w:rPr>
              <w:t>81</w:t>
            </w:r>
          </w:p>
        </w:tc>
        <w:tc>
          <w:tcPr>
            <w:tcW w:w="528" w:type="dxa"/>
            <w:tcBorders>
              <w:top w:val="nil"/>
              <w:bottom w:val="nil"/>
            </w:tcBorders>
            <w:shd w:val="clear" w:color="auto" w:fill="auto"/>
            <w:noWrap/>
            <w:vAlign w:val="center"/>
          </w:tcPr>
          <w:p w:rsidR="00BD7AC3" w:rsidRDefault="00BD7AC3" w:rsidP="00266393">
            <w:pPr>
              <w:jc w:val="center"/>
              <w:rPr>
                <w:rFonts w:cs="Arial"/>
                <w:sz w:val="20"/>
              </w:rPr>
            </w:pPr>
            <w:r>
              <w:rPr>
                <w:rFonts w:cs="Arial"/>
                <w:sz w:val="20"/>
              </w:rPr>
              <w:t>88</w:t>
            </w:r>
          </w:p>
        </w:tc>
        <w:tc>
          <w:tcPr>
            <w:tcW w:w="528" w:type="dxa"/>
            <w:tcBorders>
              <w:top w:val="nil"/>
              <w:bottom w:val="nil"/>
            </w:tcBorders>
            <w:shd w:val="clear" w:color="auto" w:fill="auto"/>
            <w:noWrap/>
            <w:vAlign w:val="center"/>
          </w:tcPr>
          <w:p w:rsidR="00BD7AC3" w:rsidRDefault="00BD7AC3" w:rsidP="00266393">
            <w:pPr>
              <w:jc w:val="center"/>
              <w:rPr>
                <w:rFonts w:cs="Arial"/>
                <w:sz w:val="20"/>
              </w:rPr>
            </w:pPr>
            <w:r>
              <w:rPr>
                <w:rFonts w:cs="Arial"/>
                <w:sz w:val="20"/>
              </w:rPr>
              <w:t>67</w:t>
            </w:r>
          </w:p>
        </w:tc>
        <w:tc>
          <w:tcPr>
            <w:tcW w:w="529" w:type="dxa"/>
            <w:tcBorders>
              <w:top w:val="nil"/>
              <w:bottom w:val="nil"/>
              <w:right w:val="single" w:sz="4" w:space="0" w:color="548DD4"/>
            </w:tcBorders>
            <w:shd w:val="clear" w:color="auto" w:fill="auto"/>
            <w:noWrap/>
            <w:vAlign w:val="center"/>
          </w:tcPr>
          <w:p w:rsidR="00BD7AC3" w:rsidRDefault="00BD7AC3" w:rsidP="00266393">
            <w:pPr>
              <w:jc w:val="center"/>
              <w:rPr>
                <w:rFonts w:cs="Arial"/>
                <w:sz w:val="20"/>
              </w:rPr>
            </w:pPr>
            <w:r>
              <w:rPr>
                <w:rFonts w:cs="Arial"/>
                <w:sz w:val="20"/>
              </w:rPr>
              <w:t>69</w:t>
            </w:r>
          </w:p>
        </w:tc>
        <w:tc>
          <w:tcPr>
            <w:tcW w:w="630" w:type="dxa"/>
            <w:tcBorders>
              <w:top w:val="nil"/>
              <w:left w:val="single" w:sz="4" w:space="0" w:color="548DD4"/>
              <w:bottom w:val="nil"/>
              <w:right w:val="single" w:sz="4" w:space="0" w:color="548DD4"/>
            </w:tcBorders>
            <w:shd w:val="clear" w:color="auto" w:fill="auto"/>
            <w:vAlign w:val="center"/>
          </w:tcPr>
          <w:p w:rsidR="00BD7AC3" w:rsidRDefault="00BD7AC3" w:rsidP="00266393">
            <w:pPr>
              <w:jc w:val="center"/>
              <w:rPr>
                <w:rFonts w:cs="Arial"/>
                <w:sz w:val="20"/>
              </w:rPr>
            </w:pPr>
            <w:r>
              <w:rPr>
                <w:rFonts w:cs="Arial"/>
                <w:sz w:val="20"/>
              </w:rPr>
              <w:t>558</w:t>
            </w:r>
          </w:p>
        </w:tc>
        <w:tc>
          <w:tcPr>
            <w:tcW w:w="720" w:type="dxa"/>
            <w:tcBorders>
              <w:top w:val="nil"/>
              <w:left w:val="single" w:sz="4" w:space="0" w:color="548DD4"/>
              <w:bottom w:val="nil"/>
              <w:right w:val="single" w:sz="4" w:space="0" w:color="548DD4"/>
            </w:tcBorders>
            <w:shd w:val="clear" w:color="auto" w:fill="auto"/>
            <w:vAlign w:val="center"/>
          </w:tcPr>
          <w:p w:rsidR="00BD7AC3" w:rsidRDefault="00BD7AC3" w:rsidP="00266393">
            <w:pPr>
              <w:jc w:val="center"/>
              <w:rPr>
                <w:rFonts w:cs="Arial"/>
                <w:sz w:val="20"/>
              </w:rPr>
            </w:pPr>
            <w:r>
              <w:rPr>
                <w:rFonts w:cs="Arial"/>
                <w:sz w:val="20"/>
              </w:rPr>
              <w:t>47</w:t>
            </w:r>
          </w:p>
        </w:tc>
      </w:tr>
      <w:tr w:rsidR="00BD7AC3" w:rsidRPr="00936EB1" w:rsidTr="00BD7AC3">
        <w:trPr>
          <w:trHeight w:val="304"/>
          <w:jc w:val="center"/>
        </w:trPr>
        <w:tc>
          <w:tcPr>
            <w:tcW w:w="2321" w:type="dxa"/>
            <w:tcBorders>
              <w:top w:val="nil"/>
              <w:left w:val="single" w:sz="4" w:space="0" w:color="548DD4"/>
              <w:bottom w:val="nil"/>
              <w:right w:val="single" w:sz="4" w:space="0" w:color="548DD4"/>
            </w:tcBorders>
            <w:shd w:val="clear" w:color="auto" w:fill="auto"/>
            <w:noWrap/>
            <w:vAlign w:val="center"/>
          </w:tcPr>
          <w:p w:rsidR="00BD7AC3" w:rsidRPr="00D02C01" w:rsidRDefault="00BD7AC3" w:rsidP="00266393">
            <w:pPr>
              <w:keepNext/>
              <w:rPr>
                <w:rFonts w:cs="Arial"/>
                <w:color w:val="1F497D"/>
                <w:sz w:val="20"/>
              </w:rPr>
            </w:pPr>
            <w:r w:rsidRPr="00D02C01">
              <w:rPr>
                <w:rFonts w:cs="Arial"/>
                <w:color w:val="1F497D"/>
                <w:sz w:val="20"/>
              </w:rPr>
              <w:t>Home Visit</w:t>
            </w:r>
          </w:p>
        </w:tc>
        <w:tc>
          <w:tcPr>
            <w:tcW w:w="528" w:type="dxa"/>
            <w:tcBorders>
              <w:top w:val="nil"/>
              <w:left w:val="single" w:sz="4" w:space="0" w:color="548DD4"/>
              <w:bottom w:val="nil"/>
            </w:tcBorders>
            <w:shd w:val="clear" w:color="auto" w:fill="auto"/>
            <w:noWrap/>
            <w:vAlign w:val="center"/>
          </w:tcPr>
          <w:p w:rsidR="00BD7AC3" w:rsidRDefault="00BD7AC3" w:rsidP="00266393">
            <w:pPr>
              <w:jc w:val="center"/>
              <w:rPr>
                <w:rFonts w:cs="Arial"/>
                <w:sz w:val="20"/>
              </w:rPr>
            </w:pPr>
            <w:r>
              <w:rPr>
                <w:rFonts w:cs="Arial"/>
                <w:sz w:val="20"/>
              </w:rPr>
              <w:t>43</w:t>
            </w:r>
          </w:p>
        </w:tc>
        <w:tc>
          <w:tcPr>
            <w:tcW w:w="528" w:type="dxa"/>
            <w:tcBorders>
              <w:top w:val="nil"/>
              <w:bottom w:val="nil"/>
            </w:tcBorders>
            <w:shd w:val="clear" w:color="auto" w:fill="auto"/>
            <w:noWrap/>
            <w:vAlign w:val="center"/>
          </w:tcPr>
          <w:p w:rsidR="00BD7AC3" w:rsidRDefault="00BD7AC3" w:rsidP="00266393">
            <w:pPr>
              <w:jc w:val="center"/>
              <w:rPr>
                <w:rFonts w:cs="Arial"/>
                <w:sz w:val="20"/>
              </w:rPr>
            </w:pPr>
            <w:r>
              <w:rPr>
                <w:rFonts w:cs="Arial"/>
                <w:sz w:val="20"/>
              </w:rPr>
              <w:t>55</w:t>
            </w:r>
          </w:p>
        </w:tc>
        <w:tc>
          <w:tcPr>
            <w:tcW w:w="528" w:type="dxa"/>
            <w:tcBorders>
              <w:top w:val="nil"/>
              <w:bottom w:val="nil"/>
            </w:tcBorders>
            <w:shd w:val="clear" w:color="auto" w:fill="auto"/>
            <w:noWrap/>
            <w:vAlign w:val="center"/>
          </w:tcPr>
          <w:p w:rsidR="00BD7AC3" w:rsidRDefault="00BD7AC3" w:rsidP="00266393">
            <w:pPr>
              <w:jc w:val="center"/>
              <w:rPr>
                <w:rFonts w:cs="Arial"/>
                <w:sz w:val="20"/>
              </w:rPr>
            </w:pPr>
            <w:r>
              <w:rPr>
                <w:rFonts w:cs="Arial"/>
                <w:sz w:val="20"/>
              </w:rPr>
              <w:t>60</w:t>
            </w:r>
          </w:p>
        </w:tc>
        <w:tc>
          <w:tcPr>
            <w:tcW w:w="528" w:type="dxa"/>
            <w:tcBorders>
              <w:top w:val="nil"/>
              <w:bottom w:val="nil"/>
            </w:tcBorders>
            <w:shd w:val="clear" w:color="auto" w:fill="auto"/>
            <w:noWrap/>
            <w:vAlign w:val="center"/>
          </w:tcPr>
          <w:p w:rsidR="00BD7AC3" w:rsidRDefault="00BD7AC3" w:rsidP="00266393">
            <w:pPr>
              <w:jc w:val="center"/>
              <w:rPr>
                <w:rFonts w:cs="Arial"/>
                <w:sz w:val="20"/>
              </w:rPr>
            </w:pPr>
            <w:r>
              <w:rPr>
                <w:rFonts w:cs="Arial"/>
                <w:sz w:val="20"/>
              </w:rPr>
              <w:t>55</w:t>
            </w:r>
          </w:p>
        </w:tc>
        <w:tc>
          <w:tcPr>
            <w:tcW w:w="528" w:type="dxa"/>
            <w:tcBorders>
              <w:top w:val="nil"/>
              <w:bottom w:val="nil"/>
            </w:tcBorders>
            <w:shd w:val="clear" w:color="auto" w:fill="auto"/>
            <w:noWrap/>
            <w:vAlign w:val="center"/>
          </w:tcPr>
          <w:p w:rsidR="00BD7AC3" w:rsidRDefault="00BD7AC3" w:rsidP="00266393">
            <w:pPr>
              <w:jc w:val="center"/>
              <w:rPr>
                <w:rFonts w:cs="Arial"/>
                <w:sz w:val="20"/>
              </w:rPr>
            </w:pPr>
            <w:r>
              <w:rPr>
                <w:rFonts w:cs="Arial"/>
                <w:sz w:val="20"/>
              </w:rPr>
              <w:t>51</w:t>
            </w:r>
          </w:p>
        </w:tc>
        <w:tc>
          <w:tcPr>
            <w:tcW w:w="529" w:type="dxa"/>
            <w:tcBorders>
              <w:top w:val="nil"/>
              <w:bottom w:val="nil"/>
            </w:tcBorders>
            <w:shd w:val="clear" w:color="auto" w:fill="auto"/>
            <w:noWrap/>
            <w:vAlign w:val="center"/>
          </w:tcPr>
          <w:p w:rsidR="00BD7AC3" w:rsidRDefault="00BD7AC3" w:rsidP="00266393">
            <w:pPr>
              <w:jc w:val="center"/>
              <w:rPr>
                <w:rFonts w:cs="Arial"/>
                <w:sz w:val="20"/>
              </w:rPr>
            </w:pPr>
            <w:r>
              <w:rPr>
                <w:rFonts w:cs="Arial"/>
                <w:sz w:val="20"/>
              </w:rPr>
              <w:t>59</w:t>
            </w:r>
          </w:p>
        </w:tc>
        <w:tc>
          <w:tcPr>
            <w:tcW w:w="528" w:type="dxa"/>
            <w:tcBorders>
              <w:top w:val="nil"/>
              <w:bottom w:val="nil"/>
            </w:tcBorders>
            <w:shd w:val="clear" w:color="auto" w:fill="auto"/>
            <w:noWrap/>
            <w:vAlign w:val="center"/>
          </w:tcPr>
          <w:p w:rsidR="00BD7AC3" w:rsidRDefault="00BD7AC3" w:rsidP="00266393">
            <w:pPr>
              <w:jc w:val="center"/>
              <w:rPr>
                <w:rFonts w:cs="Arial"/>
                <w:sz w:val="20"/>
              </w:rPr>
            </w:pPr>
            <w:r>
              <w:rPr>
                <w:rFonts w:cs="Arial"/>
                <w:sz w:val="20"/>
              </w:rPr>
              <w:t>48</w:t>
            </w:r>
          </w:p>
        </w:tc>
        <w:tc>
          <w:tcPr>
            <w:tcW w:w="528" w:type="dxa"/>
            <w:tcBorders>
              <w:top w:val="nil"/>
              <w:bottom w:val="nil"/>
            </w:tcBorders>
            <w:shd w:val="clear" w:color="auto" w:fill="auto"/>
            <w:noWrap/>
            <w:vAlign w:val="center"/>
          </w:tcPr>
          <w:p w:rsidR="00BD7AC3" w:rsidRDefault="00BD7AC3" w:rsidP="00266393">
            <w:pPr>
              <w:jc w:val="center"/>
              <w:rPr>
                <w:rFonts w:cs="Arial"/>
                <w:sz w:val="20"/>
              </w:rPr>
            </w:pPr>
            <w:r>
              <w:rPr>
                <w:rFonts w:cs="Arial"/>
                <w:sz w:val="20"/>
              </w:rPr>
              <w:t>78</w:t>
            </w:r>
          </w:p>
        </w:tc>
        <w:tc>
          <w:tcPr>
            <w:tcW w:w="528" w:type="dxa"/>
            <w:tcBorders>
              <w:top w:val="nil"/>
              <w:bottom w:val="nil"/>
            </w:tcBorders>
            <w:shd w:val="clear" w:color="auto" w:fill="auto"/>
            <w:noWrap/>
            <w:vAlign w:val="center"/>
          </w:tcPr>
          <w:p w:rsidR="00BD7AC3" w:rsidRDefault="00BD7AC3" w:rsidP="00266393">
            <w:pPr>
              <w:jc w:val="center"/>
              <w:rPr>
                <w:rFonts w:cs="Arial"/>
                <w:sz w:val="20"/>
              </w:rPr>
            </w:pPr>
            <w:r>
              <w:rPr>
                <w:rFonts w:cs="Arial"/>
                <w:sz w:val="20"/>
              </w:rPr>
              <w:t>56</w:t>
            </w:r>
          </w:p>
        </w:tc>
        <w:tc>
          <w:tcPr>
            <w:tcW w:w="528" w:type="dxa"/>
            <w:tcBorders>
              <w:top w:val="nil"/>
              <w:bottom w:val="nil"/>
            </w:tcBorders>
            <w:shd w:val="clear" w:color="auto" w:fill="auto"/>
            <w:noWrap/>
            <w:vAlign w:val="center"/>
          </w:tcPr>
          <w:p w:rsidR="00BD7AC3" w:rsidRDefault="00BD7AC3" w:rsidP="00266393">
            <w:pPr>
              <w:jc w:val="center"/>
              <w:rPr>
                <w:rFonts w:cs="Arial"/>
                <w:sz w:val="20"/>
              </w:rPr>
            </w:pPr>
            <w:r>
              <w:rPr>
                <w:rFonts w:cs="Arial"/>
                <w:sz w:val="20"/>
              </w:rPr>
              <w:t>56</w:t>
            </w:r>
          </w:p>
        </w:tc>
        <w:tc>
          <w:tcPr>
            <w:tcW w:w="528" w:type="dxa"/>
            <w:tcBorders>
              <w:top w:val="nil"/>
              <w:bottom w:val="nil"/>
            </w:tcBorders>
            <w:shd w:val="clear" w:color="auto" w:fill="auto"/>
            <w:noWrap/>
            <w:vAlign w:val="center"/>
          </w:tcPr>
          <w:p w:rsidR="00BD7AC3" w:rsidRDefault="00BD7AC3" w:rsidP="00266393">
            <w:pPr>
              <w:jc w:val="center"/>
              <w:rPr>
                <w:rFonts w:cs="Arial"/>
                <w:sz w:val="20"/>
              </w:rPr>
            </w:pPr>
            <w:r>
              <w:rPr>
                <w:rFonts w:cs="Arial"/>
                <w:sz w:val="20"/>
              </w:rPr>
              <w:t>63</w:t>
            </w:r>
          </w:p>
        </w:tc>
        <w:tc>
          <w:tcPr>
            <w:tcW w:w="529" w:type="dxa"/>
            <w:tcBorders>
              <w:top w:val="nil"/>
              <w:bottom w:val="nil"/>
              <w:right w:val="single" w:sz="4" w:space="0" w:color="548DD4"/>
            </w:tcBorders>
            <w:shd w:val="clear" w:color="auto" w:fill="auto"/>
            <w:noWrap/>
            <w:vAlign w:val="center"/>
          </w:tcPr>
          <w:p w:rsidR="00BD7AC3" w:rsidRDefault="00BD7AC3" w:rsidP="00266393">
            <w:pPr>
              <w:jc w:val="center"/>
              <w:rPr>
                <w:rFonts w:cs="Arial"/>
                <w:sz w:val="20"/>
              </w:rPr>
            </w:pPr>
            <w:r>
              <w:rPr>
                <w:rFonts w:cs="Arial"/>
                <w:sz w:val="20"/>
              </w:rPr>
              <w:t>47</w:t>
            </w:r>
          </w:p>
        </w:tc>
        <w:tc>
          <w:tcPr>
            <w:tcW w:w="630" w:type="dxa"/>
            <w:tcBorders>
              <w:top w:val="nil"/>
              <w:left w:val="single" w:sz="4" w:space="0" w:color="548DD4"/>
              <w:bottom w:val="nil"/>
              <w:right w:val="single" w:sz="4" w:space="0" w:color="548DD4"/>
            </w:tcBorders>
            <w:shd w:val="clear" w:color="auto" w:fill="auto"/>
            <w:vAlign w:val="center"/>
          </w:tcPr>
          <w:p w:rsidR="00BD7AC3" w:rsidRDefault="00BD7AC3" w:rsidP="00266393">
            <w:pPr>
              <w:jc w:val="center"/>
              <w:rPr>
                <w:rFonts w:cs="Arial"/>
                <w:sz w:val="20"/>
              </w:rPr>
            </w:pPr>
            <w:r>
              <w:rPr>
                <w:rFonts w:cs="Arial"/>
                <w:sz w:val="20"/>
              </w:rPr>
              <w:t>671</w:t>
            </w:r>
          </w:p>
        </w:tc>
        <w:tc>
          <w:tcPr>
            <w:tcW w:w="720" w:type="dxa"/>
            <w:tcBorders>
              <w:top w:val="nil"/>
              <w:left w:val="single" w:sz="4" w:space="0" w:color="548DD4"/>
              <w:bottom w:val="nil"/>
              <w:right w:val="single" w:sz="4" w:space="0" w:color="548DD4"/>
            </w:tcBorders>
            <w:shd w:val="clear" w:color="auto" w:fill="auto"/>
            <w:vAlign w:val="center"/>
          </w:tcPr>
          <w:p w:rsidR="00BD7AC3" w:rsidRDefault="00BD7AC3" w:rsidP="00266393">
            <w:pPr>
              <w:jc w:val="center"/>
              <w:rPr>
                <w:rFonts w:cs="Arial"/>
                <w:sz w:val="20"/>
              </w:rPr>
            </w:pPr>
            <w:r>
              <w:rPr>
                <w:rFonts w:cs="Arial"/>
                <w:sz w:val="20"/>
              </w:rPr>
              <w:t>56</w:t>
            </w:r>
          </w:p>
        </w:tc>
      </w:tr>
      <w:tr w:rsidR="00BD7AC3" w:rsidRPr="00936EB1" w:rsidTr="00BD7AC3">
        <w:trPr>
          <w:trHeight w:val="304"/>
          <w:jc w:val="center"/>
        </w:trPr>
        <w:tc>
          <w:tcPr>
            <w:tcW w:w="2321" w:type="dxa"/>
            <w:tcBorders>
              <w:top w:val="nil"/>
              <w:left w:val="single" w:sz="4" w:space="0" w:color="548DD4"/>
              <w:bottom w:val="nil"/>
              <w:right w:val="single" w:sz="4" w:space="0" w:color="548DD4"/>
            </w:tcBorders>
            <w:shd w:val="clear" w:color="auto" w:fill="auto"/>
            <w:noWrap/>
            <w:vAlign w:val="center"/>
          </w:tcPr>
          <w:p w:rsidR="00BD7AC3" w:rsidRPr="00D02C01" w:rsidRDefault="00BD7AC3" w:rsidP="00266393">
            <w:pPr>
              <w:keepNext/>
              <w:rPr>
                <w:rFonts w:cs="Arial"/>
                <w:color w:val="1F497D"/>
                <w:sz w:val="20"/>
              </w:rPr>
            </w:pPr>
            <w:r w:rsidRPr="00D02C01">
              <w:rPr>
                <w:rFonts w:cs="Arial"/>
                <w:color w:val="1F497D"/>
                <w:sz w:val="20"/>
              </w:rPr>
              <w:t>Pre-discharge Activities</w:t>
            </w:r>
          </w:p>
        </w:tc>
        <w:tc>
          <w:tcPr>
            <w:tcW w:w="528" w:type="dxa"/>
            <w:tcBorders>
              <w:top w:val="nil"/>
              <w:left w:val="single" w:sz="4" w:space="0" w:color="548DD4"/>
              <w:bottom w:val="nil"/>
            </w:tcBorders>
            <w:shd w:val="clear" w:color="auto" w:fill="auto"/>
            <w:noWrap/>
            <w:vAlign w:val="center"/>
          </w:tcPr>
          <w:p w:rsidR="00BD7AC3" w:rsidRDefault="00BD7AC3" w:rsidP="00266393">
            <w:pPr>
              <w:jc w:val="center"/>
              <w:rPr>
                <w:rFonts w:cs="Arial"/>
                <w:sz w:val="20"/>
              </w:rPr>
            </w:pPr>
            <w:r>
              <w:rPr>
                <w:rFonts w:cs="Arial"/>
                <w:sz w:val="20"/>
              </w:rPr>
              <w:t>30</w:t>
            </w:r>
          </w:p>
        </w:tc>
        <w:tc>
          <w:tcPr>
            <w:tcW w:w="528" w:type="dxa"/>
            <w:tcBorders>
              <w:top w:val="nil"/>
              <w:bottom w:val="nil"/>
            </w:tcBorders>
            <w:shd w:val="clear" w:color="auto" w:fill="auto"/>
            <w:noWrap/>
            <w:vAlign w:val="center"/>
          </w:tcPr>
          <w:p w:rsidR="00BD7AC3" w:rsidRDefault="00BD7AC3" w:rsidP="00266393">
            <w:pPr>
              <w:jc w:val="center"/>
              <w:rPr>
                <w:rFonts w:cs="Arial"/>
                <w:sz w:val="20"/>
              </w:rPr>
            </w:pPr>
            <w:r>
              <w:rPr>
                <w:rFonts w:cs="Arial"/>
                <w:sz w:val="20"/>
              </w:rPr>
              <w:t>12</w:t>
            </w:r>
          </w:p>
        </w:tc>
        <w:tc>
          <w:tcPr>
            <w:tcW w:w="528" w:type="dxa"/>
            <w:tcBorders>
              <w:top w:val="nil"/>
              <w:bottom w:val="nil"/>
            </w:tcBorders>
            <w:shd w:val="clear" w:color="auto" w:fill="auto"/>
            <w:noWrap/>
            <w:vAlign w:val="center"/>
          </w:tcPr>
          <w:p w:rsidR="00BD7AC3" w:rsidRDefault="00BD7AC3" w:rsidP="00266393">
            <w:pPr>
              <w:jc w:val="center"/>
              <w:rPr>
                <w:rFonts w:cs="Arial"/>
                <w:sz w:val="20"/>
              </w:rPr>
            </w:pPr>
            <w:r>
              <w:rPr>
                <w:rFonts w:cs="Arial"/>
                <w:sz w:val="20"/>
              </w:rPr>
              <w:t>17</w:t>
            </w:r>
          </w:p>
        </w:tc>
        <w:tc>
          <w:tcPr>
            <w:tcW w:w="528" w:type="dxa"/>
            <w:tcBorders>
              <w:top w:val="nil"/>
              <w:bottom w:val="nil"/>
            </w:tcBorders>
            <w:shd w:val="clear" w:color="auto" w:fill="auto"/>
            <w:noWrap/>
            <w:vAlign w:val="center"/>
          </w:tcPr>
          <w:p w:rsidR="00BD7AC3" w:rsidRDefault="00BD7AC3" w:rsidP="00266393">
            <w:pPr>
              <w:jc w:val="center"/>
              <w:rPr>
                <w:rFonts w:cs="Arial"/>
                <w:sz w:val="20"/>
              </w:rPr>
            </w:pPr>
            <w:r>
              <w:rPr>
                <w:rFonts w:cs="Arial"/>
                <w:sz w:val="20"/>
              </w:rPr>
              <w:t>22</w:t>
            </w:r>
          </w:p>
        </w:tc>
        <w:tc>
          <w:tcPr>
            <w:tcW w:w="528" w:type="dxa"/>
            <w:tcBorders>
              <w:top w:val="nil"/>
              <w:bottom w:val="nil"/>
            </w:tcBorders>
            <w:shd w:val="clear" w:color="auto" w:fill="auto"/>
            <w:noWrap/>
            <w:vAlign w:val="center"/>
          </w:tcPr>
          <w:p w:rsidR="00BD7AC3" w:rsidRDefault="00BD7AC3" w:rsidP="00266393">
            <w:pPr>
              <w:jc w:val="center"/>
              <w:rPr>
                <w:rFonts w:cs="Arial"/>
                <w:sz w:val="20"/>
              </w:rPr>
            </w:pPr>
            <w:r>
              <w:rPr>
                <w:rFonts w:cs="Arial"/>
                <w:sz w:val="20"/>
              </w:rPr>
              <w:t>24</w:t>
            </w:r>
          </w:p>
        </w:tc>
        <w:tc>
          <w:tcPr>
            <w:tcW w:w="529" w:type="dxa"/>
            <w:tcBorders>
              <w:top w:val="nil"/>
              <w:bottom w:val="nil"/>
            </w:tcBorders>
            <w:shd w:val="clear" w:color="auto" w:fill="auto"/>
            <w:noWrap/>
            <w:vAlign w:val="center"/>
          </w:tcPr>
          <w:p w:rsidR="00BD7AC3" w:rsidRDefault="00BD7AC3" w:rsidP="00266393">
            <w:pPr>
              <w:jc w:val="center"/>
              <w:rPr>
                <w:rFonts w:cs="Arial"/>
                <w:sz w:val="20"/>
              </w:rPr>
            </w:pPr>
            <w:r>
              <w:rPr>
                <w:rFonts w:cs="Arial"/>
                <w:sz w:val="20"/>
              </w:rPr>
              <w:t>32</w:t>
            </w:r>
          </w:p>
        </w:tc>
        <w:tc>
          <w:tcPr>
            <w:tcW w:w="528" w:type="dxa"/>
            <w:tcBorders>
              <w:top w:val="nil"/>
              <w:bottom w:val="nil"/>
            </w:tcBorders>
            <w:shd w:val="clear" w:color="auto" w:fill="auto"/>
            <w:noWrap/>
            <w:vAlign w:val="center"/>
          </w:tcPr>
          <w:p w:rsidR="00BD7AC3" w:rsidRDefault="00BD7AC3" w:rsidP="00266393">
            <w:pPr>
              <w:jc w:val="center"/>
              <w:rPr>
                <w:rFonts w:cs="Arial"/>
                <w:sz w:val="20"/>
              </w:rPr>
            </w:pPr>
            <w:r>
              <w:rPr>
                <w:rFonts w:cs="Arial"/>
                <w:sz w:val="20"/>
              </w:rPr>
              <w:t>23</w:t>
            </w:r>
          </w:p>
        </w:tc>
        <w:tc>
          <w:tcPr>
            <w:tcW w:w="528" w:type="dxa"/>
            <w:tcBorders>
              <w:top w:val="nil"/>
              <w:bottom w:val="nil"/>
            </w:tcBorders>
            <w:shd w:val="clear" w:color="auto" w:fill="auto"/>
            <w:noWrap/>
            <w:vAlign w:val="center"/>
          </w:tcPr>
          <w:p w:rsidR="00BD7AC3" w:rsidRDefault="00BD7AC3" w:rsidP="00266393">
            <w:pPr>
              <w:jc w:val="center"/>
              <w:rPr>
                <w:rFonts w:cs="Arial"/>
                <w:sz w:val="20"/>
              </w:rPr>
            </w:pPr>
            <w:r>
              <w:rPr>
                <w:rFonts w:cs="Arial"/>
                <w:sz w:val="20"/>
              </w:rPr>
              <w:t>14</w:t>
            </w:r>
          </w:p>
        </w:tc>
        <w:tc>
          <w:tcPr>
            <w:tcW w:w="528" w:type="dxa"/>
            <w:tcBorders>
              <w:top w:val="nil"/>
              <w:bottom w:val="nil"/>
            </w:tcBorders>
            <w:shd w:val="clear" w:color="auto" w:fill="auto"/>
            <w:noWrap/>
            <w:vAlign w:val="center"/>
          </w:tcPr>
          <w:p w:rsidR="00BD7AC3" w:rsidRDefault="00BD7AC3" w:rsidP="00266393">
            <w:pPr>
              <w:jc w:val="center"/>
              <w:rPr>
                <w:rFonts w:cs="Arial"/>
                <w:sz w:val="20"/>
              </w:rPr>
            </w:pPr>
            <w:r>
              <w:rPr>
                <w:rFonts w:cs="Arial"/>
                <w:sz w:val="20"/>
              </w:rPr>
              <w:t>26</w:t>
            </w:r>
          </w:p>
        </w:tc>
        <w:tc>
          <w:tcPr>
            <w:tcW w:w="528" w:type="dxa"/>
            <w:tcBorders>
              <w:top w:val="nil"/>
              <w:bottom w:val="nil"/>
            </w:tcBorders>
            <w:shd w:val="clear" w:color="auto" w:fill="auto"/>
            <w:noWrap/>
            <w:vAlign w:val="center"/>
          </w:tcPr>
          <w:p w:rsidR="00BD7AC3" w:rsidRDefault="00BD7AC3" w:rsidP="00266393">
            <w:pPr>
              <w:jc w:val="center"/>
              <w:rPr>
                <w:rFonts w:cs="Arial"/>
                <w:sz w:val="20"/>
              </w:rPr>
            </w:pPr>
            <w:r>
              <w:rPr>
                <w:rFonts w:cs="Arial"/>
                <w:sz w:val="20"/>
              </w:rPr>
              <w:t>47</w:t>
            </w:r>
          </w:p>
        </w:tc>
        <w:tc>
          <w:tcPr>
            <w:tcW w:w="528" w:type="dxa"/>
            <w:tcBorders>
              <w:top w:val="nil"/>
              <w:bottom w:val="nil"/>
            </w:tcBorders>
            <w:shd w:val="clear" w:color="auto" w:fill="auto"/>
            <w:noWrap/>
            <w:vAlign w:val="center"/>
          </w:tcPr>
          <w:p w:rsidR="00BD7AC3" w:rsidRDefault="00BD7AC3" w:rsidP="00266393">
            <w:pPr>
              <w:jc w:val="center"/>
              <w:rPr>
                <w:rFonts w:cs="Arial"/>
                <w:sz w:val="20"/>
              </w:rPr>
            </w:pPr>
            <w:r>
              <w:rPr>
                <w:rFonts w:cs="Arial"/>
                <w:sz w:val="20"/>
              </w:rPr>
              <w:t>34</w:t>
            </w:r>
          </w:p>
        </w:tc>
        <w:tc>
          <w:tcPr>
            <w:tcW w:w="529" w:type="dxa"/>
            <w:tcBorders>
              <w:top w:val="nil"/>
              <w:bottom w:val="nil"/>
              <w:right w:val="single" w:sz="4" w:space="0" w:color="548DD4"/>
            </w:tcBorders>
            <w:shd w:val="clear" w:color="auto" w:fill="auto"/>
            <w:noWrap/>
            <w:vAlign w:val="center"/>
          </w:tcPr>
          <w:p w:rsidR="00BD7AC3" w:rsidRDefault="00BD7AC3" w:rsidP="00266393">
            <w:pPr>
              <w:jc w:val="center"/>
              <w:rPr>
                <w:rFonts w:cs="Arial"/>
                <w:sz w:val="20"/>
              </w:rPr>
            </w:pPr>
            <w:r>
              <w:rPr>
                <w:rFonts w:cs="Arial"/>
                <w:sz w:val="20"/>
              </w:rPr>
              <w:t>39</w:t>
            </w:r>
          </w:p>
        </w:tc>
        <w:tc>
          <w:tcPr>
            <w:tcW w:w="630" w:type="dxa"/>
            <w:tcBorders>
              <w:top w:val="nil"/>
              <w:left w:val="single" w:sz="4" w:space="0" w:color="548DD4"/>
              <w:bottom w:val="nil"/>
              <w:right w:val="single" w:sz="4" w:space="0" w:color="548DD4"/>
            </w:tcBorders>
            <w:shd w:val="clear" w:color="auto" w:fill="auto"/>
            <w:vAlign w:val="center"/>
          </w:tcPr>
          <w:p w:rsidR="00BD7AC3" w:rsidRDefault="00BD7AC3" w:rsidP="00266393">
            <w:pPr>
              <w:jc w:val="center"/>
              <w:rPr>
                <w:rFonts w:cs="Arial"/>
                <w:sz w:val="20"/>
              </w:rPr>
            </w:pPr>
            <w:r>
              <w:rPr>
                <w:rFonts w:cs="Arial"/>
                <w:sz w:val="20"/>
              </w:rPr>
              <w:t>320</w:t>
            </w:r>
          </w:p>
        </w:tc>
        <w:tc>
          <w:tcPr>
            <w:tcW w:w="720" w:type="dxa"/>
            <w:tcBorders>
              <w:top w:val="nil"/>
              <w:left w:val="single" w:sz="4" w:space="0" w:color="548DD4"/>
              <w:bottom w:val="nil"/>
              <w:right w:val="single" w:sz="4" w:space="0" w:color="548DD4"/>
            </w:tcBorders>
            <w:shd w:val="clear" w:color="auto" w:fill="auto"/>
            <w:vAlign w:val="center"/>
          </w:tcPr>
          <w:p w:rsidR="00BD7AC3" w:rsidRDefault="00BD7AC3" w:rsidP="00266393">
            <w:pPr>
              <w:jc w:val="center"/>
              <w:rPr>
                <w:rFonts w:cs="Arial"/>
                <w:sz w:val="20"/>
              </w:rPr>
            </w:pPr>
            <w:r>
              <w:rPr>
                <w:rFonts w:cs="Arial"/>
                <w:sz w:val="20"/>
              </w:rPr>
              <w:t>27</w:t>
            </w:r>
          </w:p>
        </w:tc>
      </w:tr>
      <w:tr w:rsidR="00BD7AC3" w:rsidRPr="00936EB1" w:rsidTr="00BD7AC3">
        <w:trPr>
          <w:trHeight w:val="304"/>
          <w:jc w:val="center"/>
        </w:trPr>
        <w:tc>
          <w:tcPr>
            <w:tcW w:w="2321" w:type="dxa"/>
            <w:tcBorders>
              <w:top w:val="nil"/>
              <w:left w:val="single" w:sz="4" w:space="0" w:color="548DD4"/>
              <w:bottom w:val="nil"/>
              <w:right w:val="single" w:sz="4" w:space="0" w:color="548DD4"/>
            </w:tcBorders>
            <w:shd w:val="clear" w:color="auto" w:fill="auto"/>
            <w:noWrap/>
            <w:vAlign w:val="center"/>
          </w:tcPr>
          <w:p w:rsidR="00BD7AC3" w:rsidRPr="00D02C01" w:rsidRDefault="00BD7AC3" w:rsidP="00266393">
            <w:pPr>
              <w:keepNext/>
              <w:rPr>
                <w:rFonts w:cs="Arial"/>
                <w:color w:val="1F497D"/>
                <w:sz w:val="20"/>
              </w:rPr>
            </w:pPr>
            <w:r w:rsidRPr="00D02C01">
              <w:rPr>
                <w:rFonts w:cs="Arial"/>
                <w:color w:val="1F497D"/>
                <w:sz w:val="20"/>
              </w:rPr>
              <w:t>Court Order/ Hearing</w:t>
            </w:r>
          </w:p>
        </w:tc>
        <w:tc>
          <w:tcPr>
            <w:tcW w:w="528" w:type="dxa"/>
            <w:tcBorders>
              <w:top w:val="nil"/>
              <w:left w:val="single" w:sz="4" w:space="0" w:color="548DD4"/>
              <w:bottom w:val="nil"/>
            </w:tcBorders>
            <w:shd w:val="clear" w:color="auto" w:fill="auto"/>
            <w:noWrap/>
            <w:vAlign w:val="center"/>
          </w:tcPr>
          <w:p w:rsidR="00BD7AC3" w:rsidRDefault="00BD7AC3" w:rsidP="00266393">
            <w:pPr>
              <w:jc w:val="center"/>
              <w:rPr>
                <w:rFonts w:cs="Arial"/>
                <w:sz w:val="20"/>
              </w:rPr>
            </w:pPr>
            <w:r>
              <w:rPr>
                <w:rFonts w:cs="Arial"/>
                <w:sz w:val="20"/>
              </w:rPr>
              <w:t>49</w:t>
            </w:r>
          </w:p>
        </w:tc>
        <w:tc>
          <w:tcPr>
            <w:tcW w:w="528" w:type="dxa"/>
            <w:tcBorders>
              <w:top w:val="nil"/>
              <w:bottom w:val="nil"/>
            </w:tcBorders>
            <w:shd w:val="clear" w:color="auto" w:fill="auto"/>
            <w:noWrap/>
            <w:vAlign w:val="center"/>
          </w:tcPr>
          <w:p w:rsidR="00BD7AC3" w:rsidRDefault="00BD7AC3" w:rsidP="00266393">
            <w:pPr>
              <w:jc w:val="center"/>
              <w:rPr>
                <w:rFonts w:cs="Arial"/>
                <w:sz w:val="20"/>
              </w:rPr>
            </w:pPr>
            <w:r>
              <w:rPr>
                <w:rFonts w:cs="Arial"/>
                <w:sz w:val="20"/>
              </w:rPr>
              <w:t>31</w:t>
            </w:r>
          </w:p>
        </w:tc>
        <w:tc>
          <w:tcPr>
            <w:tcW w:w="528" w:type="dxa"/>
            <w:tcBorders>
              <w:top w:val="nil"/>
              <w:bottom w:val="nil"/>
            </w:tcBorders>
            <w:shd w:val="clear" w:color="auto" w:fill="auto"/>
            <w:noWrap/>
            <w:vAlign w:val="center"/>
          </w:tcPr>
          <w:p w:rsidR="00BD7AC3" w:rsidRDefault="00BD7AC3" w:rsidP="00266393">
            <w:pPr>
              <w:jc w:val="center"/>
              <w:rPr>
                <w:rFonts w:cs="Arial"/>
                <w:sz w:val="20"/>
              </w:rPr>
            </w:pPr>
            <w:r>
              <w:rPr>
                <w:rFonts w:cs="Arial"/>
                <w:sz w:val="20"/>
              </w:rPr>
              <w:t>33</w:t>
            </w:r>
          </w:p>
        </w:tc>
        <w:tc>
          <w:tcPr>
            <w:tcW w:w="528" w:type="dxa"/>
            <w:tcBorders>
              <w:top w:val="nil"/>
              <w:bottom w:val="nil"/>
            </w:tcBorders>
            <w:shd w:val="clear" w:color="auto" w:fill="auto"/>
            <w:noWrap/>
            <w:vAlign w:val="center"/>
          </w:tcPr>
          <w:p w:rsidR="00BD7AC3" w:rsidRDefault="00BD7AC3" w:rsidP="00266393">
            <w:pPr>
              <w:jc w:val="center"/>
              <w:rPr>
                <w:rFonts w:cs="Arial"/>
                <w:sz w:val="20"/>
              </w:rPr>
            </w:pPr>
            <w:r>
              <w:rPr>
                <w:rFonts w:cs="Arial"/>
                <w:sz w:val="20"/>
              </w:rPr>
              <w:t>45</w:t>
            </w:r>
          </w:p>
        </w:tc>
        <w:tc>
          <w:tcPr>
            <w:tcW w:w="528" w:type="dxa"/>
            <w:tcBorders>
              <w:top w:val="nil"/>
              <w:bottom w:val="nil"/>
            </w:tcBorders>
            <w:shd w:val="clear" w:color="auto" w:fill="auto"/>
            <w:noWrap/>
            <w:vAlign w:val="center"/>
          </w:tcPr>
          <w:p w:rsidR="00BD7AC3" w:rsidRDefault="00BD7AC3" w:rsidP="00266393">
            <w:pPr>
              <w:jc w:val="center"/>
              <w:rPr>
                <w:rFonts w:cs="Arial"/>
                <w:sz w:val="20"/>
              </w:rPr>
            </w:pPr>
            <w:r>
              <w:rPr>
                <w:rFonts w:cs="Arial"/>
                <w:sz w:val="20"/>
              </w:rPr>
              <w:t>47</w:t>
            </w:r>
          </w:p>
        </w:tc>
        <w:tc>
          <w:tcPr>
            <w:tcW w:w="529" w:type="dxa"/>
            <w:tcBorders>
              <w:top w:val="nil"/>
              <w:bottom w:val="nil"/>
            </w:tcBorders>
            <w:shd w:val="clear" w:color="auto" w:fill="auto"/>
            <w:noWrap/>
            <w:vAlign w:val="center"/>
          </w:tcPr>
          <w:p w:rsidR="00BD7AC3" w:rsidRDefault="00BD7AC3" w:rsidP="00266393">
            <w:pPr>
              <w:jc w:val="center"/>
              <w:rPr>
                <w:rFonts w:cs="Arial"/>
                <w:sz w:val="20"/>
              </w:rPr>
            </w:pPr>
            <w:r>
              <w:rPr>
                <w:rFonts w:cs="Arial"/>
                <w:sz w:val="20"/>
              </w:rPr>
              <w:t>41</w:t>
            </w:r>
          </w:p>
        </w:tc>
        <w:tc>
          <w:tcPr>
            <w:tcW w:w="528" w:type="dxa"/>
            <w:tcBorders>
              <w:top w:val="nil"/>
              <w:bottom w:val="nil"/>
            </w:tcBorders>
            <w:shd w:val="clear" w:color="auto" w:fill="auto"/>
            <w:noWrap/>
            <w:vAlign w:val="center"/>
          </w:tcPr>
          <w:p w:rsidR="00BD7AC3" w:rsidRDefault="00BD7AC3" w:rsidP="00266393">
            <w:pPr>
              <w:jc w:val="center"/>
              <w:rPr>
                <w:rFonts w:cs="Arial"/>
                <w:sz w:val="20"/>
              </w:rPr>
            </w:pPr>
            <w:r>
              <w:rPr>
                <w:rFonts w:cs="Arial"/>
                <w:sz w:val="20"/>
              </w:rPr>
              <w:t>38</w:t>
            </w:r>
          </w:p>
        </w:tc>
        <w:tc>
          <w:tcPr>
            <w:tcW w:w="528" w:type="dxa"/>
            <w:tcBorders>
              <w:top w:val="nil"/>
              <w:bottom w:val="nil"/>
            </w:tcBorders>
            <w:shd w:val="clear" w:color="auto" w:fill="auto"/>
            <w:noWrap/>
            <w:vAlign w:val="center"/>
          </w:tcPr>
          <w:p w:rsidR="00BD7AC3" w:rsidRDefault="00BD7AC3" w:rsidP="00266393">
            <w:pPr>
              <w:jc w:val="center"/>
              <w:rPr>
                <w:rFonts w:cs="Arial"/>
                <w:sz w:val="20"/>
              </w:rPr>
            </w:pPr>
            <w:r>
              <w:rPr>
                <w:rFonts w:cs="Arial"/>
                <w:sz w:val="20"/>
              </w:rPr>
              <w:t>47</w:t>
            </w:r>
          </w:p>
        </w:tc>
        <w:tc>
          <w:tcPr>
            <w:tcW w:w="528" w:type="dxa"/>
            <w:tcBorders>
              <w:top w:val="nil"/>
              <w:bottom w:val="nil"/>
            </w:tcBorders>
            <w:shd w:val="clear" w:color="auto" w:fill="auto"/>
            <w:noWrap/>
            <w:vAlign w:val="center"/>
          </w:tcPr>
          <w:p w:rsidR="00BD7AC3" w:rsidRDefault="00BD7AC3" w:rsidP="00266393">
            <w:pPr>
              <w:jc w:val="center"/>
              <w:rPr>
                <w:rFonts w:cs="Arial"/>
                <w:sz w:val="20"/>
              </w:rPr>
            </w:pPr>
            <w:r>
              <w:rPr>
                <w:rFonts w:cs="Arial"/>
                <w:sz w:val="20"/>
              </w:rPr>
              <w:t>42</w:t>
            </w:r>
          </w:p>
        </w:tc>
        <w:tc>
          <w:tcPr>
            <w:tcW w:w="528" w:type="dxa"/>
            <w:tcBorders>
              <w:top w:val="nil"/>
              <w:bottom w:val="nil"/>
            </w:tcBorders>
            <w:shd w:val="clear" w:color="auto" w:fill="auto"/>
            <w:noWrap/>
            <w:vAlign w:val="center"/>
          </w:tcPr>
          <w:p w:rsidR="00BD7AC3" w:rsidRDefault="00BD7AC3" w:rsidP="00266393">
            <w:pPr>
              <w:jc w:val="center"/>
              <w:rPr>
                <w:rFonts w:cs="Arial"/>
                <w:sz w:val="20"/>
              </w:rPr>
            </w:pPr>
            <w:r>
              <w:rPr>
                <w:rFonts w:cs="Arial"/>
                <w:sz w:val="20"/>
              </w:rPr>
              <w:t>58</w:t>
            </w:r>
          </w:p>
        </w:tc>
        <w:tc>
          <w:tcPr>
            <w:tcW w:w="528" w:type="dxa"/>
            <w:tcBorders>
              <w:top w:val="nil"/>
              <w:bottom w:val="nil"/>
            </w:tcBorders>
            <w:shd w:val="clear" w:color="auto" w:fill="auto"/>
            <w:noWrap/>
            <w:vAlign w:val="center"/>
          </w:tcPr>
          <w:p w:rsidR="00BD7AC3" w:rsidRDefault="00BD7AC3" w:rsidP="00266393">
            <w:pPr>
              <w:jc w:val="center"/>
              <w:rPr>
                <w:rFonts w:cs="Arial"/>
                <w:sz w:val="20"/>
              </w:rPr>
            </w:pPr>
            <w:r>
              <w:rPr>
                <w:rFonts w:cs="Arial"/>
                <w:sz w:val="20"/>
              </w:rPr>
              <w:t>38</w:t>
            </w:r>
          </w:p>
        </w:tc>
        <w:tc>
          <w:tcPr>
            <w:tcW w:w="529" w:type="dxa"/>
            <w:tcBorders>
              <w:top w:val="nil"/>
              <w:bottom w:val="nil"/>
              <w:right w:val="single" w:sz="4" w:space="0" w:color="548DD4"/>
            </w:tcBorders>
            <w:shd w:val="clear" w:color="auto" w:fill="auto"/>
            <w:noWrap/>
            <w:vAlign w:val="center"/>
          </w:tcPr>
          <w:p w:rsidR="00BD7AC3" w:rsidRDefault="00BD7AC3" w:rsidP="00266393">
            <w:pPr>
              <w:jc w:val="center"/>
              <w:rPr>
                <w:rFonts w:cs="Arial"/>
                <w:sz w:val="20"/>
              </w:rPr>
            </w:pPr>
            <w:r>
              <w:rPr>
                <w:rFonts w:cs="Arial"/>
                <w:sz w:val="20"/>
              </w:rPr>
              <w:t>47</w:t>
            </w:r>
          </w:p>
        </w:tc>
        <w:tc>
          <w:tcPr>
            <w:tcW w:w="630" w:type="dxa"/>
            <w:tcBorders>
              <w:top w:val="nil"/>
              <w:left w:val="single" w:sz="4" w:space="0" w:color="548DD4"/>
              <w:bottom w:val="nil"/>
              <w:right w:val="single" w:sz="4" w:space="0" w:color="548DD4"/>
            </w:tcBorders>
            <w:shd w:val="clear" w:color="auto" w:fill="auto"/>
            <w:vAlign w:val="center"/>
          </w:tcPr>
          <w:p w:rsidR="00BD7AC3" w:rsidRDefault="00BD7AC3" w:rsidP="00266393">
            <w:pPr>
              <w:jc w:val="center"/>
              <w:rPr>
                <w:rFonts w:cs="Arial"/>
                <w:sz w:val="20"/>
              </w:rPr>
            </w:pPr>
            <w:r>
              <w:rPr>
                <w:rFonts w:cs="Arial"/>
                <w:sz w:val="20"/>
              </w:rPr>
              <w:t>516</w:t>
            </w:r>
          </w:p>
        </w:tc>
        <w:tc>
          <w:tcPr>
            <w:tcW w:w="720" w:type="dxa"/>
            <w:tcBorders>
              <w:top w:val="nil"/>
              <w:left w:val="single" w:sz="4" w:space="0" w:color="548DD4"/>
              <w:bottom w:val="nil"/>
              <w:right w:val="single" w:sz="4" w:space="0" w:color="548DD4"/>
            </w:tcBorders>
            <w:shd w:val="clear" w:color="auto" w:fill="auto"/>
            <w:vAlign w:val="center"/>
          </w:tcPr>
          <w:p w:rsidR="00BD7AC3" w:rsidRDefault="00BD7AC3" w:rsidP="00266393">
            <w:pPr>
              <w:jc w:val="center"/>
              <w:rPr>
                <w:rFonts w:cs="Arial"/>
                <w:sz w:val="20"/>
              </w:rPr>
            </w:pPr>
            <w:r>
              <w:rPr>
                <w:rFonts w:cs="Arial"/>
                <w:sz w:val="20"/>
              </w:rPr>
              <w:t>43</w:t>
            </w:r>
          </w:p>
        </w:tc>
      </w:tr>
      <w:tr w:rsidR="00BD7AC3" w:rsidRPr="00936EB1" w:rsidTr="00BD7AC3">
        <w:trPr>
          <w:trHeight w:val="304"/>
          <w:jc w:val="center"/>
        </w:trPr>
        <w:tc>
          <w:tcPr>
            <w:tcW w:w="2321" w:type="dxa"/>
            <w:tcBorders>
              <w:top w:val="nil"/>
              <w:left w:val="single" w:sz="4" w:space="0" w:color="548DD4"/>
              <w:bottom w:val="nil"/>
              <w:right w:val="single" w:sz="4" w:space="0" w:color="548DD4"/>
            </w:tcBorders>
            <w:shd w:val="clear" w:color="auto" w:fill="auto"/>
            <w:noWrap/>
            <w:vAlign w:val="center"/>
          </w:tcPr>
          <w:p w:rsidR="00BD7AC3" w:rsidRPr="00B319CE" w:rsidRDefault="00BD7AC3" w:rsidP="00266393">
            <w:pPr>
              <w:keepNext/>
              <w:rPr>
                <w:rFonts w:cs="Arial"/>
                <w:color w:val="1F497D"/>
                <w:sz w:val="20"/>
              </w:rPr>
            </w:pPr>
            <w:r w:rsidRPr="00B319CE">
              <w:rPr>
                <w:rFonts w:cs="Arial"/>
                <w:color w:val="1F497D"/>
                <w:sz w:val="20"/>
              </w:rPr>
              <w:t>Therapeutic Comm</w:t>
            </w:r>
            <w:r>
              <w:rPr>
                <w:rFonts w:cs="Arial"/>
                <w:color w:val="1F497D"/>
                <w:sz w:val="20"/>
              </w:rPr>
              <w:t>.</w:t>
            </w:r>
            <w:r w:rsidRPr="00B319CE">
              <w:rPr>
                <w:rFonts w:cs="Arial"/>
                <w:color w:val="1F497D"/>
                <w:sz w:val="20"/>
              </w:rPr>
              <w:t xml:space="preserve"> Activity</w:t>
            </w:r>
          </w:p>
        </w:tc>
        <w:tc>
          <w:tcPr>
            <w:tcW w:w="528" w:type="dxa"/>
            <w:tcBorders>
              <w:top w:val="nil"/>
              <w:left w:val="single" w:sz="4" w:space="0" w:color="548DD4"/>
              <w:bottom w:val="nil"/>
            </w:tcBorders>
            <w:shd w:val="clear" w:color="auto" w:fill="auto"/>
            <w:noWrap/>
            <w:vAlign w:val="center"/>
          </w:tcPr>
          <w:p w:rsidR="00BD7AC3" w:rsidRDefault="00BD7AC3" w:rsidP="00266393">
            <w:pPr>
              <w:jc w:val="center"/>
              <w:rPr>
                <w:rFonts w:cs="Arial"/>
                <w:sz w:val="20"/>
              </w:rPr>
            </w:pPr>
            <w:r>
              <w:rPr>
                <w:rFonts w:cs="Arial"/>
                <w:sz w:val="20"/>
              </w:rPr>
              <w:t>24</w:t>
            </w:r>
          </w:p>
        </w:tc>
        <w:tc>
          <w:tcPr>
            <w:tcW w:w="528" w:type="dxa"/>
            <w:tcBorders>
              <w:top w:val="nil"/>
              <w:bottom w:val="nil"/>
            </w:tcBorders>
            <w:shd w:val="clear" w:color="auto" w:fill="auto"/>
            <w:noWrap/>
            <w:vAlign w:val="center"/>
          </w:tcPr>
          <w:p w:rsidR="00BD7AC3" w:rsidRDefault="00BD7AC3" w:rsidP="00266393">
            <w:pPr>
              <w:jc w:val="center"/>
              <w:rPr>
                <w:rFonts w:cs="Arial"/>
                <w:sz w:val="20"/>
              </w:rPr>
            </w:pPr>
            <w:r>
              <w:rPr>
                <w:rFonts w:cs="Arial"/>
                <w:sz w:val="20"/>
              </w:rPr>
              <w:t>24</w:t>
            </w:r>
          </w:p>
        </w:tc>
        <w:tc>
          <w:tcPr>
            <w:tcW w:w="528" w:type="dxa"/>
            <w:tcBorders>
              <w:top w:val="nil"/>
              <w:bottom w:val="nil"/>
            </w:tcBorders>
            <w:shd w:val="clear" w:color="auto" w:fill="auto"/>
            <w:noWrap/>
            <w:vAlign w:val="center"/>
          </w:tcPr>
          <w:p w:rsidR="00BD7AC3" w:rsidRDefault="00BD7AC3" w:rsidP="00266393">
            <w:pPr>
              <w:jc w:val="center"/>
              <w:rPr>
                <w:rFonts w:cs="Arial"/>
                <w:sz w:val="20"/>
              </w:rPr>
            </w:pPr>
            <w:r>
              <w:rPr>
                <w:rFonts w:cs="Arial"/>
                <w:sz w:val="20"/>
              </w:rPr>
              <w:t>20</w:t>
            </w:r>
          </w:p>
        </w:tc>
        <w:tc>
          <w:tcPr>
            <w:tcW w:w="528" w:type="dxa"/>
            <w:tcBorders>
              <w:top w:val="nil"/>
              <w:bottom w:val="nil"/>
            </w:tcBorders>
            <w:shd w:val="clear" w:color="auto" w:fill="auto"/>
            <w:noWrap/>
            <w:vAlign w:val="center"/>
          </w:tcPr>
          <w:p w:rsidR="00BD7AC3" w:rsidRDefault="00BD7AC3" w:rsidP="00266393">
            <w:pPr>
              <w:jc w:val="center"/>
              <w:rPr>
                <w:rFonts w:cs="Arial"/>
                <w:sz w:val="20"/>
              </w:rPr>
            </w:pPr>
            <w:r>
              <w:rPr>
                <w:rFonts w:cs="Arial"/>
                <w:sz w:val="20"/>
              </w:rPr>
              <w:t>20</w:t>
            </w:r>
          </w:p>
        </w:tc>
        <w:tc>
          <w:tcPr>
            <w:tcW w:w="528" w:type="dxa"/>
            <w:tcBorders>
              <w:top w:val="nil"/>
              <w:bottom w:val="nil"/>
            </w:tcBorders>
            <w:shd w:val="clear" w:color="auto" w:fill="auto"/>
            <w:noWrap/>
            <w:vAlign w:val="center"/>
          </w:tcPr>
          <w:p w:rsidR="00BD7AC3" w:rsidRDefault="00BD7AC3" w:rsidP="00266393">
            <w:pPr>
              <w:jc w:val="center"/>
              <w:rPr>
                <w:rFonts w:cs="Arial"/>
                <w:sz w:val="20"/>
              </w:rPr>
            </w:pPr>
            <w:r>
              <w:rPr>
                <w:rFonts w:cs="Arial"/>
                <w:sz w:val="20"/>
              </w:rPr>
              <w:t>19</w:t>
            </w:r>
          </w:p>
        </w:tc>
        <w:tc>
          <w:tcPr>
            <w:tcW w:w="529" w:type="dxa"/>
            <w:tcBorders>
              <w:top w:val="nil"/>
              <w:bottom w:val="nil"/>
            </w:tcBorders>
            <w:shd w:val="clear" w:color="auto" w:fill="auto"/>
            <w:noWrap/>
            <w:vAlign w:val="center"/>
          </w:tcPr>
          <w:p w:rsidR="00BD7AC3" w:rsidRDefault="00BD7AC3" w:rsidP="00266393">
            <w:pPr>
              <w:jc w:val="center"/>
              <w:rPr>
                <w:rFonts w:cs="Arial"/>
                <w:sz w:val="20"/>
              </w:rPr>
            </w:pPr>
            <w:r>
              <w:rPr>
                <w:rFonts w:cs="Arial"/>
                <w:sz w:val="20"/>
              </w:rPr>
              <w:t>43</w:t>
            </w:r>
          </w:p>
        </w:tc>
        <w:tc>
          <w:tcPr>
            <w:tcW w:w="528" w:type="dxa"/>
            <w:tcBorders>
              <w:top w:val="nil"/>
              <w:bottom w:val="nil"/>
            </w:tcBorders>
            <w:shd w:val="clear" w:color="auto" w:fill="auto"/>
            <w:noWrap/>
            <w:vAlign w:val="center"/>
          </w:tcPr>
          <w:p w:rsidR="00BD7AC3" w:rsidRDefault="00BD7AC3" w:rsidP="00266393">
            <w:pPr>
              <w:jc w:val="center"/>
              <w:rPr>
                <w:rFonts w:cs="Arial"/>
                <w:sz w:val="20"/>
              </w:rPr>
            </w:pPr>
            <w:r>
              <w:rPr>
                <w:rFonts w:cs="Arial"/>
                <w:sz w:val="20"/>
              </w:rPr>
              <w:t>38</w:t>
            </w:r>
          </w:p>
        </w:tc>
        <w:tc>
          <w:tcPr>
            <w:tcW w:w="528" w:type="dxa"/>
            <w:tcBorders>
              <w:top w:val="nil"/>
              <w:bottom w:val="nil"/>
            </w:tcBorders>
            <w:shd w:val="clear" w:color="auto" w:fill="auto"/>
            <w:noWrap/>
            <w:vAlign w:val="center"/>
          </w:tcPr>
          <w:p w:rsidR="00BD7AC3" w:rsidRDefault="00BD7AC3" w:rsidP="00266393">
            <w:pPr>
              <w:jc w:val="center"/>
              <w:rPr>
                <w:rFonts w:cs="Arial"/>
                <w:sz w:val="20"/>
              </w:rPr>
            </w:pPr>
            <w:r>
              <w:rPr>
                <w:rFonts w:cs="Arial"/>
                <w:sz w:val="20"/>
              </w:rPr>
              <w:t>91</w:t>
            </w:r>
          </w:p>
        </w:tc>
        <w:tc>
          <w:tcPr>
            <w:tcW w:w="528" w:type="dxa"/>
            <w:tcBorders>
              <w:top w:val="nil"/>
              <w:bottom w:val="nil"/>
            </w:tcBorders>
            <w:shd w:val="clear" w:color="auto" w:fill="auto"/>
            <w:noWrap/>
            <w:vAlign w:val="center"/>
          </w:tcPr>
          <w:p w:rsidR="00BD7AC3" w:rsidRDefault="00BD7AC3" w:rsidP="00266393">
            <w:pPr>
              <w:jc w:val="center"/>
              <w:rPr>
                <w:rFonts w:cs="Arial"/>
                <w:sz w:val="20"/>
              </w:rPr>
            </w:pPr>
            <w:r>
              <w:rPr>
                <w:rFonts w:cs="Arial"/>
                <w:sz w:val="20"/>
              </w:rPr>
              <w:t>315</w:t>
            </w:r>
          </w:p>
        </w:tc>
        <w:tc>
          <w:tcPr>
            <w:tcW w:w="528" w:type="dxa"/>
            <w:tcBorders>
              <w:top w:val="nil"/>
              <w:bottom w:val="nil"/>
            </w:tcBorders>
            <w:shd w:val="clear" w:color="auto" w:fill="auto"/>
            <w:noWrap/>
            <w:vAlign w:val="center"/>
          </w:tcPr>
          <w:p w:rsidR="00BD7AC3" w:rsidRDefault="00BD7AC3" w:rsidP="00266393">
            <w:pPr>
              <w:jc w:val="center"/>
              <w:rPr>
                <w:rFonts w:cs="Arial"/>
                <w:sz w:val="20"/>
              </w:rPr>
            </w:pPr>
            <w:r>
              <w:rPr>
                <w:rFonts w:cs="Arial"/>
                <w:sz w:val="20"/>
              </w:rPr>
              <w:t>269</w:t>
            </w:r>
          </w:p>
        </w:tc>
        <w:tc>
          <w:tcPr>
            <w:tcW w:w="528" w:type="dxa"/>
            <w:tcBorders>
              <w:top w:val="nil"/>
              <w:bottom w:val="nil"/>
            </w:tcBorders>
            <w:shd w:val="clear" w:color="auto" w:fill="auto"/>
            <w:noWrap/>
            <w:vAlign w:val="center"/>
          </w:tcPr>
          <w:p w:rsidR="00BD7AC3" w:rsidRDefault="00BD7AC3" w:rsidP="00266393">
            <w:pPr>
              <w:jc w:val="center"/>
              <w:rPr>
                <w:rFonts w:cs="Arial"/>
                <w:sz w:val="20"/>
              </w:rPr>
            </w:pPr>
            <w:r>
              <w:rPr>
                <w:rFonts w:cs="Arial"/>
                <w:sz w:val="20"/>
              </w:rPr>
              <w:t>251</w:t>
            </w:r>
          </w:p>
        </w:tc>
        <w:tc>
          <w:tcPr>
            <w:tcW w:w="529" w:type="dxa"/>
            <w:tcBorders>
              <w:top w:val="nil"/>
              <w:bottom w:val="nil"/>
              <w:right w:val="single" w:sz="4" w:space="0" w:color="548DD4"/>
            </w:tcBorders>
            <w:shd w:val="clear" w:color="auto" w:fill="auto"/>
            <w:noWrap/>
            <w:vAlign w:val="center"/>
          </w:tcPr>
          <w:p w:rsidR="00BD7AC3" w:rsidRDefault="00BD7AC3" w:rsidP="00266393">
            <w:pPr>
              <w:jc w:val="center"/>
              <w:rPr>
                <w:rFonts w:cs="Arial"/>
                <w:sz w:val="20"/>
              </w:rPr>
            </w:pPr>
            <w:r>
              <w:rPr>
                <w:rFonts w:cs="Arial"/>
                <w:sz w:val="20"/>
              </w:rPr>
              <w:t>264</w:t>
            </w:r>
          </w:p>
        </w:tc>
        <w:tc>
          <w:tcPr>
            <w:tcW w:w="630" w:type="dxa"/>
            <w:tcBorders>
              <w:top w:val="nil"/>
              <w:left w:val="single" w:sz="4" w:space="0" w:color="548DD4"/>
              <w:bottom w:val="nil"/>
              <w:right w:val="single" w:sz="4" w:space="0" w:color="548DD4"/>
            </w:tcBorders>
            <w:shd w:val="clear" w:color="auto" w:fill="auto"/>
            <w:vAlign w:val="center"/>
          </w:tcPr>
          <w:p w:rsidR="00BD7AC3" w:rsidRDefault="00BD7AC3" w:rsidP="00266393">
            <w:pPr>
              <w:jc w:val="center"/>
              <w:rPr>
                <w:rFonts w:cs="Arial"/>
                <w:sz w:val="20"/>
              </w:rPr>
            </w:pPr>
            <w:r>
              <w:rPr>
                <w:rFonts w:cs="Arial"/>
                <w:sz w:val="20"/>
              </w:rPr>
              <w:t>1378</w:t>
            </w:r>
          </w:p>
        </w:tc>
        <w:tc>
          <w:tcPr>
            <w:tcW w:w="720" w:type="dxa"/>
            <w:tcBorders>
              <w:top w:val="nil"/>
              <w:left w:val="single" w:sz="4" w:space="0" w:color="548DD4"/>
              <w:bottom w:val="nil"/>
              <w:right w:val="single" w:sz="4" w:space="0" w:color="548DD4"/>
            </w:tcBorders>
            <w:shd w:val="clear" w:color="auto" w:fill="auto"/>
            <w:vAlign w:val="center"/>
          </w:tcPr>
          <w:p w:rsidR="00BD7AC3" w:rsidRDefault="00BD7AC3" w:rsidP="00266393">
            <w:pPr>
              <w:jc w:val="center"/>
              <w:rPr>
                <w:rFonts w:cs="Arial"/>
                <w:sz w:val="20"/>
              </w:rPr>
            </w:pPr>
            <w:r>
              <w:rPr>
                <w:rFonts w:cs="Arial"/>
                <w:sz w:val="20"/>
              </w:rPr>
              <w:t>115</w:t>
            </w:r>
          </w:p>
        </w:tc>
      </w:tr>
      <w:tr w:rsidR="00BD7AC3" w:rsidRPr="00936EB1" w:rsidTr="00BD7AC3">
        <w:trPr>
          <w:trHeight w:val="304"/>
          <w:jc w:val="center"/>
        </w:trPr>
        <w:tc>
          <w:tcPr>
            <w:tcW w:w="2321" w:type="dxa"/>
            <w:tcBorders>
              <w:top w:val="nil"/>
              <w:left w:val="single" w:sz="4" w:space="0" w:color="548DD4"/>
              <w:bottom w:val="single" w:sz="4" w:space="0" w:color="4F81BD" w:themeColor="accent1"/>
              <w:right w:val="single" w:sz="4" w:space="0" w:color="548DD4"/>
            </w:tcBorders>
            <w:shd w:val="clear" w:color="auto" w:fill="auto"/>
            <w:noWrap/>
            <w:vAlign w:val="center"/>
          </w:tcPr>
          <w:p w:rsidR="00BD7AC3" w:rsidRPr="00D02C01" w:rsidRDefault="00BD7AC3" w:rsidP="00266393">
            <w:pPr>
              <w:keepNext/>
              <w:rPr>
                <w:rFonts w:cs="Arial"/>
                <w:color w:val="1F497D"/>
                <w:sz w:val="20"/>
              </w:rPr>
            </w:pPr>
            <w:r w:rsidRPr="00D02C01">
              <w:rPr>
                <w:rFonts w:cs="Arial"/>
                <w:color w:val="1F497D"/>
                <w:sz w:val="20"/>
              </w:rPr>
              <w:t>Unauthorized Leave</w:t>
            </w:r>
          </w:p>
        </w:tc>
        <w:tc>
          <w:tcPr>
            <w:tcW w:w="528" w:type="dxa"/>
            <w:tcBorders>
              <w:top w:val="nil"/>
              <w:left w:val="single" w:sz="4" w:space="0" w:color="548DD4"/>
              <w:bottom w:val="single" w:sz="4" w:space="0" w:color="4F81BD" w:themeColor="accent1"/>
            </w:tcBorders>
            <w:shd w:val="clear" w:color="auto" w:fill="auto"/>
            <w:noWrap/>
            <w:vAlign w:val="center"/>
          </w:tcPr>
          <w:p w:rsidR="00BD7AC3" w:rsidRDefault="00BD7AC3" w:rsidP="00266393">
            <w:pPr>
              <w:jc w:val="center"/>
              <w:rPr>
                <w:rFonts w:cs="Arial"/>
                <w:sz w:val="20"/>
              </w:rPr>
            </w:pPr>
            <w:r>
              <w:rPr>
                <w:rFonts w:cs="Arial"/>
                <w:sz w:val="20"/>
              </w:rPr>
              <w:t>0</w:t>
            </w:r>
          </w:p>
        </w:tc>
        <w:tc>
          <w:tcPr>
            <w:tcW w:w="528" w:type="dxa"/>
            <w:tcBorders>
              <w:top w:val="nil"/>
              <w:bottom w:val="single" w:sz="4" w:space="0" w:color="4F81BD" w:themeColor="accent1"/>
            </w:tcBorders>
            <w:shd w:val="clear" w:color="auto" w:fill="auto"/>
            <w:noWrap/>
            <w:vAlign w:val="center"/>
          </w:tcPr>
          <w:p w:rsidR="00BD7AC3" w:rsidRDefault="00BD7AC3" w:rsidP="00266393">
            <w:pPr>
              <w:jc w:val="center"/>
              <w:rPr>
                <w:rFonts w:cs="Arial"/>
                <w:sz w:val="20"/>
              </w:rPr>
            </w:pPr>
            <w:r>
              <w:rPr>
                <w:rFonts w:cs="Arial"/>
                <w:sz w:val="20"/>
              </w:rPr>
              <w:t>2</w:t>
            </w:r>
          </w:p>
        </w:tc>
        <w:tc>
          <w:tcPr>
            <w:tcW w:w="528" w:type="dxa"/>
            <w:tcBorders>
              <w:top w:val="nil"/>
              <w:bottom w:val="single" w:sz="4" w:space="0" w:color="4F81BD" w:themeColor="accent1"/>
            </w:tcBorders>
            <w:shd w:val="clear" w:color="auto" w:fill="auto"/>
            <w:noWrap/>
            <w:vAlign w:val="center"/>
          </w:tcPr>
          <w:p w:rsidR="00BD7AC3" w:rsidRDefault="00BD7AC3" w:rsidP="00266393">
            <w:pPr>
              <w:jc w:val="center"/>
              <w:rPr>
                <w:rFonts w:cs="Arial"/>
                <w:sz w:val="20"/>
              </w:rPr>
            </w:pPr>
            <w:r>
              <w:rPr>
                <w:rFonts w:cs="Arial"/>
                <w:sz w:val="20"/>
              </w:rPr>
              <w:t>1</w:t>
            </w:r>
          </w:p>
        </w:tc>
        <w:tc>
          <w:tcPr>
            <w:tcW w:w="528" w:type="dxa"/>
            <w:tcBorders>
              <w:top w:val="nil"/>
              <w:bottom w:val="single" w:sz="4" w:space="0" w:color="4F81BD" w:themeColor="accent1"/>
            </w:tcBorders>
            <w:shd w:val="clear" w:color="auto" w:fill="auto"/>
            <w:noWrap/>
            <w:vAlign w:val="center"/>
          </w:tcPr>
          <w:p w:rsidR="00BD7AC3" w:rsidRDefault="00BD7AC3" w:rsidP="00266393">
            <w:pPr>
              <w:jc w:val="center"/>
              <w:rPr>
                <w:rFonts w:cs="Arial"/>
                <w:sz w:val="20"/>
              </w:rPr>
            </w:pPr>
            <w:r>
              <w:rPr>
                <w:rFonts w:cs="Arial"/>
                <w:sz w:val="20"/>
              </w:rPr>
              <w:t>1</w:t>
            </w:r>
          </w:p>
        </w:tc>
        <w:tc>
          <w:tcPr>
            <w:tcW w:w="528" w:type="dxa"/>
            <w:tcBorders>
              <w:top w:val="nil"/>
              <w:bottom w:val="single" w:sz="4" w:space="0" w:color="4F81BD" w:themeColor="accent1"/>
            </w:tcBorders>
            <w:shd w:val="clear" w:color="auto" w:fill="auto"/>
            <w:noWrap/>
            <w:vAlign w:val="center"/>
          </w:tcPr>
          <w:p w:rsidR="00BD7AC3" w:rsidRDefault="00BD7AC3" w:rsidP="00266393">
            <w:pPr>
              <w:jc w:val="center"/>
              <w:rPr>
                <w:rFonts w:cs="Arial"/>
                <w:sz w:val="20"/>
              </w:rPr>
            </w:pPr>
            <w:r>
              <w:rPr>
                <w:rFonts w:cs="Arial"/>
                <w:sz w:val="20"/>
              </w:rPr>
              <w:t>1</w:t>
            </w:r>
          </w:p>
        </w:tc>
        <w:tc>
          <w:tcPr>
            <w:tcW w:w="529" w:type="dxa"/>
            <w:tcBorders>
              <w:top w:val="nil"/>
              <w:bottom w:val="single" w:sz="4" w:space="0" w:color="4F81BD" w:themeColor="accent1"/>
            </w:tcBorders>
            <w:shd w:val="clear" w:color="auto" w:fill="auto"/>
            <w:noWrap/>
            <w:vAlign w:val="center"/>
          </w:tcPr>
          <w:p w:rsidR="00BD7AC3" w:rsidRDefault="00BD7AC3" w:rsidP="00266393">
            <w:pPr>
              <w:jc w:val="center"/>
              <w:rPr>
                <w:rFonts w:cs="Arial"/>
                <w:sz w:val="20"/>
              </w:rPr>
            </w:pPr>
            <w:r>
              <w:rPr>
                <w:rFonts w:cs="Arial"/>
                <w:sz w:val="20"/>
              </w:rPr>
              <w:t>0</w:t>
            </w:r>
          </w:p>
        </w:tc>
        <w:tc>
          <w:tcPr>
            <w:tcW w:w="528" w:type="dxa"/>
            <w:tcBorders>
              <w:top w:val="nil"/>
              <w:bottom w:val="single" w:sz="4" w:space="0" w:color="4F81BD" w:themeColor="accent1"/>
            </w:tcBorders>
            <w:shd w:val="clear" w:color="auto" w:fill="auto"/>
            <w:noWrap/>
            <w:vAlign w:val="center"/>
          </w:tcPr>
          <w:p w:rsidR="00BD7AC3" w:rsidRDefault="00BD7AC3" w:rsidP="00266393">
            <w:pPr>
              <w:jc w:val="center"/>
              <w:rPr>
                <w:rFonts w:cs="Arial"/>
                <w:sz w:val="20"/>
              </w:rPr>
            </w:pPr>
            <w:r>
              <w:rPr>
                <w:rFonts w:cs="Arial"/>
                <w:sz w:val="20"/>
              </w:rPr>
              <w:t>0</w:t>
            </w:r>
          </w:p>
        </w:tc>
        <w:tc>
          <w:tcPr>
            <w:tcW w:w="528" w:type="dxa"/>
            <w:tcBorders>
              <w:top w:val="nil"/>
              <w:bottom w:val="single" w:sz="4" w:space="0" w:color="4F81BD" w:themeColor="accent1"/>
            </w:tcBorders>
            <w:shd w:val="clear" w:color="auto" w:fill="auto"/>
            <w:noWrap/>
            <w:vAlign w:val="center"/>
          </w:tcPr>
          <w:p w:rsidR="00BD7AC3" w:rsidRDefault="00BD7AC3" w:rsidP="00266393">
            <w:pPr>
              <w:jc w:val="center"/>
              <w:rPr>
                <w:rFonts w:cs="Arial"/>
                <w:sz w:val="20"/>
              </w:rPr>
            </w:pPr>
            <w:r>
              <w:rPr>
                <w:rFonts w:cs="Arial"/>
                <w:sz w:val="20"/>
              </w:rPr>
              <w:t>1</w:t>
            </w:r>
          </w:p>
        </w:tc>
        <w:tc>
          <w:tcPr>
            <w:tcW w:w="528" w:type="dxa"/>
            <w:tcBorders>
              <w:top w:val="nil"/>
              <w:bottom w:val="single" w:sz="4" w:space="0" w:color="4F81BD" w:themeColor="accent1"/>
            </w:tcBorders>
            <w:shd w:val="clear" w:color="auto" w:fill="auto"/>
            <w:noWrap/>
            <w:vAlign w:val="center"/>
          </w:tcPr>
          <w:p w:rsidR="00BD7AC3" w:rsidRDefault="00BD7AC3" w:rsidP="00266393">
            <w:pPr>
              <w:jc w:val="center"/>
              <w:rPr>
                <w:rFonts w:cs="Arial"/>
                <w:sz w:val="20"/>
              </w:rPr>
            </w:pPr>
            <w:r>
              <w:rPr>
                <w:rFonts w:cs="Arial"/>
                <w:sz w:val="20"/>
              </w:rPr>
              <w:t>2</w:t>
            </w:r>
          </w:p>
        </w:tc>
        <w:tc>
          <w:tcPr>
            <w:tcW w:w="528" w:type="dxa"/>
            <w:tcBorders>
              <w:top w:val="nil"/>
              <w:bottom w:val="single" w:sz="4" w:space="0" w:color="4F81BD" w:themeColor="accent1"/>
            </w:tcBorders>
            <w:shd w:val="clear" w:color="auto" w:fill="auto"/>
            <w:noWrap/>
            <w:vAlign w:val="center"/>
          </w:tcPr>
          <w:p w:rsidR="00BD7AC3" w:rsidRDefault="00BD7AC3" w:rsidP="00266393">
            <w:pPr>
              <w:jc w:val="center"/>
              <w:rPr>
                <w:rFonts w:cs="Arial"/>
                <w:sz w:val="20"/>
              </w:rPr>
            </w:pPr>
            <w:r>
              <w:rPr>
                <w:rFonts w:cs="Arial"/>
                <w:sz w:val="20"/>
              </w:rPr>
              <w:t>0</w:t>
            </w:r>
          </w:p>
        </w:tc>
        <w:tc>
          <w:tcPr>
            <w:tcW w:w="528" w:type="dxa"/>
            <w:tcBorders>
              <w:top w:val="nil"/>
              <w:bottom w:val="single" w:sz="4" w:space="0" w:color="4F81BD" w:themeColor="accent1"/>
            </w:tcBorders>
            <w:shd w:val="clear" w:color="auto" w:fill="auto"/>
            <w:noWrap/>
            <w:vAlign w:val="center"/>
          </w:tcPr>
          <w:p w:rsidR="00BD7AC3" w:rsidRDefault="00BD7AC3" w:rsidP="00266393">
            <w:pPr>
              <w:jc w:val="center"/>
              <w:rPr>
                <w:rFonts w:cs="Arial"/>
                <w:sz w:val="20"/>
              </w:rPr>
            </w:pPr>
            <w:r>
              <w:rPr>
                <w:rFonts w:cs="Arial"/>
                <w:sz w:val="20"/>
              </w:rPr>
              <w:t>0</w:t>
            </w:r>
          </w:p>
        </w:tc>
        <w:tc>
          <w:tcPr>
            <w:tcW w:w="529" w:type="dxa"/>
            <w:tcBorders>
              <w:top w:val="nil"/>
              <w:bottom w:val="single" w:sz="4" w:space="0" w:color="4F81BD" w:themeColor="accent1"/>
              <w:right w:val="single" w:sz="4" w:space="0" w:color="548DD4"/>
            </w:tcBorders>
            <w:shd w:val="clear" w:color="auto" w:fill="auto"/>
            <w:noWrap/>
            <w:vAlign w:val="center"/>
          </w:tcPr>
          <w:p w:rsidR="00BD7AC3" w:rsidRDefault="00BD7AC3" w:rsidP="00266393">
            <w:pPr>
              <w:jc w:val="center"/>
              <w:rPr>
                <w:rFonts w:cs="Arial"/>
                <w:sz w:val="20"/>
              </w:rPr>
            </w:pPr>
            <w:r>
              <w:rPr>
                <w:rFonts w:cs="Arial"/>
                <w:sz w:val="20"/>
              </w:rPr>
              <w:t>0</w:t>
            </w:r>
          </w:p>
        </w:tc>
        <w:tc>
          <w:tcPr>
            <w:tcW w:w="630" w:type="dxa"/>
            <w:tcBorders>
              <w:top w:val="nil"/>
              <w:left w:val="single" w:sz="4" w:space="0" w:color="548DD4"/>
              <w:bottom w:val="single" w:sz="4" w:space="0" w:color="4F81BD" w:themeColor="accent1"/>
              <w:right w:val="single" w:sz="4" w:space="0" w:color="548DD4"/>
            </w:tcBorders>
            <w:shd w:val="clear" w:color="auto" w:fill="auto"/>
            <w:vAlign w:val="center"/>
          </w:tcPr>
          <w:p w:rsidR="00BD7AC3" w:rsidRDefault="00BD7AC3" w:rsidP="00266393">
            <w:pPr>
              <w:jc w:val="center"/>
              <w:rPr>
                <w:rFonts w:cs="Arial"/>
                <w:sz w:val="20"/>
              </w:rPr>
            </w:pPr>
            <w:r>
              <w:rPr>
                <w:rFonts w:cs="Arial"/>
                <w:sz w:val="20"/>
              </w:rPr>
              <w:t>8</w:t>
            </w:r>
          </w:p>
        </w:tc>
        <w:tc>
          <w:tcPr>
            <w:tcW w:w="720" w:type="dxa"/>
            <w:tcBorders>
              <w:top w:val="nil"/>
              <w:left w:val="single" w:sz="4" w:space="0" w:color="548DD4"/>
              <w:bottom w:val="single" w:sz="4" w:space="0" w:color="4F81BD" w:themeColor="accent1"/>
              <w:right w:val="single" w:sz="4" w:space="0" w:color="548DD4"/>
            </w:tcBorders>
            <w:shd w:val="clear" w:color="auto" w:fill="auto"/>
            <w:vAlign w:val="center"/>
          </w:tcPr>
          <w:p w:rsidR="00BD7AC3" w:rsidRDefault="00BD7AC3" w:rsidP="00266393">
            <w:pPr>
              <w:jc w:val="center"/>
              <w:rPr>
                <w:rFonts w:cs="Arial"/>
                <w:sz w:val="20"/>
              </w:rPr>
            </w:pPr>
            <w:r>
              <w:rPr>
                <w:rFonts w:cs="Arial"/>
                <w:sz w:val="20"/>
              </w:rPr>
              <w:t>1</w:t>
            </w:r>
          </w:p>
        </w:tc>
      </w:tr>
      <w:tr w:rsidR="00BD7AC3" w:rsidRPr="00936EB1" w:rsidTr="00BD7AC3">
        <w:trPr>
          <w:trHeight w:val="304"/>
          <w:jc w:val="center"/>
        </w:trPr>
        <w:tc>
          <w:tcPr>
            <w:tcW w:w="2321" w:type="dxa"/>
            <w:tcBorders>
              <w:top w:val="single" w:sz="4" w:space="0" w:color="4F81BD" w:themeColor="accent1"/>
              <w:left w:val="single" w:sz="4" w:space="0" w:color="548DD4"/>
              <w:bottom w:val="single" w:sz="4" w:space="0" w:color="548DD4"/>
              <w:right w:val="single" w:sz="4" w:space="0" w:color="548DD4"/>
            </w:tcBorders>
            <w:shd w:val="clear" w:color="auto" w:fill="C6D9F1"/>
            <w:noWrap/>
            <w:vAlign w:val="center"/>
          </w:tcPr>
          <w:p w:rsidR="00BD7AC3" w:rsidRPr="00D02C01" w:rsidRDefault="00BD7AC3" w:rsidP="00266393">
            <w:pPr>
              <w:rPr>
                <w:rFonts w:cs="Arial"/>
                <w:b/>
                <w:bCs/>
                <w:color w:val="1F497D"/>
                <w:sz w:val="20"/>
              </w:rPr>
            </w:pPr>
            <w:r w:rsidRPr="00D02C01">
              <w:rPr>
                <w:rFonts w:cs="Arial"/>
                <w:b/>
                <w:bCs/>
                <w:color w:val="1F497D"/>
                <w:sz w:val="20"/>
              </w:rPr>
              <w:t>Total</w:t>
            </w:r>
          </w:p>
        </w:tc>
        <w:tc>
          <w:tcPr>
            <w:tcW w:w="528" w:type="dxa"/>
            <w:tcBorders>
              <w:top w:val="single" w:sz="4" w:space="0" w:color="4F81BD" w:themeColor="accent1"/>
              <w:left w:val="single" w:sz="4" w:space="0" w:color="548DD4"/>
              <w:bottom w:val="single" w:sz="4" w:space="0" w:color="548DD4"/>
            </w:tcBorders>
            <w:shd w:val="clear" w:color="auto" w:fill="C6D9F1"/>
            <w:noWrap/>
            <w:vAlign w:val="center"/>
          </w:tcPr>
          <w:p w:rsidR="00BD7AC3" w:rsidRDefault="00BD7AC3" w:rsidP="00266393">
            <w:pPr>
              <w:jc w:val="center"/>
              <w:rPr>
                <w:rFonts w:cs="Arial"/>
                <w:b/>
                <w:bCs/>
                <w:color w:val="000000"/>
                <w:sz w:val="20"/>
              </w:rPr>
            </w:pPr>
            <w:r>
              <w:rPr>
                <w:rFonts w:cs="Arial"/>
                <w:b/>
                <w:bCs/>
                <w:color w:val="000000"/>
                <w:sz w:val="20"/>
              </w:rPr>
              <w:t>205</w:t>
            </w:r>
          </w:p>
        </w:tc>
        <w:tc>
          <w:tcPr>
            <w:tcW w:w="528" w:type="dxa"/>
            <w:tcBorders>
              <w:top w:val="single" w:sz="4" w:space="0" w:color="4F81BD" w:themeColor="accent1"/>
              <w:bottom w:val="single" w:sz="4" w:space="0" w:color="548DD4"/>
            </w:tcBorders>
            <w:shd w:val="clear" w:color="auto" w:fill="C6D9F1"/>
            <w:noWrap/>
            <w:vAlign w:val="center"/>
          </w:tcPr>
          <w:p w:rsidR="00BD7AC3" w:rsidRDefault="00BD7AC3" w:rsidP="00266393">
            <w:pPr>
              <w:jc w:val="center"/>
              <w:rPr>
                <w:rFonts w:cs="Arial"/>
                <w:b/>
                <w:bCs/>
                <w:color w:val="000000"/>
                <w:sz w:val="20"/>
              </w:rPr>
            </w:pPr>
            <w:r>
              <w:rPr>
                <w:rFonts w:cs="Arial"/>
                <w:b/>
                <w:bCs/>
                <w:color w:val="000000"/>
                <w:sz w:val="20"/>
              </w:rPr>
              <w:t>165</w:t>
            </w:r>
          </w:p>
        </w:tc>
        <w:tc>
          <w:tcPr>
            <w:tcW w:w="528" w:type="dxa"/>
            <w:tcBorders>
              <w:top w:val="single" w:sz="4" w:space="0" w:color="4F81BD" w:themeColor="accent1"/>
              <w:bottom w:val="single" w:sz="4" w:space="0" w:color="548DD4"/>
            </w:tcBorders>
            <w:shd w:val="clear" w:color="auto" w:fill="C6D9F1"/>
            <w:noWrap/>
            <w:vAlign w:val="center"/>
          </w:tcPr>
          <w:p w:rsidR="00BD7AC3" w:rsidRDefault="00BD7AC3" w:rsidP="00266393">
            <w:pPr>
              <w:jc w:val="center"/>
              <w:rPr>
                <w:rFonts w:cs="Arial"/>
                <w:b/>
                <w:bCs/>
                <w:color w:val="000000"/>
                <w:sz w:val="20"/>
              </w:rPr>
            </w:pPr>
            <w:r>
              <w:rPr>
                <w:rFonts w:cs="Arial"/>
                <w:b/>
                <w:bCs/>
                <w:color w:val="000000"/>
                <w:sz w:val="20"/>
              </w:rPr>
              <w:t>186</w:t>
            </w:r>
          </w:p>
        </w:tc>
        <w:tc>
          <w:tcPr>
            <w:tcW w:w="528" w:type="dxa"/>
            <w:tcBorders>
              <w:top w:val="single" w:sz="4" w:space="0" w:color="4F81BD" w:themeColor="accent1"/>
              <w:bottom w:val="single" w:sz="4" w:space="0" w:color="548DD4"/>
            </w:tcBorders>
            <w:shd w:val="clear" w:color="auto" w:fill="C6D9F1"/>
            <w:noWrap/>
            <w:vAlign w:val="center"/>
          </w:tcPr>
          <w:p w:rsidR="00BD7AC3" w:rsidRDefault="00BD7AC3" w:rsidP="00266393">
            <w:pPr>
              <w:jc w:val="center"/>
              <w:rPr>
                <w:rFonts w:cs="Arial"/>
                <w:b/>
                <w:bCs/>
                <w:color w:val="000000"/>
                <w:sz w:val="20"/>
              </w:rPr>
            </w:pPr>
            <w:r>
              <w:rPr>
                <w:rFonts w:cs="Arial"/>
                <w:b/>
                <w:bCs/>
                <w:color w:val="000000"/>
                <w:sz w:val="20"/>
              </w:rPr>
              <w:t>182</w:t>
            </w:r>
          </w:p>
        </w:tc>
        <w:tc>
          <w:tcPr>
            <w:tcW w:w="528" w:type="dxa"/>
            <w:tcBorders>
              <w:top w:val="single" w:sz="4" w:space="0" w:color="4F81BD" w:themeColor="accent1"/>
              <w:bottom w:val="single" w:sz="4" w:space="0" w:color="548DD4"/>
            </w:tcBorders>
            <w:shd w:val="clear" w:color="auto" w:fill="C6D9F1"/>
            <w:noWrap/>
            <w:vAlign w:val="center"/>
          </w:tcPr>
          <w:p w:rsidR="00BD7AC3" w:rsidRDefault="00BD7AC3" w:rsidP="00266393">
            <w:pPr>
              <w:jc w:val="center"/>
              <w:rPr>
                <w:rFonts w:cs="Arial"/>
                <w:b/>
                <w:bCs/>
                <w:color w:val="000000"/>
                <w:sz w:val="20"/>
              </w:rPr>
            </w:pPr>
            <w:r>
              <w:rPr>
                <w:rFonts w:cs="Arial"/>
                <w:b/>
                <w:bCs/>
                <w:color w:val="000000"/>
                <w:sz w:val="20"/>
              </w:rPr>
              <w:t>183</w:t>
            </w:r>
          </w:p>
        </w:tc>
        <w:tc>
          <w:tcPr>
            <w:tcW w:w="529" w:type="dxa"/>
            <w:tcBorders>
              <w:top w:val="single" w:sz="4" w:space="0" w:color="4F81BD" w:themeColor="accent1"/>
              <w:bottom w:val="single" w:sz="4" w:space="0" w:color="548DD4"/>
            </w:tcBorders>
            <w:shd w:val="clear" w:color="auto" w:fill="C6D9F1"/>
            <w:noWrap/>
            <w:vAlign w:val="center"/>
          </w:tcPr>
          <w:p w:rsidR="00BD7AC3" w:rsidRDefault="00BD7AC3" w:rsidP="00266393">
            <w:pPr>
              <w:jc w:val="center"/>
              <w:rPr>
                <w:rFonts w:cs="Arial"/>
                <w:b/>
                <w:bCs/>
                <w:color w:val="000000"/>
                <w:sz w:val="20"/>
              </w:rPr>
            </w:pPr>
            <w:r>
              <w:rPr>
                <w:rFonts w:cs="Arial"/>
                <w:b/>
                <w:bCs/>
                <w:color w:val="000000"/>
                <w:sz w:val="20"/>
              </w:rPr>
              <w:t>218</w:t>
            </w:r>
          </w:p>
        </w:tc>
        <w:tc>
          <w:tcPr>
            <w:tcW w:w="528" w:type="dxa"/>
            <w:tcBorders>
              <w:top w:val="single" w:sz="4" w:space="0" w:color="4F81BD" w:themeColor="accent1"/>
              <w:bottom w:val="single" w:sz="4" w:space="0" w:color="548DD4"/>
            </w:tcBorders>
            <w:shd w:val="clear" w:color="auto" w:fill="C6D9F1"/>
            <w:noWrap/>
            <w:vAlign w:val="center"/>
          </w:tcPr>
          <w:p w:rsidR="00BD7AC3" w:rsidRDefault="00BD7AC3" w:rsidP="00266393">
            <w:pPr>
              <w:jc w:val="center"/>
              <w:rPr>
                <w:rFonts w:cs="Arial"/>
                <w:b/>
                <w:bCs/>
                <w:color w:val="000000"/>
                <w:sz w:val="20"/>
              </w:rPr>
            </w:pPr>
            <w:r>
              <w:rPr>
                <w:rFonts w:cs="Arial"/>
                <w:b/>
                <w:bCs/>
                <w:color w:val="000000"/>
                <w:sz w:val="20"/>
              </w:rPr>
              <w:t>185</w:t>
            </w:r>
          </w:p>
        </w:tc>
        <w:tc>
          <w:tcPr>
            <w:tcW w:w="528" w:type="dxa"/>
            <w:tcBorders>
              <w:top w:val="single" w:sz="4" w:space="0" w:color="4F81BD" w:themeColor="accent1"/>
              <w:bottom w:val="single" w:sz="4" w:space="0" w:color="548DD4"/>
            </w:tcBorders>
            <w:shd w:val="clear" w:color="auto" w:fill="C6D9F1"/>
            <w:noWrap/>
            <w:vAlign w:val="center"/>
          </w:tcPr>
          <w:p w:rsidR="00BD7AC3" w:rsidRDefault="00BD7AC3" w:rsidP="00266393">
            <w:pPr>
              <w:jc w:val="center"/>
              <w:rPr>
                <w:rFonts w:cs="Arial"/>
                <w:b/>
                <w:bCs/>
                <w:color w:val="000000"/>
                <w:sz w:val="20"/>
              </w:rPr>
            </w:pPr>
            <w:r>
              <w:rPr>
                <w:rFonts w:cs="Arial"/>
                <w:b/>
                <w:bCs/>
                <w:color w:val="000000"/>
                <w:sz w:val="20"/>
              </w:rPr>
              <w:t>283</w:t>
            </w:r>
          </w:p>
        </w:tc>
        <w:tc>
          <w:tcPr>
            <w:tcW w:w="528" w:type="dxa"/>
            <w:tcBorders>
              <w:top w:val="single" w:sz="4" w:space="0" w:color="4F81BD" w:themeColor="accent1"/>
              <w:bottom w:val="single" w:sz="4" w:space="0" w:color="548DD4"/>
            </w:tcBorders>
            <w:shd w:val="clear" w:color="auto" w:fill="C6D9F1"/>
            <w:noWrap/>
            <w:vAlign w:val="center"/>
          </w:tcPr>
          <w:p w:rsidR="00BD7AC3" w:rsidRDefault="00BD7AC3" w:rsidP="00266393">
            <w:pPr>
              <w:jc w:val="center"/>
              <w:rPr>
                <w:rFonts w:cs="Arial"/>
                <w:b/>
                <w:bCs/>
                <w:color w:val="000000"/>
                <w:sz w:val="20"/>
              </w:rPr>
            </w:pPr>
            <w:r>
              <w:rPr>
                <w:rFonts w:cs="Arial"/>
                <w:b/>
                <w:bCs/>
                <w:color w:val="000000"/>
                <w:sz w:val="20"/>
              </w:rPr>
              <w:t>542</w:t>
            </w:r>
          </w:p>
        </w:tc>
        <w:tc>
          <w:tcPr>
            <w:tcW w:w="528" w:type="dxa"/>
            <w:tcBorders>
              <w:top w:val="single" w:sz="4" w:space="0" w:color="4F81BD" w:themeColor="accent1"/>
              <w:bottom w:val="single" w:sz="4" w:space="0" w:color="548DD4"/>
            </w:tcBorders>
            <w:shd w:val="clear" w:color="auto" w:fill="C6D9F1"/>
            <w:noWrap/>
            <w:vAlign w:val="center"/>
          </w:tcPr>
          <w:p w:rsidR="00BD7AC3" w:rsidRDefault="00BD7AC3" w:rsidP="00266393">
            <w:pPr>
              <w:jc w:val="center"/>
              <w:rPr>
                <w:rFonts w:cs="Arial"/>
                <w:b/>
                <w:bCs/>
                <w:color w:val="000000"/>
                <w:sz w:val="20"/>
              </w:rPr>
            </w:pPr>
            <w:r>
              <w:rPr>
                <w:rFonts w:cs="Arial"/>
                <w:b/>
                <w:bCs/>
                <w:color w:val="000000"/>
                <w:sz w:val="20"/>
              </w:rPr>
              <w:t>542</w:t>
            </w:r>
          </w:p>
        </w:tc>
        <w:tc>
          <w:tcPr>
            <w:tcW w:w="528" w:type="dxa"/>
            <w:tcBorders>
              <w:top w:val="single" w:sz="4" w:space="0" w:color="4F81BD" w:themeColor="accent1"/>
              <w:bottom w:val="single" w:sz="4" w:space="0" w:color="548DD4"/>
            </w:tcBorders>
            <w:shd w:val="clear" w:color="auto" w:fill="C6D9F1"/>
            <w:noWrap/>
            <w:vAlign w:val="center"/>
          </w:tcPr>
          <w:p w:rsidR="00BD7AC3" w:rsidRDefault="00BD7AC3" w:rsidP="00266393">
            <w:pPr>
              <w:jc w:val="center"/>
              <w:rPr>
                <w:rFonts w:cs="Arial"/>
                <w:b/>
                <w:bCs/>
                <w:color w:val="000000"/>
                <w:sz w:val="20"/>
              </w:rPr>
            </w:pPr>
            <w:r>
              <w:rPr>
                <w:rFonts w:cs="Arial"/>
                <w:b/>
                <w:bCs/>
                <w:color w:val="000000"/>
                <w:sz w:val="20"/>
              </w:rPr>
              <w:t>469</w:t>
            </w:r>
          </w:p>
        </w:tc>
        <w:tc>
          <w:tcPr>
            <w:tcW w:w="529" w:type="dxa"/>
            <w:tcBorders>
              <w:top w:val="single" w:sz="4" w:space="0" w:color="4F81BD" w:themeColor="accent1"/>
              <w:bottom w:val="single" w:sz="4" w:space="0" w:color="548DD4"/>
              <w:right w:val="single" w:sz="4" w:space="0" w:color="548DD4"/>
            </w:tcBorders>
            <w:shd w:val="clear" w:color="auto" w:fill="C6D9F1"/>
            <w:noWrap/>
            <w:vAlign w:val="center"/>
          </w:tcPr>
          <w:p w:rsidR="00BD7AC3" w:rsidRDefault="00BD7AC3" w:rsidP="00266393">
            <w:pPr>
              <w:jc w:val="center"/>
              <w:rPr>
                <w:rFonts w:cs="Arial"/>
                <w:b/>
                <w:bCs/>
                <w:color w:val="000000"/>
                <w:sz w:val="20"/>
              </w:rPr>
            </w:pPr>
            <w:r>
              <w:rPr>
                <w:rFonts w:cs="Arial"/>
                <w:b/>
                <w:bCs/>
                <w:color w:val="000000"/>
                <w:sz w:val="20"/>
              </w:rPr>
              <w:t>481</w:t>
            </w:r>
          </w:p>
        </w:tc>
        <w:tc>
          <w:tcPr>
            <w:tcW w:w="630" w:type="dxa"/>
            <w:tcBorders>
              <w:top w:val="single" w:sz="4" w:space="0" w:color="4F81BD" w:themeColor="accent1"/>
              <w:left w:val="single" w:sz="4" w:space="0" w:color="548DD4"/>
              <w:bottom w:val="single" w:sz="4" w:space="0" w:color="548DD4"/>
              <w:right w:val="single" w:sz="4" w:space="0" w:color="548DD4"/>
            </w:tcBorders>
            <w:shd w:val="clear" w:color="auto" w:fill="C6D9F1"/>
            <w:vAlign w:val="center"/>
          </w:tcPr>
          <w:p w:rsidR="00BD7AC3" w:rsidRDefault="00BD7AC3" w:rsidP="00266393">
            <w:pPr>
              <w:jc w:val="center"/>
              <w:rPr>
                <w:rFonts w:cs="Arial"/>
                <w:b/>
                <w:bCs/>
                <w:color w:val="000000"/>
                <w:sz w:val="20"/>
              </w:rPr>
            </w:pPr>
            <w:r>
              <w:rPr>
                <w:rFonts w:cs="Arial"/>
                <w:b/>
                <w:bCs/>
                <w:color w:val="000000"/>
                <w:sz w:val="20"/>
              </w:rPr>
              <w:t>3641</w:t>
            </w:r>
          </w:p>
        </w:tc>
        <w:tc>
          <w:tcPr>
            <w:tcW w:w="720" w:type="dxa"/>
            <w:tcBorders>
              <w:top w:val="single" w:sz="4" w:space="0" w:color="4F81BD" w:themeColor="accent1"/>
              <w:left w:val="single" w:sz="4" w:space="0" w:color="548DD4"/>
              <w:bottom w:val="single" w:sz="4" w:space="0" w:color="548DD4"/>
              <w:right w:val="single" w:sz="4" w:space="0" w:color="548DD4"/>
            </w:tcBorders>
            <w:shd w:val="clear" w:color="auto" w:fill="C6D9F1"/>
            <w:vAlign w:val="center"/>
          </w:tcPr>
          <w:p w:rsidR="00BD7AC3" w:rsidRDefault="00BD7AC3" w:rsidP="00266393">
            <w:pPr>
              <w:jc w:val="center"/>
              <w:rPr>
                <w:rFonts w:cs="Arial"/>
                <w:b/>
                <w:bCs/>
                <w:color w:val="000000"/>
                <w:sz w:val="20"/>
              </w:rPr>
            </w:pPr>
            <w:r>
              <w:rPr>
                <w:rFonts w:cs="Arial"/>
                <w:b/>
                <w:bCs/>
                <w:color w:val="000000"/>
                <w:sz w:val="20"/>
              </w:rPr>
              <w:t>303</w:t>
            </w:r>
          </w:p>
        </w:tc>
      </w:tr>
    </w:tbl>
    <w:p w:rsidR="00412299" w:rsidRDefault="000B7638" w:rsidP="000B7638">
      <w:pPr>
        <w:pStyle w:val="KeyFindings"/>
      </w:pPr>
      <w:r>
        <w:t>The total number of leave episodes (</w:t>
      </w:r>
      <w:r w:rsidRPr="0058517D">
        <w:t>3,641</w:t>
      </w:r>
      <w:r>
        <w:t>) in</w:t>
      </w:r>
      <w:r w:rsidRPr="0058517D">
        <w:t xml:space="preserve"> FY14</w:t>
      </w:r>
      <w:r>
        <w:t xml:space="preserve"> is a 77% increase from a total of 1</w:t>
      </w:r>
      <w:r w:rsidR="00F709E6">
        <w:t>,</w:t>
      </w:r>
      <w:r>
        <w:t>585</w:t>
      </w:r>
      <w:r w:rsidRPr="0058517D">
        <w:t xml:space="preserve"> </w:t>
      </w:r>
      <w:r>
        <w:t>(four per day)</w:t>
      </w:r>
      <w:r w:rsidRPr="0058517D">
        <w:t xml:space="preserve"> </w:t>
      </w:r>
      <w:r>
        <w:t xml:space="preserve">in FY13.  This increase is attributed </w:t>
      </w:r>
      <w:r w:rsidR="009F5C58">
        <w:t xml:space="preserve">primarily </w:t>
      </w:r>
      <w:r>
        <w:t xml:space="preserve">to a significant increase </w:t>
      </w:r>
      <w:r w:rsidR="0078536F">
        <w:t xml:space="preserve">in </w:t>
      </w:r>
      <w:r w:rsidR="004779E0">
        <w:t>document</w:t>
      </w:r>
      <w:r w:rsidR="0078536F">
        <w:t>ation of leaves</w:t>
      </w:r>
      <w:r>
        <w:t xml:space="preserve"> for ‘therapeutic community activit</w:t>
      </w:r>
      <w:r w:rsidR="00687DC5">
        <w:t>y</w:t>
      </w:r>
      <w:r>
        <w:t>’</w:t>
      </w:r>
      <w:r w:rsidR="00687DC5">
        <w:t>, which indicates an individual’s temporary absence</w:t>
      </w:r>
      <w:r w:rsidR="00F709E6">
        <w:t xml:space="preserve"> from</w:t>
      </w:r>
      <w:r w:rsidR="00687DC5">
        <w:t xml:space="preserve"> the facility while participating in a day program</w:t>
      </w:r>
      <w:r w:rsidR="004779E0">
        <w:t xml:space="preserve"> </w:t>
      </w:r>
      <w:r w:rsidR="00F709E6">
        <w:t xml:space="preserve">or outing </w:t>
      </w:r>
      <w:r w:rsidR="00687DC5">
        <w:t>in the community.</w:t>
      </w:r>
      <w:r w:rsidR="004779E0">
        <w:t xml:space="preserve"> </w:t>
      </w:r>
      <w:r w:rsidR="00687DC5">
        <w:t xml:space="preserve">Previously, </w:t>
      </w:r>
      <w:r w:rsidR="00E23EFF">
        <w:t>such an absence</w:t>
      </w:r>
      <w:r w:rsidR="00687DC5">
        <w:t xml:space="preserve"> w</w:t>
      </w:r>
      <w:r w:rsidR="00E23EFF">
        <w:t>as</w:t>
      </w:r>
      <w:r w:rsidR="00687DC5">
        <w:t xml:space="preserve"> treated just as participation </w:t>
      </w:r>
      <w:r w:rsidR="00FE1579">
        <w:t>in</w:t>
      </w:r>
      <w:r w:rsidR="00687DC5">
        <w:t xml:space="preserve"> </w:t>
      </w:r>
      <w:r w:rsidR="00E23EFF">
        <w:t xml:space="preserve">a </w:t>
      </w:r>
      <w:r w:rsidR="00687DC5">
        <w:t xml:space="preserve">routine treatment program and not documented as </w:t>
      </w:r>
      <w:r w:rsidR="00E23EFF">
        <w:t xml:space="preserve">a </w:t>
      </w:r>
      <w:r w:rsidR="00687DC5">
        <w:t xml:space="preserve">leave episode.  </w:t>
      </w:r>
      <w:r w:rsidR="003B2AF9">
        <w:t xml:space="preserve">But the Hospital </w:t>
      </w:r>
      <w:r w:rsidR="00E23EFF">
        <w:t xml:space="preserve">began to </w:t>
      </w:r>
      <w:r w:rsidR="003B2AF9">
        <w:t>acknowledge</w:t>
      </w:r>
      <w:r w:rsidR="00E23EFF">
        <w:t xml:space="preserve"> </w:t>
      </w:r>
      <w:r w:rsidR="003B2AF9">
        <w:t>the</w:t>
      </w:r>
      <w:r w:rsidR="00E23EFF">
        <w:t xml:space="preserve"> importance of </w:t>
      </w:r>
      <w:r w:rsidR="003B2AF9">
        <w:t>track</w:t>
      </w:r>
      <w:r w:rsidR="00E23EFF">
        <w:t>ing</w:t>
      </w:r>
      <w:r w:rsidR="003B2AF9">
        <w:t xml:space="preserve"> </w:t>
      </w:r>
      <w:r w:rsidR="006C6BEF">
        <w:t>t</w:t>
      </w:r>
      <w:r w:rsidR="00F709E6">
        <w:t xml:space="preserve">he </w:t>
      </w:r>
      <w:r w:rsidR="003B2AF9">
        <w:t xml:space="preserve">whereabouts of each individual </w:t>
      </w:r>
      <w:r w:rsidR="00E23EFF">
        <w:t xml:space="preserve">accurately </w:t>
      </w:r>
      <w:r w:rsidR="006C6BEF">
        <w:t xml:space="preserve">at each point in time, so </w:t>
      </w:r>
      <w:r w:rsidR="003B2AF9">
        <w:t>t</w:t>
      </w:r>
      <w:r w:rsidR="004779E0">
        <w:t xml:space="preserve">his was added to </w:t>
      </w:r>
      <w:r w:rsidR="003B2AF9">
        <w:t>the type</w:t>
      </w:r>
      <w:r w:rsidR="006C6BEF">
        <w:t>s</w:t>
      </w:r>
      <w:r w:rsidR="003B2AF9">
        <w:t xml:space="preserve"> of leave in </w:t>
      </w:r>
      <w:r w:rsidR="004779E0">
        <w:t>the e</w:t>
      </w:r>
      <w:r w:rsidR="00687DC5">
        <w:t xml:space="preserve">lectronic medical record system in </w:t>
      </w:r>
      <w:r w:rsidR="008528CB" w:rsidRPr="00687DC5">
        <w:t>July 2013</w:t>
      </w:r>
      <w:r w:rsidR="003B2AF9">
        <w:t xml:space="preserve">.  </w:t>
      </w:r>
      <w:r w:rsidR="00CF6F54">
        <w:t xml:space="preserve">But, consistent documentation was not enforced until a year later, and a </w:t>
      </w:r>
      <w:r w:rsidR="0078536F">
        <w:t>dramatic</w:t>
      </w:r>
      <w:r w:rsidR="00CF6F54">
        <w:t xml:space="preserve"> increase in the number of leaves in this category </w:t>
      </w:r>
      <w:r w:rsidR="00E23EFF">
        <w:t>as of</w:t>
      </w:r>
      <w:r w:rsidR="00CF6F54">
        <w:t xml:space="preserve"> June 2014 reflects </w:t>
      </w:r>
      <w:r w:rsidR="004B511F">
        <w:t>this change</w:t>
      </w:r>
      <w:r w:rsidR="00412299">
        <w:t xml:space="preserve">. </w:t>
      </w:r>
    </w:p>
    <w:p w:rsidR="00DB4206" w:rsidRPr="00EE4C2A" w:rsidRDefault="00DB4206" w:rsidP="00CA3A64">
      <w:pPr>
        <w:pStyle w:val="KeyFindings"/>
        <w:keepNext/>
        <w:numPr>
          <w:ilvl w:val="0"/>
          <w:numId w:val="0"/>
        </w:numPr>
        <w:rPr>
          <w:rStyle w:val="FigureChar"/>
        </w:rPr>
      </w:pPr>
      <w:bookmarkStart w:id="86" w:name="_Toc416357895"/>
      <w:r w:rsidRPr="00E269E2">
        <w:rPr>
          <w:rStyle w:val="FigureChar"/>
        </w:rPr>
        <w:t xml:space="preserve">Figure </w:t>
      </w:r>
      <w:r>
        <w:rPr>
          <w:rStyle w:val="FigureChar"/>
        </w:rPr>
        <w:fldChar w:fldCharType="begin"/>
      </w:r>
      <w:r>
        <w:rPr>
          <w:rStyle w:val="FigureChar"/>
        </w:rPr>
        <w:instrText xml:space="preserve"> SEQ Figure \* ARABIC </w:instrText>
      </w:r>
      <w:r>
        <w:rPr>
          <w:rStyle w:val="FigureChar"/>
        </w:rPr>
        <w:fldChar w:fldCharType="separate"/>
      </w:r>
      <w:r w:rsidR="007E3DB6">
        <w:rPr>
          <w:rStyle w:val="FigureChar"/>
          <w:noProof/>
        </w:rPr>
        <w:t>10</w:t>
      </w:r>
      <w:r>
        <w:rPr>
          <w:rStyle w:val="FigureChar"/>
        </w:rPr>
        <w:fldChar w:fldCharType="end"/>
      </w:r>
      <w:r w:rsidRPr="00E269E2">
        <w:rPr>
          <w:rStyle w:val="FigureChar"/>
        </w:rPr>
        <w:t xml:space="preserve">. </w:t>
      </w:r>
      <w:r>
        <w:rPr>
          <w:rStyle w:val="FigureChar"/>
        </w:rPr>
        <w:t>Leave Episodes by Type and Reason (FY11 ~ FY1</w:t>
      </w:r>
      <w:r w:rsidR="00B964EE">
        <w:rPr>
          <w:rStyle w:val="FigureChar"/>
        </w:rPr>
        <w:t>4</w:t>
      </w:r>
      <w:r>
        <w:rPr>
          <w:rStyle w:val="FigureChar"/>
        </w:rPr>
        <w:t>)</w:t>
      </w:r>
      <w:bookmarkEnd w:id="81"/>
      <w:bookmarkEnd w:id="86"/>
      <w:r w:rsidR="007258DC">
        <w:rPr>
          <w:rStyle w:val="FigureChar"/>
        </w:rPr>
        <w:t xml:space="preserve"> </w:t>
      </w:r>
    </w:p>
    <w:p w:rsidR="00DB4206" w:rsidRDefault="00DA06AD" w:rsidP="00DB4206">
      <w:r>
        <w:rPr>
          <w:noProof/>
        </w:rPr>
        <w:drawing>
          <wp:inline distT="0" distB="0" distL="0" distR="0" wp14:anchorId="65E6E03E" wp14:editId="653595AB">
            <wp:extent cx="6667500" cy="2286000"/>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F786E" w:rsidRPr="0058517D" w:rsidRDefault="000F786E" w:rsidP="000F786E">
      <w:pPr>
        <w:pStyle w:val="KeyFindings"/>
      </w:pPr>
      <w:r>
        <w:t xml:space="preserve">An increase in the number of other types of leaves, including non-emergency medical leaves, home visits, court-ordered activities, and pre-discharge activities, in FY14 may be attributed </w:t>
      </w:r>
      <w:r w:rsidR="006C6BEF">
        <w:t xml:space="preserve">in part </w:t>
      </w:r>
      <w:r>
        <w:t xml:space="preserve">to improved documentation as well.  It should be noted, however, </w:t>
      </w:r>
      <w:r w:rsidR="00F709E6">
        <w:t xml:space="preserve">that </w:t>
      </w:r>
      <w:r>
        <w:t xml:space="preserve">there are some other reasons that may have triggered the increase.  For example, the Hospital adopted a new FDA approved hepatitis treatment program that required pre-testing and medical visits to medical clinics and facilities outside the Hospital for a number of individuals in care during the summer of 2014.  Additionally, around the same time, the Hospital’s medical clinic enhanced its capacity to expedite medical appointments for </w:t>
      </w:r>
      <w:r w:rsidR="00C62398">
        <w:t xml:space="preserve">IICs </w:t>
      </w:r>
      <w:r>
        <w:t xml:space="preserve">in need of treatment outside the facility.  All of these contributed to a noticeable increase of non-emergency medical leaves starting June </w:t>
      </w:r>
      <w:r>
        <w:lastRenderedPageBreak/>
        <w:t xml:space="preserve">2014.  The number of leaves </w:t>
      </w:r>
      <w:r w:rsidR="00F709E6">
        <w:t xml:space="preserve">related to </w:t>
      </w:r>
      <w:r>
        <w:t>court ordered activities and hearings also increased</w:t>
      </w:r>
      <w:r w:rsidR="00F709E6">
        <w:t xml:space="preserve">, reflecting the </w:t>
      </w:r>
      <w:r>
        <w:t>increase</w:t>
      </w:r>
      <w:r w:rsidR="00F709E6">
        <w:t xml:space="preserve"> in</w:t>
      </w:r>
      <w:r>
        <w:t xml:space="preserve"> </w:t>
      </w:r>
      <w:r w:rsidRPr="00941369">
        <w:rPr>
          <w:i/>
        </w:rPr>
        <w:t>Pre-trial</w:t>
      </w:r>
      <w:r>
        <w:t xml:space="preserve"> admissions during the last quarter of FY14.</w:t>
      </w:r>
    </w:p>
    <w:p w:rsidR="000F786E" w:rsidRPr="0058517D" w:rsidRDefault="00F709E6" w:rsidP="000F786E">
      <w:pPr>
        <w:pStyle w:val="KeyFindings"/>
        <w:spacing w:after="120"/>
      </w:pPr>
      <w:r>
        <w:t>E</w:t>
      </w:r>
      <w:r w:rsidR="000F786E">
        <w:t xml:space="preserve">mergency medical leaves </w:t>
      </w:r>
      <w:r w:rsidR="000F786E" w:rsidRPr="0058517D">
        <w:t>(EML, likely medical transfers to external medical facilities)</w:t>
      </w:r>
      <w:r w:rsidR="000F786E">
        <w:t xml:space="preserve"> did no</w:t>
      </w:r>
      <w:r>
        <w:t>t</w:t>
      </w:r>
      <w:r w:rsidR="000F786E">
        <w:t xml:space="preserve"> increase</w:t>
      </w:r>
      <w:r>
        <w:t xml:space="preserve"> and </w:t>
      </w:r>
      <w:r w:rsidR="000F786E">
        <w:t>remain</w:t>
      </w:r>
      <w:r>
        <w:t>ed</w:t>
      </w:r>
      <w:r w:rsidR="000F786E">
        <w:t xml:space="preserve"> at </w:t>
      </w:r>
      <w:r>
        <w:t xml:space="preserve">a level </w:t>
      </w:r>
      <w:r w:rsidR="000F786E">
        <w:t xml:space="preserve">similar to FY13: </w:t>
      </w:r>
      <w:r>
        <w:t xml:space="preserve">there were a total of 190 EMLs </w:t>
      </w:r>
      <w:r w:rsidR="000F786E">
        <w:t xml:space="preserve">or 16 per month in FY14. </w:t>
      </w:r>
    </w:p>
    <w:p w:rsidR="0078536F" w:rsidRPr="004D2559" w:rsidRDefault="0078536F" w:rsidP="0078536F">
      <w:pPr>
        <w:pStyle w:val="KeyFindings"/>
        <w:rPr>
          <w:b/>
        </w:rPr>
      </w:pPr>
      <w:r>
        <w:t>The one area that shows a significant decrease in FY14 is unauthorized leave</w:t>
      </w:r>
      <w:r w:rsidR="008425F0">
        <w:t xml:space="preserve">, </w:t>
      </w:r>
      <w:r>
        <w:t xml:space="preserve">elopement. </w:t>
      </w:r>
      <w:r w:rsidR="008425F0">
        <w:t xml:space="preserve"> </w:t>
      </w:r>
      <w:r>
        <w:t>During FY14, eight (8) unauthorized leaves were reported and this is a significant decrease from 26 in FY13.  This decrease is attributed to the Hospita</w:t>
      </w:r>
      <w:r w:rsidR="008425F0">
        <w:t>l’s concerted efforts to improve the identification and</w:t>
      </w:r>
      <w:r>
        <w:t xml:space="preserve"> monitoring o</w:t>
      </w:r>
      <w:r w:rsidR="008425F0">
        <w:t>f</w:t>
      </w:r>
      <w:r>
        <w:t xml:space="preserve"> individuals at risk of elopement and </w:t>
      </w:r>
      <w:r w:rsidR="008425F0">
        <w:t xml:space="preserve">its </w:t>
      </w:r>
      <w:r>
        <w:t xml:space="preserve">strengthened policy on privilege </w:t>
      </w:r>
      <w:r w:rsidR="00FE1579">
        <w:t xml:space="preserve">use </w:t>
      </w:r>
      <w:r>
        <w:t>and security overall.  The Hospital’s elopement rate for FY14 is 0.08 per 1000 patient days, which is far below the national average (0.13 NPR).</w:t>
      </w:r>
    </w:p>
    <w:p w:rsidR="00A32FCD" w:rsidRDefault="00A32FCD" w:rsidP="00A32FCD">
      <w:pPr>
        <w:pStyle w:val="BodyText"/>
        <w:keepNext/>
        <w:spacing w:before="120"/>
      </w:pPr>
      <w:bookmarkStart w:id="87" w:name="_Toc416357958"/>
      <w:r w:rsidRPr="00E269E2">
        <w:rPr>
          <w:rStyle w:val="FigureChar"/>
        </w:rPr>
        <w:t xml:space="preserve">Table </w:t>
      </w:r>
      <w:r w:rsidRPr="00344689">
        <w:rPr>
          <w:rStyle w:val="FigureChar"/>
        </w:rPr>
        <w:fldChar w:fldCharType="begin"/>
      </w:r>
      <w:r w:rsidRPr="00344689">
        <w:rPr>
          <w:rStyle w:val="FigureChar"/>
        </w:rPr>
        <w:instrText xml:space="preserve"> SEQ Table \* ARABIC </w:instrText>
      </w:r>
      <w:r w:rsidRPr="00344689">
        <w:rPr>
          <w:rStyle w:val="FigureChar"/>
        </w:rPr>
        <w:fldChar w:fldCharType="separate"/>
      </w:r>
      <w:r w:rsidR="007E3DB6">
        <w:rPr>
          <w:rStyle w:val="FigureChar"/>
          <w:noProof/>
        </w:rPr>
        <w:t>5</w:t>
      </w:r>
      <w:r w:rsidRPr="00344689">
        <w:rPr>
          <w:rStyle w:val="FigureChar"/>
        </w:rPr>
        <w:fldChar w:fldCharType="end"/>
      </w:r>
      <w:r w:rsidRPr="00E269E2">
        <w:rPr>
          <w:rStyle w:val="FigureChar"/>
        </w:rPr>
        <w:t xml:space="preserve">. </w:t>
      </w:r>
      <w:r>
        <w:rPr>
          <w:rStyle w:val="FigureChar"/>
        </w:rPr>
        <w:t xml:space="preserve">Emergency </w:t>
      </w:r>
      <w:r w:rsidRPr="00E269E2">
        <w:rPr>
          <w:rStyle w:val="FigureChar"/>
        </w:rPr>
        <w:t>Medical Leave</w:t>
      </w:r>
      <w:r>
        <w:rPr>
          <w:rStyle w:val="FigureChar"/>
        </w:rPr>
        <w:t>s: Likely Medical Transfers</w:t>
      </w:r>
      <w:r w:rsidRPr="00E269E2">
        <w:rPr>
          <w:rStyle w:val="FigureChar"/>
        </w:rPr>
        <w:t xml:space="preserve"> (</w:t>
      </w:r>
      <w:r>
        <w:rPr>
          <w:rStyle w:val="FigureChar"/>
        </w:rPr>
        <w:t>FY11 ~ FY14</w:t>
      </w:r>
      <w:r w:rsidRPr="00E269E2">
        <w:rPr>
          <w:rStyle w:val="FigureChar"/>
        </w:rPr>
        <w:t>)</w:t>
      </w:r>
      <w:bookmarkEnd w:id="87"/>
    </w:p>
    <w:tbl>
      <w:tblPr>
        <w:tblW w:w="10261" w:type="dxa"/>
        <w:jc w:val="center"/>
        <w:shd w:val="clear" w:color="auto" w:fill="DBE5F1"/>
        <w:tblLayout w:type="fixed"/>
        <w:tblCellMar>
          <w:left w:w="115" w:type="dxa"/>
          <w:right w:w="115" w:type="dxa"/>
        </w:tblCellMar>
        <w:tblLook w:val="04A0" w:firstRow="1" w:lastRow="0" w:firstColumn="1" w:lastColumn="0" w:noHBand="0" w:noVBand="1"/>
      </w:tblPr>
      <w:tblGrid>
        <w:gridCol w:w="3039"/>
        <w:gridCol w:w="2296"/>
        <w:gridCol w:w="1170"/>
        <w:gridCol w:w="1350"/>
        <w:gridCol w:w="1203"/>
        <w:gridCol w:w="1203"/>
      </w:tblGrid>
      <w:tr w:rsidR="00A32FCD" w:rsidRPr="00936EB1" w:rsidTr="00C97217">
        <w:trPr>
          <w:cantSplit/>
          <w:trHeight w:val="326"/>
          <w:jc w:val="center"/>
        </w:trPr>
        <w:tc>
          <w:tcPr>
            <w:tcW w:w="5335" w:type="dxa"/>
            <w:gridSpan w:val="2"/>
            <w:tcBorders>
              <w:top w:val="single" w:sz="4" w:space="0" w:color="4F81BD"/>
              <w:left w:val="single" w:sz="4" w:space="0" w:color="4F81BD"/>
              <w:bottom w:val="single" w:sz="4" w:space="0" w:color="4F81BD"/>
              <w:right w:val="single" w:sz="4" w:space="0" w:color="4F81BD"/>
            </w:tcBorders>
            <w:shd w:val="clear" w:color="auto" w:fill="C6D9F1"/>
            <w:noWrap/>
            <w:vAlign w:val="center"/>
          </w:tcPr>
          <w:p w:rsidR="00A32FCD" w:rsidRPr="002A68EE" w:rsidRDefault="00A32FCD" w:rsidP="007E2BB6">
            <w:pPr>
              <w:keepNext/>
              <w:rPr>
                <w:rFonts w:cs="Arial"/>
                <w:b/>
                <w:color w:val="1F497D"/>
                <w:sz w:val="20"/>
              </w:rPr>
            </w:pPr>
            <w:r w:rsidRPr="002A68EE">
              <w:rPr>
                <w:rFonts w:cs="Arial"/>
                <w:b/>
                <w:color w:val="1F497D"/>
                <w:sz w:val="20"/>
              </w:rPr>
              <w:t>Category</w:t>
            </w:r>
          </w:p>
        </w:tc>
        <w:tc>
          <w:tcPr>
            <w:tcW w:w="1170" w:type="dxa"/>
            <w:tcBorders>
              <w:top w:val="single" w:sz="4" w:space="0" w:color="4F81BD"/>
              <w:left w:val="single" w:sz="4" w:space="0" w:color="4F81BD"/>
              <w:bottom w:val="single" w:sz="4" w:space="0" w:color="4F81BD"/>
            </w:tcBorders>
            <w:shd w:val="clear" w:color="auto" w:fill="C6D9F1"/>
            <w:noWrap/>
            <w:vAlign w:val="center"/>
          </w:tcPr>
          <w:p w:rsidR="00A32FCD" w:rsidRPr="00D52547" w:rsidRDefault="00A32FCD" w:rsidP="007E2BB6">
            <w:pPr>
              <w:keepNext/>
              <w:jc w:val="center"/>
              <w:rPr>
                <w:rFonts w:cs="Arial"/>
                <w:b/>
                <w:color w:val="1F497D"/>
                <w:sz w:val="20"/>
              </w:rPr>
            </w:pPr>
            <w:r>
              <w:rPr>
                <w:rFonts w:cs="Arial"/>
                <w:b/>
                <w:color w:val="1F497D"/>
                <w:sz w:val="20"/>
              </w:rPr>
              <w:t>FY11</w:t>
            </w:r>
          </w:p>
        </w:tc>
        <w:tc>
          <w:tcPr>
            <w:tcW w:w="1350" w:type="dxa"/>
            <w:tcBorders>
              <w:top w:val="single" w:sz="4" w:space="0" w:color="4F81BD"/>
              <w:left w:val="single" w:sz="4" w:space="0" w:color="4F81BD"/>
              <w:bottom w:val="single" w:sz="4" w:space="0" w:color="4F81BD"/>
            </w:tcBorders>
            <w:shd w:val="clear" w:color="auto" w:fill="C6D9F1"/>
            <w:vAlign w:val="center"/>
          </w:tcPr>
          <w:p w:rsidR="00A32FCD" w:rsidRPr="00D52547" w:rsidRDefault="00A32FCD" w:rsidP="007E2BB6">
            <w:pPr>
              <w:keepNext/>
              <w:jc w:val="center"/>
              <w:rPr>
                <w:rFonts w:cs="Arial"/>
                <w:b/>
                <w:color w:val="1F497D"/>
                <w:sz w:val="20"/>
              </w:rPr>
            </w:pPr>
            <w:r>
              <w:rPr>
                <w:rFonts w:cs="Arial"/>
                <w:b/>
                <w:color w:val="1F497D"/>
                <w:sz w:val="20"/>
              </w:rPr>
              <w:t>FY12</w:t>
            </w:r>
          </w:p>
        </w:tc>
        <w:tc>
          <w:tcPr>
            <w:tcW w:w="1203" w:type="dxa"/>
            <w:tcBorders>
              <w:top w:val="single" w:sz="4" w:space="0" w:color="4F81BD"/>
              <w:left w:val="single" w:sz="4" w:space="0" w:color="4F81BD"/>
              <w:bottom w:val="single" w:sz="4" w:space="0" w:color="4F81BD"/>
              <w:right w:val="single" w:sz="4" w:space="0" w:color="4F81BD"/>
            </w:tcBorders>
            <w:shd w:val="clear" w:color="auto" w:fill="C6D9F1"/>
            <w:vAlign w:val="center"/>
          </w:tcPr>
          <w:p w:rsidR="00A32FCD" w:rsidRPr="00936EB1" w:rsidRDefault="00A32FCD" w:rsidP="007E2BB6">
            <w:pPr>
              <w:keepNext/>
              <w:jc w:val="center"/>
              <w:rPr>
                <w:rFonts w:cs="Arial"/>
                <w:b/>
                <w:color w:val="1F497D"/>
                <w:sz w:val="20"/>
              </w:rPr>
            </w:pPr>
            <w:r>
              <w:rPr>
                <w:rFonts w:cs="Arial"/>
                <w:b/>
                <w:color w:val="1F497D"/>
                <w:sz w:val="20"/>
              </w:rPr>
              <w:t>FY13</w:t>
            </w:r>
          </w:p>
        </w:tc>
        <w:tc>
          <w:tcPr>
            <w:tcW w:w="1203" w:type="dxa"/>
            <w:tcBorders>
              <w:top w:val="single" w:sz="4" w:space="0" w:color="4F81BD"/>
              <w:left w:val="single" w:sz="4" w:space="0" w:color="4F81BD"/>
              <w:bottom w:val="single" w:sz="4" w:space="0" w:color="4F81BD"/>
              <w:right w:val="single" w:sz="4" w:space="0" w:color="4F81BD"/>
            </w:tcBorders>
            <w:shd w:val="clear" w:color="auto" w:fill="C6D9F1"/>
            <w:vAlign w:val="center"/>
          </w:tcPr>
          <w:p w:rsidR="00A32FCD" w:rsidRDefault="00A32FCD" w:rsidP="007E2BB6">
            <w:pPr>
              <w:keepNext/>
              <w:jc w:val="center"/>
              <w:rPr>
                <w:rFonts w:cs="Arial"/>
                <w:b/>
                <w:color w:val="1F497D"/>
                <w:sz w:val="20"/>
              </w:rPr>
            </w:pPr>
            <w:r>
              <w:rPr>
                <w:rFonts w:cs="Arial"/>
                <w:b/>
                <w:color w:val="1F497D"/>
                <w:sz w:val="20"/>
              </w:rPr>
              <w:t>FY14</w:t>
            </w:r>
          </w:p>
        </w:tc>
      </w:tr>
      <w:tr w:rsidR="00A32FCD" w:rsidRPr="00936EB1" w:rsidTr="00C97217">
        <w:trPr>
          <w:cantSplit/>
          <w:trHeight w:val="293"/>
          <w:jc w:val="center"/>
        </w:trPr>
        <w:tc>
          <w:tcPr>
            <w:tcW w:w="3039" w:type="dxa"/>
            <w:vMerge w:val="restart"/>
            <w:tcBorders>
              <w:top w:val="single" w:sz="4" w:space="0" w:color="4F81BD"/>
              <w:left w:val="single" w:sz="4" w:space="0" w:color="4F81BD"/>
              <w:right w:val="single" w:sz="4" w:space="0" w:color="4F81BD"/>
            </w:tcBorders>
            <w:shd w:val="clear" w:color="auto" w:fill="auto"/>
            <w:noWrap/>
            <w:vAlign w:val="center"/>
          </w:tcPr>
          <w:p w:rsidR="00A32FCD" w:rsidRPr="00083E67" w:rsidRDefault="00A32FCD" w:rsidP="007E2BB6">
            <w:pPr>
              <w:keepNext/>
              <w:rPr>
                <w:rFonts w:eastAsia="Batang" w:cs="Arial"/>
                <w:b/>
                <w:color w:val="1F497D"/>
                <w:sz w:val="20"/>
              </w:rPr>
            </w:pPr>
            <w:r>
              <w:rPr>
                <w:rFonts w:eastAsia="Batang" w:cs="Arial"/>
                <w:b/>
                <w:color w:val="1F497D"/>
                <w:sz w:val="20"/>
              </w:rPr>
              <w:t>Emergency Medical Leave (EML) Episodes during Fiscal Year</w:t>
            </w:r>
          </w:p>
        </w:tc>
        <w:tc>
          <w:tcPr>
            <w:tcW w:w="2296" w:type="dxa"/>
            <w:tcBorders>
              <w:top w:val="single" w:sz="4" w:space="0" w:color="4F81BD"/>
              <w:left w:val="single" w:sz="4" w:space="0" w:color="4F81BD"/>
              <w:right w:val="single" w:sz="4" w:space="0" w:color="4F81BD"/>
            </w:tcBorders>
            <w:shd w:val="clear" w:color="auto" w:fill="auto"/>
            <w:vAlign w:val="center"/>
          </w:tcPr>
          <w:p w:rsidR="00A32FCD" w:rsidRPr="00083E67" w:rsidRDefault="00A32FCD" w:rsidP="007E2BB6">
            <w:pPr>
              <w:keepNext/>
              <w:rPr>
                <w:rFonts w:eastAsia="Batang" w:cs="Arial"/>
                <w:b/>
                <w:color w:val="1F497D"/>
                <w:sz w:val="20"/>
              </w:rPr>
            </w:pPr>
            <w:r>
              <w:rPr>
                <w:rFonts w:eastAsia="Batang" w:cs="Arial"/>
                <w:b/>
                <w:color w:val="1F497D"/>
                <w:sz w:val="20"/>
              </w:rPr>
              <w:t>Total # of EMLs</w:t>
            </w:r>
          </w:p>
        </w:tc>
        <w:tc>
          <w:tcPr>
            <w:tcW w:w="1170" w:type="dxa"/>
            <w:tcBorders>
              <w:top w:val="single" w:sz="4" w:space="0" w:color="4F81BD"/>
              <w:left w:val="single" w:sz="4" w:space="0" w:color="4F81BD"/>
            </w:tcBorders>
            <w:shd w:val="clear" w:color="auto" w:fill="auto"/>
            <w:noWrap/>
            <w:vAlign w:val="center"/>
          </w:tcPr>
          <w:p w:rsidR="00A32FCD" w:rsidRDefault="00A32FCD" w:rsidP="007E2BB6">
            <w:pPr>
              <w:keepNext/>
              <w:jc w:val="center"/>
              <w:rPr>
                <w:rFonts w:eastAsia="Batang" w:cs="Arial"/>
                <w:b/>
                <w:color w:val="1F497D"/>
                <w:sz w:val="20"/>
              </w:rPr>
            </w:pPr>
            <w:r>
              <w:rPr>
                <w:rFonts w:eastAsia="Batang" w:cs="Arial"/>
                <w:b/>
                <w:color w:val="1F497D"/>
                <w:sz w:val="20"/>
              </w:rPr>
              <w:t>250</w:t>
            </w:r>
          </w:p>
        </w:tc>
        <w:tc>
          <w:tcPr>
            <w:tcW w:w="1350" w:type="dxa"/>
            <w:tcBorders>
              <w:top w:val="single" w:sz="4" w:space="0" w:color="4F81BD"/>
              <w:left w:val="single" w:sz="4" w:space="0" w:color="4F81BD"/>
            </w:tcBorders>
            <w:shd w:val="clear" w:color="auto" w:fill="auto"/>
            <w:vAlign w:val="center"/>
          </w:tcPr>
          <w:p w:rsidR="00A32FCD" w:rsidRDefault="00A32FCD" w:rsidP="007E2BB6">
            <w:pPr>
              <w:keepNext/>
              <w:jc w:val="center"/>
              <w:rPr>
                <w:rFonts w:eastAsia="Batang" w:cs="Arial"/>
                <w:b/>
                <w:color w:val="1F497D"/>
                <w:sz w:val="20"/>
              </w:rPr>
            </w:pPr>
            <w:r>
              <w:rPr>
                <w:rFonts w:eastAsia="Batang" w:cs="Arial"/>
                <w:b/>
                <w:color w:val="1F497D"/>
                <w:sz w:val="20"/>
              </w:rPr>
              <w:t>268</w:t>
            </w:r>
          </w:p>
        </w:tc>
        <w:tc>
          <w:tcPr>
            <w:tcW w:w="1203" w:type="dxa"/>
            <w:tcBorders>
              <w:top w:val="single" w:sz="4" w:space="0" w:color="4F81BD"/>
              <w:left w:val="single" w:sz="4" w:space="0" w:color="4F81BD"/>
              <w:right w:val="single" w:sz="4" w:space="0" w:color="4F81BD"/>
            </w:tcBorders>
            <w:shd w:val="clear" w:color="auto" w:fill="auto"/>
            <w:vAlign w:val="center"/>
          </w:tcPr>
          <w:p w:rsidR="00A32FCD" w:rsidRDefault="00A32FCD" w:rsidP="007E2BB6">
            <w:pPr>
              <w:keepNext/>
              <w:jc w:val="center"/>
              <w:rPr>
                <w:rFonts w:eastAsia="Batang" w:cs="Arial"/>
                <w:b/>
                <w:color w:val="1F497D"/>
                <w:sz w:val="20"/>
              </w:rPr>
            </w:pPr>
            <w:r>
              <w:rPr>
                <w:rFonts w:eastAsia="Batang" w:cs="Arial"/>
                <w:b/>
                <w:color w:val="1F497D"/>
                <w:sz w:val="20"/>
              </w:rPr>
              <w:t>188</w:t>
            </w:r>
          </w:p>
        </w:tc>
        <w:tc>
          <w:tcPr>
            <w:tcW w:w="1203" w:type="dxa"/>
            <w:tcBorders>
              <w:top w:val="single" w:sz="4" w:space="0" w:color="4F81BD"/>
              <w:left w:val="single" w:sz="4" w:space="0" w:color="4F81BD"/>
              <w:right w:val="single" w:sz="4" w:space="0" w:color="4F81BD"/>
            </w:tcBorders>
            <w:vAlign w:val="center"/>
          </w:tcPr>
          <w:p w:rsidR="00A32FCD" w:rsidRDefault="00A32FCD" w:rsidP="007E2BB6">
            <w:pPr>
              <w:keepNext/>
              <w:jc w:val="center"/>
              <w:rPr>
                <w:rFonts w:eastAsia="Batang" w:cs="Arial"/>
                <w:b/>
                <w:color w:val="1F497D"/>
                <w:sz w:val="20"/>
              </w:rPr>
            </w:pPr>
            <w:r>
              <w:rPr>
                <w:rFonts w:eastAsia="Batang" w:cs="Arial"/>
                <w:b/>
                <w:color w:val="1F497D"/>
                <w:sz w:val="20"/>
              </w:rPr>
              <w:t>190</w:t>
            </w:r>
          </w:p>
        </w:tc>
      </w:tr>
      <w:tr w:rsidR="00A32FCD" w:rsidRPr="00936EB1" w:rsidTr="00C97217">
        <w:trPr>
          <w:cantSplit/>
          <w:trHeight w:val="293"/>
          <w:jc w:val="center"/>
        </w:trPr>
        <w:tc>
          <w:tcPr>
            <w:tcW w:w="3039" w:type="dxa"/>
            <w:vMerge/>
            <w:tcBorders>
              <w:left w:val="single" w:sz="4" w:space="0" w:color="4F81BD"/>
              <w:bottom w:val="dotted" w:sz="4" w:space="0" w:color="548DD4"/>
              <w:right w:val="single" w:sz="4" w:space="0" w:color="4F81BD"/>
            </w:tcBorders>
            <w:shd w:val="clear" w:color="auto" w:fill="auto"/>
            <w:noWrap/>
            <w:vAlign w:val="center"/>
          </w:tcPr>
          <w:p w:rsidR="00A32FCD" w:rsidRDefault="00A32FCD" w:rsidP="007E2BB6">
            <w:pPr>
              <w:keepNext/>
              <w:rPr>
                <w:rFonts w:eastAsia="Batang" w:cs="Arial"/>
                <w:b/>
                <w:color w:val="1F497D"/>
                <w:sz w:val="20"/>
              </w:rPr>
            </w:pPr>
          </w:p>
        </w:tc>
        <w:tc>
          <w:tcPr>
            <w:tcW w:w="2296" w:type="dxa"/>
            <w:tcBorders>
              <w:left w:val="single" w:sz="4" w:space="0" w:color="4F81BD"/>
              <w:bottom w:val="dotted" w:sz="4" w:space="0" w:color="548DD4"/>
              <w:right w:val="single" w:sz="4" w:space="0" w:color="4F81BD"/>
            </w:tcBorders>
            <w:shd w:val="clear" w:color="auto" w:fill="C6D9F1"/>
            <w:vAlign w:val="center"/>
          </w:tcPr>
          <w:p w:rsidR="00A32FCD" w:rsidRPr="00AE3F30" w:rsidRDefault="00A32FCD" w:rsidP="007E2BB6">
            <w:pPr>
              <w:keepNext/>
              <w:rPr>
                <w:rFonts w:eastAsia="Batang" w:cs="Arial"/>
                <w:b/>
                <w:color w:val="1F497D"/>
                <w:sz w:val="20"/>
              </w:rPr>
            </w:pPr>
            <w:r>
              <w:rPr>
                <w:rFonts w:eastAsia="Batang" w:cs="Arial"/>
                <w:b/>
                <w:color w:val="1F497D"/>
                <w:sz w:val="20"/>
              </w:rPr>
              <w:t>Monthly Average</w:t>
            </w:r>
          </w:p>
        </w:tc>
        <w:tc>
          <w:tcPr>
            <w:tcW w:w="1170" w:type="dxa"/>
            <w:tcBorders>
              <w:left w:val="single" w:sz="4" w:space="0" w:color="4F81BD"/>
              <w:bottom w:val="dotted" w:sz="4" w:space="0" w:color="548DD4"/>
            </w:tcBorders>
            <w:shd w:val="clear" w:color="auto" w:fill="C6D9F1"/>
            <w:noWrap/>
            <w:vAlign w:val="center"/>
          </w:tcPr>
          <w:p w:rsidR="00A32FCD" w:rsidRPr="00AE3F30" w:rsidRDefault="00A32FCD" w:rsidP="007E2BB6">
            <w:pPr>
              <w:keepNext/>
              <w:jc w:val="center"/>
              <w:rPr>
                <w:rFonts w:eastAsia="Batang" w:cs="Arial"/>
                <w:b/>
                <w:color w:val="1F497D"/>
                <w:sz w:val="20"/>
              </w:rPr>
            </w:pPr>
            <w:r>
              <w:rPr>
                <w:rFonts w:eastAsia="Batang" w:cs="Arial"/>
                <w:b/>
                <w:color w:val="1F497D"/>
                <w:sz w:val="20"/>
              </w:rPr>
              <w:t>21</w:t>
            </w:r>
          </w:p>
        </w:tc>
        <w:tc>
          <w:tcPr>
            <w:tcW w:w="1350" w:type="dxa"/>
            <w:tcBorders>
              <w:left w:val="single" w:sz="4" w:space="0" w:color="4F81BD"/>
              <w:bottom w:val="dotted" w:sz="4" w:space="0" w:color="548DD4"/>
            </w:tcBorders>
            <w:shd w:val="clear" w:color="auto" w:fill="C6D9F1"/>
            <w:vAlign w:val="center"/>
          </w:tcPr>
          <w:p w:rsidR="00A32FCD" w:rsidRPr="00AE3F30" w:rsidRDefault="00A32FCD" w:rsidP="007E2BB6">
            <w:pPr>
              <w:keepNext/>
              <w:jc w:val="center"/>
              <w:rPr>
                <w:rFonts w:eastAsia="Batang" w:cs="Arial"/>
                <w:b/>
                <w:color w:val="1F497D"/>
                <w:sz w:val="20"/>
              </w:rPr>
            </w:pPr>
            <w:r>
              <w:rPr>
                <w:rFonts w:eastAsia="Batang" w:cs="Arial"/>
                <w:b/>
                <w:color w:val="1F497D"/>
                <w:sz w:val="20"/>
              </w:rPr>
              <w:t>22</w:t>
            </w:r>
          </w:p>
        </w:tc>
        <w:tc>
          <w:tcPr>
            <w:tcW w:w="1203" w:type="dxa"/>
            <w:tcBorders>
              <w:left w:val="single" w:sz="4" w:space="0" w:color="4F81BD"/>
              <w:bottom w:val="dotted" w:sz="4" w:space="0" w:color="548DD4"/>
              <w:right w:val="single" w:sz="4" w:space="0" w:color="4F81BD"/>
            </w:tcBorders>
            <w:shd w:val="clear" w:color="auto" w:fill="C6D9F1"/>
            <w:vAlign w:val="center"/>
          </w:tcPr>
          <w:p w:rsidR="00A32FCD" w:rsidRPr="00AE3F30" w:rsidRDefault="00A32FCD" w:rsidP="007E2BB6">
            <w:pPr>
              <w:keepNext/>
              <w:jc w:val="center"/>
              <w:rPr>
                <w:rFonts w:eastAsia="Batang" w:cs="Arial"/>
                <w:b/>
                <w:color w:val="1F497D"/>
                <w:sz w:val="20"/>
              </w:rPr>
            </w:pPr>
            <w:r>
              <w:rPr>
                <w:rFonts w:eastAsia="Batang" w:cs="Arial"/>
                <w:b/>
                <w:color w:val="1F497D"/>
                <w:sz w:val="20"/>
              </w:rPr>
              <w:t>15</w:t>
            </w:r>
          </w:p>
        </w:tc>
        <w:tc>
          <w:tcPr>
            <w:tcW w:w="1203" w:type="dxa"/>
            <w:tcBorders>
              <w:left w:val="single" w:sz="4" w:space="0" w:color="4F81BD"/>
              <w:bottom w:val="dotted" w:sz="4" w:space="0" w:color="548DD4"/>
              <w:right w:val="single" w:sz="4" w:space="0" w:color="4F81BD"/>
            </w:tcBorders>
            <w:shd w:val="clear" w:color="auto" w:fill="C6D9F1"/>
            <w:vAlign w:val="center"/>
          </w:tcPr>
          <w:p w:rsidR="00A32FCD" w:rsidRDefault="00A32FCD" w:rsidP="007E2BB6">
            <w:pPr>
              <w:keepNext/>
              <w:jc w:val="center"/>
              <w:rPr>
                <w:rFonts w:eastAsia="Batang" w:cs="Arial"/>
                <w:b/>
                <w:color w:val="1F497D"/>
                <w:sz w:val="20"/>
              </w:rPr>
            </w:pPr>
            <w:r>
              <w:rPr>
                <w:rFonts w:eastAsia="Batang" w:cs="Arial"/>
                <w:b/>
                <w:color w:val="1F497D"/>
                <w:sz w:val="20"/>
              </w:rPr>
              <w:t>16</w:t>
            </w:r>
          </w:p>
        </w:tc>
      </w:tr>
      <w:tr w:rsidR="00A32FCD" w:rsidRPr="00936EB1" w:rsidTr="00C97217">
        <w:trPr>
          <w:cantSplit/>
          <w:trHeight w:val="161"/>
          <w:jc w:val="center"/>
        </w:trPr>
        <w:tc>
          <w:tcPr>
            <w:tcW w:w="3039" w:type="dxa"/>
            <w:vMerge w:val="restart"/>
            <w:tcBorders>
              <w:top w:val="dotted" w:sz="4" w:space="0" w:color="548DD4"/>
              <w:left w:val="single" w:sz="4" w:space="0" w:color="4F81BD"/>
              <w:right w:val="single" w:sz="4" w:space="0" w:color="4F81BD"/>
            </w:tcBorders>
            <w:shd w:val="clear" w:color="auto" w:fill="auto"/>
            <w:noWrap/>
            <w:vAlign w:val="center"/>
          </w:tcPr>
          <w:p w:rsidR="00A32FCD" w:rsidRDefault="00A32FCD" w:rsidP="007E2BB6">
            <w:pPr>
              <w:keepNext/>
              <w:rPr>
                <w:rFonts w:eastAsia="Batang" w:cs="Arial"/>
                <w:b/>
                <w:color w:val="1F497D"/>
                <w:sz w:val="20"/>
              </w:rPr>
            </w:pPr>
            <w:r>
              <w:rPr>
                <w:rFonts w:eastAsia="Batang" w:cs="Arial"/>
                <w:b/>
                <w:color w:val="1F497D"/>
                <w:sz w:val="20"/>
              </w:rPr>
              <w:t># of Unique Individuals with</w:t>
            </w:r>
          </w:p>
          <w:p w:rsidR="00A32FCD" w:rsidRDefault="00A32FCD" w:rsidP="007E2BB6">
            <w:pPr>
              <w:keepNext/>
              <w:rPr>
                <w:rFonts w:eastAsia="Batang" w:cs="Arial"/>
                <w:b/>
                <w:color w:val="1F497D"/>
                <w:sz w:val="20"/>
              </w:rPr>
            </w:pPr>
            <w:r>
              <w:rPr>
                <w:rFonts w:eastAsia="Batang" w:cs="Arial"/>
                <w:b/>
                <w:color w:val="1F497D"/>
                <w:sz w:val="20"/>
              </w:rPr>
              <w:t>&gt;=1 Emergency Medical Leave(s)</w:t>
            </w:r>
          </w:p>
          <w:p w:rsidR="00A32FCD" w:rsidRPr="00083E67" w:rsidRDefault="00A32FCD" w:rsidP="007E2BB6">
            <w:pPr>
              <w:keepNext/>
              <w:rPr>
                <w:rFonts w:eastAsia="Batang" w:cs="Arial"/>
                <w:color w:val="1F497D"/>
                <w:sz w:val="20"/>
              </w:rPr>
            </w:pPr>
            <w:r>
              <w:rPr>
                <w:rFonts w:eastAsia="Batang" w:cs="Arial"/>
                <w:b/>
                <w:color w:val="1F497D"/>
                <w:sz w:val="20"/>
              </w:rPr>
              <w:t>by Frequency of Leave Episodes</w:t>
            </w:r>
          </w:p>
        </w:tc>
        <w:tc>
          <w:tcPr>
            <w:tcW w:w="2296" w:type="dxa"/>
            <w:tcBorders>
              <w:top w:val="dotted" w:sz="4" w:space="0" w:color="548DD4"/>
              <w:left w:val="single" w:sz="4" w:space="0" w:color="4F81BD"/>
              <w:right w:val="single" w:sz="4" w:space="0" w:color="4F81BD"/>
            </w:tcBorders>
            <w:shd w:val="clear" w:color="auto" w:fill="auto"/>
            <w:vAlign w:val="center"/>
          </w:tcPr>
          <w:p w:rsidR="00A32FCD" w:rsidRPr="00083E67" w:rsidRDefault="00A32FCD" w:rsidP="007E2BB6">
            <w:pPr>
              <w:keepNext/>
              <w:rPr>
                <w:rFonts w:eastAsia="Batang" w:cs="Arial"/>
                <w:color w:val="1F497D"/>
                <w:sz w:val="20"/>
              </w:rPr>
            </w:pPr>
            <w:r w:rsidRPr="00083E67">
              <w:rPr>
                <w:rFonts w:eastAsia="Batang" w:cs="Arial"/>
                <w:color w:val="1F497D"/>
                <w:sz w:val="20"/>
              </w:rPr>
              <w:t>On</w:t>
            </w:r>
            <w:r>
              <w:rPr>
                <w:rFonts w:eastAsia="Batang" w:cs="Arial"/>
                <w:color w:val="1F497D"/>
                <w:sz w:val="20"/>
              </w:rPr>
              <w:t>e EML</w:t>
            </w:r>
          </w:p>
        </w:tc>
        <w:tc>
          <w:tcPr>
            <w:tcW w:w="1170" w:type="dxa"/>
            <w:tcBorders>
              <w:top w:val="dotted" w:sz="4" w:space="0" w:color="548DD4"/>
              <w:left w:val="single" w:sz="4" w:space="0" w:color="4F81BD"/>
            </w:tcBorders>
            <w:shd w:val="clear" w:color="auto" w:fill="auto"/>
            <w:noWrap/>
            <w:vAlign w:val="center"/>
          </w:tcPr>
          <w:p w:rsidR="00A32FCD" w:rsidRPr="00B031E3" w:rsidRDefault="00A32FCD" w:rsidP="007E2BB6">
            <w:pPr>
              <w:keepNext/>
              <w:jc w:val="center"/>
              <w:rPr>
                <w:rFonts w:cs="Arial"/>
                <w:color w:val="1F497D"/>
                <w:sz w:val="20"/>
              </w:rPr>
            </w:pPr>
            <w:r>
              <w:rPr>
                <w:rFonts w:cs="Arial"/>
                <w:color w:val="1F497D"/>
                <w:sz w:val="20"/>
              </w:rPr>
              <w:t>75</w:t>
            </w:r>
          </w:p>
        </w:tc>
        <w:tc>
          <w:tcPr>
            <w:tcW w:w="1350" w:type="dxa"/>
            <w:tcBorders>
              <w:top w:val="dotted" w:sz="4" w:space="0" w:color="548DD4"/>
              <w:left w:val="single" w:sz="4" w:space="0" w:color="4F81BD"/>
            </w:tcBorders>
            <w:shd w:val="clear" w:color="auto" w:fill="auto"/>
            <w:vAlign w:val="center"/>
          </w:tcPr>
          <w:p w:rsidR="00A32FCD" w:rsidRPr="00B031E3" w:rsidRDefault="00A32FCD" w:rsidP="007E2BB6">
            <w:pPr>
              <w:keepNext/>
              <w:jc w:val="center"/>
              <w:rPr>
                <w:rFonts w:cs="Arial"/>
                <w:color w:val="1F497D"/>
                <w:sz w:val="20"/>
              </w:rPr>
            </w:pPr>
            <w:r>
              <w:rPr>
                <w:rFonts w:cs="Arial"/>
                <w:color w:val="1F497D"/>
                <w:sz w:val="20"/>
              </w:rPr>
              <w:t>79</w:t>
            </w:r>
          </w:p>
        </w:tc>
        <w:tc>
          <w:tcPr>
            <w:tcW w:w="1203" w:type="dxa"/>
            <w:tcBorders>
              <w:top w:val="dotted" w:sz="4" w:space="0" w:color="548DD4"/>
              <w:left w:val="single" w:sz="4" w:space="0" w:color="4F81BD"/>
              <w:right w:val="single" w:sz="4" w:space="0" w:color="4F81BD"/>
            </w:tcBorders>
            <w:shd w:val="clear" w:color="auto" w:fill="auto"/>
            <w:vAlign w:val="center"/>
          </w:tcPr>
          <w:p w:rsidR="00A32FCD" w:rsidRPr="00B031E3" w:rsidRDefault="00A32FCD" w:rsidP="007E2BB6">
            <w:pPr>
              <w:keepNext/>
              <w:jc w:val="center"/>
              <w:rPr>
                <w:rFonts w:cs="Arial"/>
                <w:color w:val="1F497D"/>
                <w:sz w:val="20"/>
              </w:rPr>
            </w:pPr>
            <w:r>
              <w:rPr>
                <w:rFonts w:cs="Arial"/>
                <w:color w:val="1F497D"/>
                <w:sz w:val="20"/>
              </w:rPr>
              <w:t>60</w:t>
            </w:r>
          </w:p>
        </w:tc>
        <w:tc>
          <w:tcPr>
            <w:tcW w:w="1203" w:type="dxa"/>
            <w:tcBorders>
              <w:top w:val="dotted" w:sz="4" w:space="0" w:color="548DD4"/>
              <w:left w:val="single" w:sz="4" w:space="0" w:color="4F81BD"/>
              <w:right w:val="single" w:sz="4" w:space="0" w:color="4F81BD"/>
            </w:tcBorders>
            <w:vAlign w:val="center"/>
          </w:tcPr>
          <w:p w:rsidR="00A32FCD" w:rsidRDefault="00A32FCD" w:rsidP="007E2BB6">
            <w:pPr>
              <w:keepNext/>
              <w:jc w:val="center"/>
              <w:rPr>
                <w:rFonts w:cs="Arial"/>
                <w:color w:val="1F497D"/>
                <w:sz w:val="20"/>
              </w:rPr>
            </w:pPr>
            <w:r>
              <w:rPr>
                <w:rFonts w:cs="Arial"/>
                <w:color w:val="1F497D"/>
                <w:sz w:val="20"/>
              </w:rPr>
              <w:t>55</w:t>
            </w:r>
          </w:p>
        </w:tc>
      </w:tr>
      <w:tr w:rsidR="00A32FCD" w:rsidRPr="00936EB1" w:rsidTr="00C97217">
        <w:trPr>
          <w:cantSplit/>
          <w:trHeight w:val="80"/>
          <w:jc w:val="center"/>
        </w:trPr>
        <w:tc>
          <w:tcPr>
            <w:tcW w:w="3039" w:type="dxa"/>
            <w:vMerge/>
            <w:tcBorders>
              <w:left w:val="single" w:sz="4" w:space="0" w:color="4F81BD"/>
              <w:right w:val="single" w:sz="4" w:space="0" w:color="4F81BD"/>
            </w:tcBorders>
            <w:shd w:val="clear" w:color="auto" w:fill="auto"/>
            <w:noWrap/>
            <w:vAlign w:val="center"/>
          </w:tcPr>
          <w:p w:rsidR="00A32FCD" w:rsidRPr="00083E67" w:rsidRDefault="00A32FCD" w:rsidP="00EF197C">
            <w:pPr>
              <w:rPr>
                <w:rFonts w:eastAsia="Batang" w:cs="Arial"/>
                <w:color w:val="1F497D"/>
                <w:sz w:val="20"/>
              </w:rPr>
            </w:pPr>
          </w:p>
        </w:tc>
        <w:tc>
          <w:tcPr>
            <w:tcW w:w="2296" w:type="dxa"/>
            <w:tcBorders>
              <w:left w:val="single" w:sz="4" w:space="0" w:color="4F81BD"/>
              <w:right w:val="single" w:sz="4" w:space="0" w:color="4F81BD"/>
            </w:tcBorders>
            <w:shd w:val="clear" w:color="auto" w:fill="auto"/>
            <w:vAlign w:val="center"/>
          </w:tcPr>
          <w:p w:rsidR="00A32FCD" w:rsidRPr="00083E67" w:rsidRDefault="00A32FCD" w:rsidP="007E2BB6">
            <w:pPr>
              <w:keepNext/>
              <w:rPr>
                <w:rFonts w:eastAsia="Batang" w:cs="Arial"/>
                <w:color w:val="1F497D"/>
                <w:sz w:val="20"/>
              </w:rPr>
            </w:pPr>
            <w:r w:rsidRPr="00083E67">
              <w:rPr>
                <w:rFonts w:eastAsia="Batang" w:cs="Arial"/>
                <w:color w:val="1F497D"/>
                <w:sz w:val="20"/>
              </w:rPr>
              <w:t>Tw</w:t>
            </w:r>
            <w:r>
              <w:rPr>
                <w:rFonts w:eastAsia="Batang" w:cs="Arial"/>
                <w:color w:val="1F497D"/>
                <w:sz w:val="20"/>
              </w:rPr>
              <w:t>o EMLs</w:t>
            </w:r>
          </w:p>
        </w:tc>
        <w:tc>
          <w:tcPr>
            <w:tcW w:w="1170" w:type="dxa"/>
            <w:tcBorders>
              <w:left w:val="single" w:sz="4" w:space="0" w:color="4F81BD"/>
            </w:tcBorders>
            <w:shd w:val="clear" w:color="auto" w:fill="auto"/>
            <w:noWrap/>
            <w:vAlign w:val="center"/>
          </w:tcPr>
          <w:p w:rsidR="00A32FCD" w:rsidRPr="00B031E3" w:rsidRDefault="00A32FCD" w:rsidP="007E2BB6">
            <w:pPr>
              <w:keepNext/>
              <w:jc w:val="center"/>
              <w:rPr>
                <w:rFonts w:cs="Arial"/>
                <w:color w:val="1F497D"/>
                <w:sz w:val="20"/>
              </w:rPr>
            </w:pPr>
            <w:r>
              <w:rPr>
                <w:rFonts w:cs="Arial"/>
                <w:color w:val="1F497D"/>
                <w:sz w:val="20"/>
              </w:rPr>
              <w:t>22</w:t>
            </w:r>
          </w:p>
        </w:tc>
        <w:tc>
          <w:tcPr>
            <w:tcW w:w="1350" w:type="dxa"/>
            <w:tcBorders>
              <w:left w:val="single" w:sz="4" w:space="0" w:color="4F81BD"/>
            </w:tcBorders>
            <w:shd w:val="clear" w:color="auto" w:fill="auto"/>
            <w:vAlign w:val="center"/>
          </w:tcPr>
          <w:p w:rsidR="00A32FCD" w:rsidRPr="00B031E3" w:rsidRDefault="00A32FCD" w:rsidP="007E2BB6">
            <w:pPr>
              <w:keepNext/>
              <w:jc w:val="center"/>
              <w:rPr>
                <w:rFonts w:cs="Arial"/>
                <w:color w:val="1F497D"/>
                <w:sz w:val="20"/>
              </w:rPr>
            </w:pPr>
            <w:r>
              <w:rPr>
                <w:rFonts w:cs="Arial"/>
                <w:color w:val="1F497D"/>
                <w:sz w:val="20"/>
              </w:rPr>
              <w:t>21</w:t>
            </w:r>
          </w:p>
        </w:tc>
        <w:tc>
          <w:tcPr>
            <w:tcW w:w="1203" w:type="dxa"/>
            <w:tcBorders>
              <w:left w:val="single" w:sz="4" w:space="0" w:color="4F81BD"/>
              <w:right w:val="single" w:sz="4" w:space="0" w:color="4F81BD"/>
            </w:tcBorders>
            <w:shd w:val="clear" w:color="auto" w:fill="auto"/>
            <w:vAlign w:val="center"/>
          </w:tcPr>
          <w:p w:rsidR="00A32FCD" w:rsidRPr="00B031E3" w:rsidRDefault="00A32FCD" w:rsidP="007E2BB6">
            <w:pPr>
              <w:keepNext/>
              <w:jc w:val="center"/>
              <w:rPr>
                <w:rFonts w:cs="Arial"/>
                <w:color w:val="1F497D"/>
                <w:sz w:val="20"/>
              </w:rPr>
            </w:pPr>
            <w:r>
              <w:rPr>
                <w:rFonts w:cs="Arial"/>
                <w:color w:val="1F497D"/>
                <w:sz w:val="20"/>
              </w:rPr>
              <w:t>24</w:t>
            </w:r>
          </w:p>
        </w:tc>
        <w:tc>
          <w:tcPr>
            <w:tcW w:w="1203" w:type="dxa"/>
            <w:tcBorders>
              <w:left w:val="single" w:sz="4" w:space="0" w:color="4F81BD"/>
              <w:right w:val="single" w:sz="4" w:space="0" w:color="4F81BD"/>
            </w:tcBorders>
            <w:vAlign w:val="center"/>
          </w:tcPr>
          <w:p w:rsidR="00A32FCD" w:rsidRDefault="00A32FCD" w:rsidP="007E2BB6">
            <w:pPr>
              <w:keepNext/>
              <w:jc w:val="center"/>
              <w:rPr>
                <w:rFonts w:cs="Arial"/>
                <w:color w:val="1F497D"/>
                <w:sz w:val="20"/>
              </w:rPr>
            </w:pPr>
            <w:r>
              <w:rPr>
                <w:rFonts w:cs="Arial"/>
                <w:color w:val="1F497D"/>
                <w:sz w:val="20"/>
              </w:rPr>
              <w:t>20</w:t>
            </w:r>
          </w:p>
        </w:tc>
      </w:tr>
      <w:tr w:rsidR="00A32FCD" w:rsidRPr="00936EB1" w:rsidTr="00C97217">
        <w:trPr>
          <w:cantSplit/>
          <w:trHeight w:val="80"/>
          <w:jc w:val="center"/>
        </w:trPr>
        <w:tc>
          <w:tcPr>
            <w:tcW w:w="3039" w:type="dxa"/>
            <w:vMerge/>
            <w:tcBorders>
              <w:left w:val="single" w:sz="4" w:space="0" w:color="4F81BD"/>
              <w:right w:val="single" w:sz="4" w:space="0" w:color="4F81BD"/>
            </w:tcBorders>
            <w:shd w:val="clear" w:color="auto" w:fill="auto"/>
            <w:noWrap/>
            <w:vAlign w:val="center"/>
          </w:tcPr>
          <w:p w:rsidR="00A32FCD" w:rsidRPr="00083E67" w:rsidRDefault="00A32FCD" w:rsidP="00EF197C">
            <w:pPr>
              <w:rPr>
                <w:rFonts w:eastAsia="Batang" w:cs="Arial"/>
                <w:color w:val="1F497D"/>
                <w:sz w:val="20"/>
              </w:rPr>
            </w:pPr>
          </w:p>
        </w:tc>
        <w:tc>
          <w:tcPr>
            <w:tcW w:w="2296" w:type="dxa"/>
            <w:tcBorders>
              <w:left w:val="single" w:sz="4" w:space="0" w:color="4F81BD"/>
              <w:right w:val="single" w:sz="4" w:space="0" w:color="4F81BD"/>
            </w:tcBorders>
            <w:shd w:val="clear" w:color="auto" w:fill="auto"/>
            <w:vAlign w:val="center"/>
          </w:tcPr>
          <w:p w:rsidR="00A32FCD" w:rsidRPr="00083E67" w:rsidRDefault="00A32FCD" w:rsidP="007E2BB6">
            <w:pPr>
              <w:keepNext/>
              <w:rPr>
                <w:rFonts w:eastAsia="Batang" w:cs="Arial"/>
                <w:color w:val="1F497D"/>
                <w:sz w:val="20"/>
              </w:rPr>
            </w:pPr>
            <w:r w:rsidRPr="00083E67">
              <w:rPr>
                <w:rFonts w:eastAsia="Batang" w:cs="Arial"/>
                <w:color w:val="1F497D"/>
                <w:sz w:val="20"/>
              </w:rPr>
              <w:t xml:space="preserve">Three </w:t>
            </w:r>
            <w:r>
              <w:rPr>
                <w:rFonts w:eastAsia="Batang" w:cs="Arial"/>
                <w:color w:val="1F497D"/>
                <w:sz w:val="20"/>
              </w:rPr>
              <w:t>EMLs</w:t>
            </w:r>
          </w:p>
        </w:tc>
        <w:tc>
          <w:tcPr>
            <w:tcW w:w="1170" w:type="dxa"/>
            <w:tcBorders>
              <w:left w:val="single" w:sz="4" w:space="0" w:color="4F81BD"/>
            </w:tcBorders>
            <w:shd w:val="clear" w:color="auto" w:fill="auto"/>
            <w:noWrap/>
            <w:vAlign w:val="center"/>
          </w:tcPr>
          <w:p w:rsidR="00A32FCD" w:rsidRPr="00B031E3" w:rsidRDefault="00A32FCD" w:rsidP="007E2BB6">
            <w:pPr>
              <w:keepNext/>
              <w:jc w:val="center"/>
              <w:rPr>
                <w:rFonts w:cs="Arial"/>
                <w:color w:val="1F497D"/>
                <w:sz w:val="20"/>
              </w:rPr>
            </w:pPr>
            <w:r>
              <w:rPr>
                <w:rFonts w:cs="Arial"/>
                <w:color w:val="1F497D"/>
                <w:sz w:val="20"/>
              </w:rPr>
              <w:t>14</w:t>
            </w:r>
          </w:p>
        </w:tc>
        <w:tc>
          <w:tcPr>
            <w:tcW w:w="1350" w:type="dxa"/>
            <w:tcBorders>
              <w:left w:val="single" w:sz="4" w:space="0" w:color="4F81BD"/>
            </w:tcBorders>
            <w:shd w:val="clear" w:color="auto" w:fill="auto"/>
            <w:vAlign w:val="center"/>
          </w:tcPr>
          <w:p w:rsidR="00A32FCD" w:rsidRPr="00B031E3" w:rsidRDefault="00A32FCD" w:rsidP="007E2BB6">
            <w:pPr>
              <w:keepNext/>
              <w:jc w:val="center"/>
              <w:rPr>
                <w:rFonts w:cs="Arial"/>
                <w:color w:val="1F497D"/>
                <w:sz w:val="20"/>
              </w:rPr>
            </w:pPr>
            <w:r>
              <w:rPr>
                <w:rFonts w:cs="Arial"/>
                <w:color w:val="1F497D"/>
                <w:sz w:val="20"/>
              </w:rPr>
              <w:t>12</w:t>
            </w:r>
          </w:p>
        </w:tc>
        <w:tc>
          <w:tcPr>
            <w:tcW w:w="1203" w:type="dxa"/>
            <w:tcBorders>
              <w:left w:val="single" w:sz="4" w:space="0" w:color="4F81BD"/>
              <w:right w:val="single" w:sz="4" w:space="0" w:color="4F81BD"/>
            </w:tcBorders>
            <w:shd w:val="clear" w:color="auto" w:fill="auto"/>
            <w:vAlign w:val="center"/>
          </w:tcPr>
          <w:p w:rsidR="00A32FCD" w:rsidRPr="00B031E3" w:rsidRDefault="00A32FCD" w:rsidP="007E2BB6">
            <w:pPr>
              <w:keepNext/>
              <w:jc w:val="center"/>
              <w:rPr>
                <w:rFonts w:cs="Arial"/>
                <w:color w:val="1F497D"/>
                <w:sz w:val="20"/>
              </w:rPr>
            </w:pPr>
            <w:r>
              <w:rPr>
                <w:rFonts w:cs="Arial"/>
                <w:color w:val="1F497D"/>
                <w:sz w:val="20"/>
              </w:rPr>
              <w:t>9</w:t>
            </w:r>
          </w:p>
        </w:tc>
        <w:tc>
          <w:tcPr>
            <w:tcW w:w="1203" w:type="dxa"/>
            <w:tcBorders>
              <w:left w:val="single" w:sz="4" w:space="0" w:color="4F81BD"/>
              <w:right w:val="single" w:sz="4" w:space="0" w:color="4F81BD"/>
            </w:tcBorders>
            <w:vAlign w:val="center"/>
          </w:tcPr>
          <w:p w:rsidR="00A32FCD" w:rsidRDefault="00A32FCD" w:rsidP="007E2BB6">
            <w:pPr>
              <w:keepNext/>
              <w:jc w:val="center"/>
              <w:rPr>
                <w:rFonts w:cs="Arial"/>
                <w:color w:val="1F497D"/>
                <w:sz w:val="20"/>
              </w:rPr>
            </w:pPr>
            <w:r>
              <w:rPr>
                <w:rFonts w:cs="Arial"/>
                <w:color w:val="1F497D"/>
                <w:sz w:val="20"/>
              </w:rPr>
              <w:t>15</w:t>
            </w:r>
          </w:p>
        </w:tc>
      </w:tr>
      <w:tr w:rsidR="00A32FCD" w:rsidRPr="00936EB1" w:rsidTr="00C97217">
        <w:trPr>
          <w:cantSplit/>
          <w:trHeight w:val="80"/>
          <w:jc w:val="center"/>
        </w:trPr>
        <w:tc>
          <w:tcPr>
            <w:tcW w:w="3039" w:type="dxa"/>
            <w:vMerge/>
            <w:tcBorders>
              <w:left w:val="single" w:sz="4" w:space="0" w:color="4F81BD"/>
              <w:right w:val="single" w:sz="4" w:space="0" w:color="4F81BD"/>
            </w:tcBorders>
            <w:shd w:val="clear" w:color="auto" w:fill="auto"/>
            <w:noWrap/>
            <w:vAlign w:val="center"/>
          </w:tcPr>
          <w:p w:rsidR="00A32FCD" w:rsidRPr="00083E67" w:rsidRDefault="00A32FCD" w:rsidP="00EF197C">
            <w:pPr>
              <w:rPr>
                <w:rFonts w:eastAsia="Batang" w:cs="Arial"/>
                <w:color w:val="1F497D"/>
                <w:sz w:val="20"/>
              </w:rPr>
            </w:pPr>
          </w:p>
        </w:tc>
        <w:tc>
          <w:tcPr>
            <w:tcW w:w="2296" w:type="dxa"/>
            <w:tcBorders>
              <w:left w:val="single" w:sz="4" w:space="0" w:color="4F81BD"/>
              <w:right w:val="single" w:sz="4" w:space="0" w:color="4F81BD"/>
            </w:tcBorders>
            <w:shd w:val="clear" w:color="auto" w:fill="auto"/>
            <w:vAlign w:val="center"/>
          </w:tcPr>
          <w:p w:rsidR="00A32FCD" w:rsidRPr="00083E67" w:rsidRDefault="00A32FCD" w:rsidP="007E2BB6">
            <w:pPr>
              <w:keepNext/>
              <w:rPr>
                <w:rFonts w:eastAsia="Batang" w:cs="Arial"/>
                <w:color w:val="1F497D"/>
                <w:sz w:val="20"/>
              </w:rPr>
            </w:pPr>
            <w:r>
              <w:rPr>
                <w:rFonts w:eastAsia="Batang" w:cs="Arial"/>
                <w:color w:val="1F497D"/>
                <w:sz w:val="20"/>
              </w:rPr>
              <w:t>More than Three EMLs</w:t>
            </w:r>
          </w:p>
        </w:tc>
        <w:tc>
          <w:tcPr>
            <w:tcW w:w="1170" w:type="dxa"/>
            <w:tcBorders>
              <w:left w:val="single" w:sz="4" w:space="0" w:color="4F81BD"/>
            </w:tcBorders>
            <w:shd w:val="clear" w:color="auto" w:fill="auto"/>
            <w:noWrap/>
            <w:vAlign w:val="center"/>
          </w:tcPr>
          <w:p w:rsidR="00A32FCD" w:rsidRPr="00B031E3" w:rsidRDefault="00A32FCD" w:rsidP="007E2BB6">
            <w:pPr>
              <w:keepNext/>
              <w:jc w:val="center"/>
              <w:rPr>
                <w:rFonts w:cs="Arial"/>
                <w:color w:val="1F497D"/>
                <w:sz w:val="20"/>
              </w:rPr>
            </w:pPr>
            <w:r>
              <w:rPr>
                <w:rFonts w:cs="Arial"/>
                <w:color w:val="1F497D"/>
                <w:sz w:val="20"/>
              </w:rPr>
              <w:t>13</w:t>
            </w:r>
          </w:p>
        </w:tc>
        <w:tc>
          <w:tcPr>
            <w:tcW w:w="1350" w:type="dxa"/>
            <w:tcBorders>
              <w:left w:val="single" w:sz="4" w:space="0" w:color="4F81BD"/>
            </w:tcBorders>
            <w:shd w:val="clear" w:color="auto" w:fill="auto"/>
            <w:vAlign w:val="center"/>
          </w:tcPr>
          <w:p w:rsidR="00A32FCD" w:rsidRPr="00B031E3" w:rsidRDefault="00A32FCD" w:rsidP="007E2BB6">
            <w:pPr>
              <w:keepNext/>
              <w:jc w:val="center"/>
              <w:rPr>
                <w:rFonts w:cs="Arial"/>
                <w:color w:val="1F497D"/>
                <w:sz w:val="20"/>
              </w:rPr>
            </w:pPr>
            <w:r>
              <w:rPr>
                <w:rFonts w:cs="Arial"/>
                <w:color w:val="1F497D"/>
                <w:sz w:val="20"/>
              </w:rPr>
              <w:t>20</w:t>
            </w:r>
          </w:p>
        </w:tc>
        <w:tc>
          <w:tcPr>
            <w:tcW w:w="1203" w:type="dxa"/>
            <w:tcBorders>
              <w:left w:val="single" w:sz="4" w:space="0" w:color="4F81BD"/>
              <w:right w:val="single" w:sz="4" w:space="0" w:color="4F81BD"/>
            </w:tcBorders>
            <w:shd w:val="clear" w:color="auto" w:fill="auto"/>
            <w:vAlign w:val="center"/>
          </w:tcPr>
          <w:p w:rsidR="00A32FCD" w:rsidRPr="00B031E3" w:rsidRDefault="00A32FCD" w:rsidP="007E2BB6">
            <w:pPr>
              <w:keepNext/>
              <w:jc w:val="center"/>
              <w:rPr>
                <w:rFonts w:cs="Arial"/>
                <w:color w:val="1F497D"/>
                <w:sz w:val="20"/>
              </w:rPr>
            </w:pPr>
            <w:r>
              <w:rPr>
                <w:rFonts w:cs="Arial"/>
                <w:color w:val="1F497D"/>
                <w:sz w:val="20"/>
              </w:rPr>
              <w:t>10</w:t>
            </w:r>
          </w:p>
        </w:tc>
        <w:tc>
          <w:tcPr>
            <w:tcW w:w="1203" w:type="dxa"/>
            <w:tcBorders>
              <w:left w:val="single" w:sz="4" w:space="0" w:color="4F81BD"/>
              <w:right w:val="single" w:sz="4" w:space="0" w:color="4F81BD"/>
            </w:tcBorders>
            <w:vAlign w:val="center"/>
          </w:tcPr>
          <w:p w:rsidR="00A32FCD" w:rsidRDefault="00A32FCD" w:rsidP="007E2BB6">
            <w:pPr>
              <w:keepNext/>
              <w:jc w:val="center"/>
              <w:rPr>
                <w:rFonts w:cs="Arial"/>
                <w:color w:val="1F497D"/>
                <w:sz w:val="20"/>
              </w:rPr>
            </w:pPr>
            <w:r>
              <w:rPr>
                <w:rFonts w:cs="Arial"/>
                <w:color w:val="1F497D"/>
                <w:sz w:val="20"/>
              </w:rPr>
              <w:t>11</w:t>
            </w:r>
          </w:p>
        </w:tc>
      </w:tr>
      <w:tr w:rsidR="00A32FCD" w:rsidRPr="00936EB1" w:rsidTr="00C97217">
        <w:trPr>
          <w:cantSplit/>
          <w:trHeight w:val="293"/>
          <w:jc w:val="center"/>
        </w:trPr>
        <w:tc>
          <w:tcPr>
            <w:tcW w:w="3039" w:type="dxa"/>
            <w:vMerge/>
            <w:tcBorders>
              <w:left w:val="single" w:sz="4" w:space="0" w:color="4F81BD"/>
              <w:right w:val="single" w:sz="4" w:space="0" w:color="4F81BD"/>
            </w:tcBorders>
            <w:shd w:val="clear" w:color="auto" w:fill="DBE5F1"/>
            <w:noWrap/>
            <w:vAlign w:val="center"/>
          </w:tcPr>
          <w:p w:rsidR="00A32FCD" w:rsidRPr="007535BD" w:rsidRDefault="00A32FCD" w:rsidP="00EF197C">
            <w:pPr>
              <w:rPr>
                <w:rFonts w:cs="Arial"/>
                <w:b/>
                <w:color w:val="1F497D"/>
                <w:sz w:val="20"/>
              </w:rPr>
            </w:pPr>
          </w:p>
        </w:tc>
        <w:tc>
          <w:tcPr>
            <w:tcW w:w="2296" w:type="dxa"/>
            <w:tcBorders>
              <w:left w:val="single" w:sz="4" w:space="0" w:color="4F81BD"/>
              <w:right w:val="single" w:sz="4" w:space="0" w:color="4F81BD"/>
            </w:tcBorders>
            <w:shd w:val="clear" w:color="auto" w:fill="C6D9F1"/>
            <w:vAlign w:val="center"/>
          </w:tcPr>
          <w:p w:rsidR="00A32FCD" w:rsidRPr="00AE3F30" w:rsidRDefault="00A32FCD" w:rsidP="007E2BB6">
            <w:pPr>
              <w:keepNext/>
              <w:rPr>
                <w:rFonts w:cs="Arial"/>
                <w:b/>
                <w:color w:val="1F497D"/>
                <w:sz w:val="20"/>
              </w:rPr>
            </w:pPr>
            <w:r w:rsidRPr="00AE3F30">
              <w:rPr>
                <w:rFonts w:eastAsia="Batang" w:cs="Arial"/>
                <w:b/>
                <w:color w:val="1F497D"/>
                <w:sz w:val="20"/>
              </w:rPr>
              <w:t>Total</w:t>
            </w:r>
          </w:p>
        </w:tc>
        <w:tc>
          <w:tcPr>
            <w:tcW w:w="1170" w:type="dxa"/>
            <w:tcBorders>
              <w:left w:val="single" w:sz="4" w:space="0" w:color="4F81BD"/>
            </w:tcBorders>
            <w:shd w:val="clear" w:color="auto" w:fill="C6D9F1"/>
            <w:noWrap/>
            <w:vAlign w:val="center"/>
          </w:tcPr>
          <w:p w:rsidR="00A32FCD" w:rsidRPr="00AE3F30" w:rsidRDefault="00A32FCD" w:rsidP="007E2BB6">
            <w:pPr>
              <w:keepNext/>
              <w:jc w:val="center"/>
              <w:rPr>
                <w:rFonts w:eastAsia="Batang" w:cs="Arial"/>
                <w:b/>
                <w:color w:val="1F497D"/>
                <w:sz w:val="20"/>
              </w:rPr>
            </w:pPr>
            <w:r>
              <w:rPr>
                <w:rFonts w:eastAsia="Batang" w:cs="Arial"/>
                <w:b/>
                <w:color w:val="1F497D"/>
                <w:sz w:val="20"/>
              </w:rPr>
              <w:t>124</w:t>
            </w:r>
          </w:p>
        </w:tc>
        <w:tc>
          <w:tcPr>
            <w:tcW w:w="1350" w:type="dxa"/>
            <w:tcBorders>
              <w:left w:val="single" w:sz="4" w:space="0" w:color="4F81BD"/>
            </w:tcBorders>
            <w:shd w:val="clear" w:color="auto" w:fill="C6D9F1"/>
            <w:vAlign w:val="center"/>
          </w:tcPr>
          <w:p w:rsidR="00A32FCD" w:rsidRPr="00AE3F30" w:rsidRDefault="00A32FCD" w:rsidP="007E2BB6">
            <w:pPr>
              <w:keepNext/>
              <w:jc w:val="center"/>
              <w:rPr>
                <w:rFonts w:eastAsia="Batang" w:cs="Arial"/>
                <w:b/>
                <w:color w:val="1F497D"/>
                <w:sz w:val="20"/>
              </w:rPr>
            </w:pPr>
            <w:r>
              <w:rPr>
                <w:rFonts w:eastAsia="Batang" w:cs="Arial"/>
                <w:b/>
                <w:color w:val="1F497D"/>
                <w:sz w:val="20"/>
              </w:rPr>
              <w:t>132</w:t>
            </w:r>
          </w:p>
        </w:tc>
        <w:tc>
          <w:tcPr>
            <w:tcW w:w="1203" w:type="dxa"/>
            <w:tcBorders>
              <w:left w:val="single" w:sz="4" w:space="0" w:color="4F81BD"/>
              <w:right w:val="single" w:sz="4" w:space="0" w:color="4F81BD"/>
            </w:tcBorders>
            <w:shd w:val="clear" w:color="auto" w:fill="C6D9F1"/>
            <w:vAlign w:val="center"/>
          </w:tcPr>
          <w:p w:rsidR="00A32FCD" w:rsidRPr="00AE3F30" w:rsidRDefault="00A32FCD" w:rsidP="007E2BB6">
            <w:pPr>
              <w:keepNext/>
              <w:jc w:val="center"/>
              <w:rPr>
                <w:rFonts w:eastAsia="Batang" w:cs="Arial"/>
                <w:b/>
                <w:color w:val="1F497D"/>
                <w:sz w:val="20"/>
              </w:rPr>
            </w:pPr>
            <w:r>
              <w:rPr>
                <w:rFonts w:eastAsia="Batang" w:cs="Arial"/>
                <w:b/>
                <w:color w:val="1F497D"/>
                <w:sz w:val="20"/>
              </w:rPr>
              <w:t>103</w:t>
            </w:r>
          </w:p>
        </w:tc>
        <w:tc>
          <w:tcPr>
            <w:tcW w:w="1203" w:type="dxa"/>
            <w:tcBorders>
              <w:left w:val="single" w:sz="4" w:space="0" w:color="4F81BD"/>
              <w:right w:val="single" w:sz="4" w:space="0" w:color="4F81BD"/>
            </w:tcBorders>
            <w:shd w:val="clear" w:color="auto" w:fill="C6D9F1"/>
            <w:vAlign w:val="center"/>
          </w:tcPr>
          <w:p w:rsidR="00A32FCD" w:rsidRDefault="00A32FCD" w:rsidP="007E2BB6">
            <w:pPr>
              <w:keepNext/>
              <w:jc w:val="center"/>
              <w:rPr>
                <w:rFonts w:eastAsia="Batang" w:cs="Arial"/>
                <w:b/>
                <w:color w:val="1F497D"/>
                <w:sz w:val="20"/>
              </w:rPr>
            </w:pPr>
            <w:r>
              <w:rPr>
                <w:rFonts w:eastAsia="Batang" w:cs="Arial"/>
                <w:b/>
                <w:color w:val="1F497D"/>
                <w:sz w:val="20"/>
              </w:rPr>
              <w:t>101</w:t>
            </w:r>
          </w:p>
        </w:tc>
      </w:tr>
      <w:tr w:rsidR="00D232A2" w:rsidRPr="00936EB1" w:rsidTr="00C97217">
        <w:trPr>
          <w:cantSplit/>
          <w:trHeight w:val="293"/>
          <w:jc w:val="center"/>
        </w:trPr>
        <w:tc>
          <w:tcPr>
            <w:tcW w:w="5335" w:type="dxa"/>
            <w:gridSpan w:val="2"/>
            <w:tcBorders>
              <w:left w:val="single" w:sz="4" w:space="0" w:color="4F81BD"/>
              <w:bottom w:val="single" w:sz="4" w:space="0" w:color="4F81BD"/>
              <w:right w:val="single" w:sz="4" w:space="0" w:color="4F81BD"/>
            </w:tcBorders>
            <w:shd w:val="clear" w:color="auto" w:fill="DBE5F1"/>
            <w:noWrap/>
            <w:vAlign w:val="center"/>
          </w:tcPr>
          <w:p w:rsidR="00D232A2" w:rsidRPr="00AE3F30" w:rsidRDefault="00D232A2" w:rsidP="00D232A2">
            <w:pPr>
              <w:rPr>
                <w:rFonts w:eastAsia="Batang" w:cs="Arial"/>
                <w:b/>
                <w:color w:val="1F497D"/>
                <w:sz w:val="20"/>
              </w:rPr>
            </w:pPr>
            <w:r>
              <w:rPr>
                <w:rFonts w:eastAsia="Batang" w:cs="Arial"/>
                <w:b/>
                <w:color w:val="1F497D"/>
                <w:sz w:val="20"/>
              </w:rPr>
              <w:t>% of Individuals with &gt;=1 EMLs during Fiscal Year</w:t>
            </w:r>
          </w:p>
        </w:tc>
        <w:tc>
          <w:tcPr>
            <w:tcW w:w="1170" w:type="dxa"/>
            <w:tcBorders>
              <w:left w:val="single" w:sz="4" w:space="0" w:color="4F81BD"/>
              <w:bottom w:val="single" w:sz="4" w:space="0" w:color="4F81BD"/>
            </w:tcBorders>
            <w:shd w:val="clear" w:color="auto" w:fill="C6D9F1"/>
            <w:noWrap/>
            <w:vAlign w:val="center"/>
          </w:tcPr>
          <w:p w:rsidR="00D232A2" w:rsidRDefault="00D232A2" w:rsidP="00EF197C">
            <w:pPr>
              <w:jc w:val="center"/>
              <w:rPr>
                <w:rFonts w:eastAsia="Batang" w:cs="Arial"/>
                <w:b/>
                <w:color w:val="1F497D"/>
                <w:sz w:val="20"/>
              </w:rPr>
            </w:pPr>
            <w:r>
              <w:rPr>
                <w:rFonts w:eastAsia="Batang" w:cs="Arial"/>
                <w:b/>
                <w:color w:val="1F497D"/>
                <w:sz w:val="20"/>
              </w:rPr>
              <w:t>40%</w:t>
            </w:r>
          </w:p>
        </w:tc>
        <w:tc>
          <w:tcPr>
            <w:tcW w:w="1350" w:type="dxa"/>
            <w:tcBorders>
              <w:left w:val="single" w:sz="4" w:space="0" w:color="4F81BD"/>
              <w:bottom w:val="single" w:sz="4" w:space="0" w:color="4F81BD"/>
            </w:tcBorders>
            <w:shd w:val="clear" w:color="auto" w:fill="C6D9F1"/>
            <w:vAlign w:val="center"/>
          </w:tcPr>
          <w:p w:rsidR="00D232A2" w:rsidRDefault="00D232A2" w:rsidP="00EF197C">
            <w:pPr>
              <w:jc w:val="center"/>
              <w:rPr>
                <w:rFonts w:eastAsia="Batang" w:cs="Arial"/>
                <w:b/>
                <w:color w:val="1F497D"/>
                <w:sz w:val="20"/>
              </w:rPr>
            </w:pPr>
            <w:r>
              <w:rPr>
                <w:rFonts w:eastAsia="Batang" w:cs="Arial"/>
                <w:b/>
                <w:color w:val="1F497D"/>
                <w:sz w:val="20"/>
              </w:rPr>
              <w:t>40%</w:t>
            </w:r>
          </w:p>
        </w:tc>
        <w:tc>
          <w:tcPr>
            <w:tcW w:w="1203" w:type="dxa"/>
            <w:tcBorders>
              <w:left w:val="single" w:sz="4" w:space="0" w:color="4F81BD"/>
              <w:bottom w:val="single" w:sz="4" w:space="0" w:color="4F81BD"/>
              <w:right w:val="single" w:sz="4" w:space="0" w:color="4F81BD"/>
            </w:tcBorders>
            <w:shd w:val="clear" w:color="auto" w:fill="C6D9F1"/>
            <w:vAlign w:val="center"/>
          </w:tcPr>
          <w:p w:rsidR="00D232A2" w:rsidRDefault="00D232A2" w:rsidP="00EF197C">
            <w:pPr>
              <w:jc w:val="center"/>
              <w:rPr>
                <w:rFonts w:eastAsia="Batang" w:cs="Arial"/>
                <w:b/>
                <w:color w:val="1F497D"/>
                <w:sz w:val="20"/>
              </w:rPr>
            </w:pPr>
            <w:r>
              <w:rPr>
                <w:rFonts w:eastAsia="Batang" w:cs="Arial"/>
                <w:b/>
                <w:color w:val="1F497D"/>
                <w:sz w:val="20"/>
              </w:rPr>
              <w:t>42%</w:t>
            </w:r>
          </w:p>
        </w:tc>
        <w:tc>
          <w:tcPr>
            <w:tcW w:w="1203" w:type="dxa"/>
            <w:tcBorders>
              <w:left w:val="single" w:sz="4" w:space="0" w:color="4F81BD"/>
              <w:bottom w:val="single" w:sz="4" w:space="0" w:color="4F81BD"/>
              <w:right w:val="single" w:sz="4" w:space="0" w:color="4F81BD"/>
            </w:tcBorders>
            <w:shd w:val="clear" w:color="auto" w:fill="C6D9F1"/>
            <w:vAlign w:val="center"/>
          </w:tcPr>
          <w:p w:rsidR="00D232A2" w:rsidRDefault="00D232A2" w:rsidP="00EF197C">
            <w:pPr>
              <w:jc w:val="center"/>
              <w:rPr>
                <w:rFonts w:eastAsia="Batang" w:cs="Arial"/>
                <w:b/>
                <w:color w:val="1F497D"/>
                <w:sz w:val="20"/>
              </w:rPr>
            </w:pPr>
            <w:r>
              <w:rPr>
                <w:rFonts w:eastAsia="Batang" w:cs="Arial"/>
                <w:b/>
                <w:color w:val="1F497D"/>
                <w:sz w:val="20"/>
              </w:rPr>
              <w:t>46%</w:t>
            </w:r>
          </w:p>
        </w:tc>
      </w:tr>
    </w:tbl>
    <w:tbl>
      <w:tblPr>
        <w:tblpPr w:leftFromText="187" w:rightFromText="187" w:vertAnchor="text" w:horzAnchor="margin" w:tblpXSpec="right" w:tblpY="366"/>
        <w:tblOverlap w:val="never"/>
        <w:tblW w:w="4518" w:type="dxa"/>
        <w:tblLayout w:type="fixed"/>
        <w:tblLook w:val="01E0" w:firstRow="1" w:lastRow="1" w:firstColumn="1" w:lastColumn="1" w:noHBand="0" w:noVBand="0"/>
      </w:tblPr>
      <w:tblGrid>
        <w:gridCol w:w="4518"/>
      </w:tblGrid>
      <w:tr w:rsidR="0048603C" w:rsidTr="00DA6808">
        <w:trPr>
          <w:cantSplit/>
        </w:trPr>
        <w:tc>
          <w:tcPr>
            <w:tcW w:w="4518" w:type="dxa"/>
          </w:tcPr>
          <w:p w:rsidR="0048603C" w:rsidRDefault="0048603C" w:rsidP="0048603C">
            <w:pPr>
              <w:pStyle w:val="BodyText"/>
              <w:keepNext/>
              <w:spacing w:before="120"/>
              <w:ind w:left="900" w:hanging="900"/>
            </w:pPr>
            <w:bookmarkStart w:id="88" w:name="_Toc281982791"/>
            <w:bookmarkStart w:id="89" w:name="_Toc316897977"/>
            <w:bookmarkStart w:id="90" w:name="_Toc350841482"/>
            <w:bookmarkStart w:id="91" w:name="_Toc386095066"/>
            <w:bookmarkStart w:id="92" w:name="_Toc416357896"/>
            <w:bookmarkStart w:id="93" w:name="_Toc281982832"/>
            <w:bookmarkStart w:id="94" w:name="_Toc316898025"/>
            <w:bookmarkEnd w:id="82"/>
            <w:bookmarkEnd w:id="83"/>
            <w:bookmarkEnd w:id="84"/>
            <w:r w:rsidRPr="00650386">
              <w:rPr>
                <w:rStyle w:val="FigureChar"/>
              </w:rPr>
              <w:t xml:space="preserve">Figure </w:t>
            </w:r>
            <w:r w:rsidRPr="00650386">
              <w:rPr>
                <w:rStyle w:val="FigureChar"/>
              </w:rPr>
              <w:fldChar w:fldCharType="begin"/>
            </w:r>
            <w:r w:rsidRPr="00650386">
              <w:rPr>
                <w:rStyle w:val="FigureChar"/>
              </w:rPr>
              <w:instrText xml:space="preserve"> SEQ Figure \* ARABIC </w:instrText>
            </w:r>
            <w:r w:rsidRPr="00650386">
              <w:rPr>
                <w:rStyle w:val="FigureChar"/>
              </w:rPr>
              <w:fldChar w:fldCharType="separate"/>
            </w:r>
            <w:r w:rsidR="007E3DB6">
              <w:rPr>
                <w:rStyle w:val="FigureChar"/>
                <w:noProof/>
              </w:rPr>
              <w:t>11</w:t>
            </w:r>
            <w:r w:rsidRPr="00650386">
              <w:rPr>
                <w:rStyle w:val="FigureChar"/>
              </w:rPr>
              <w:fldChar w:fldCharType="end"/>
            </w:r>
            <w:r w:rsidRPr="00650386">
              <w:rPr>
                <w:rStyle w:val="FigureChar"/>
              </w:rPr>
              <w:t xml:space="preserve">. </w:t>
            </w:r>
            <w:r>
              <w:rPr>
                <w:rStyle w:val="FigureChar"/>
              </w:rPr>
              <w:t xml:space="preserve">Return from </w:t>
            </w:r>
            <w:r w:rsidR="00DA6808">
              <w:rPr>
                <w:rStyle w:val="FigureChar"/>
              </w:rPr>
              <w:t>EMLs</w:t>
            </w:r>
            <w:r w:rsidRPr="00650386">
              <w:rPr>
                <w:rStyle w:val="FigureChar"/>
              </w:rPr>
              <w:t xml:space="preserve"> (</w:t>
            </w:r>
            <w:r>
              <w:rPr>
                <w:rStyle w:val="FigureChar"/>
              </w:rPr>
              <w:t>FY14</w:t>
            </w:r>
            <w:r w:rsidRPr="00650386">
              <w:rPr>
                <w:rStyle w:val="FigureChar"/>
              </w:rPr>
              <w:t>)</w:t>
            </w:r>
            <w:bookmarkEnd w:id="88"/>
            <w:bookmarkEnd w:id="89"/>
            <w:bookmarkEnd w:id="90"/>
            <w:bookmarkEnd w:id="91"/>
            <w:bookmarkEnd w:id="92"/>
          </w:p>
          <w:p w:rsidR="0048603C" w:rsidRPr="002254CD" w:rsidRDefault="0048603C" w:rsidP="0048603C">
            <w:pPr>
              <w:pStyle w:val="BodyText"/>
            </w:pPr>
            <w:r>
              <w:rPr>
                <w:noProof/>
                <w:lang w:eastAsia="en-US"/>
              </w:rPr>
              <w:drawing>
                <wp:inline distT="0" distB="0" distL="0" distR="0" wp14:anchorId="53BBB795" wp14:editId="637EAFA2">
                  <wp:extent cx="2895600" cy="27051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bl>
    <w:p w:rsidR="0048603C" w:rsidRPr="00A32FCD" w:rsidRDefault="008425F0" w:rsidP="00AB31F6">
      <w:pPr>
        <w:pStyle w:val="KeyFindings"/>
      </w:pPr>
      <w:r>
        <w:t>T</w:t>
      </w:r>
      <w:r w:rsidR="009C5459">
        <w:t xml:space="preserve">he frequency of EMLs </w:t>
      </w:r>
      <w:r>
        <w:t xml:space="preserve">in FY14 </w:t>
      </w:r>
      <w:r w:rsidR="009C5459">
        <w:t>remained similar</w:t>
      </w:r>
      <w:r w:rsidR="00DA6808">
        <w:t xml:space="preserve"> to the FY13 level</w:t>
      </w:r>
      <w:r>
        <w:t>, and</w:t>
      </w:r>
      <w:r w:rsidR="009C5459">
        <w:t xml:space="preserve"> </w:t>
      </w:r>
      <w:r>
        <w:t xml:space="preserve">there was no </w:t>
      </w:r>
      <w:r w:rsidR="0055146A">
        <w:t>significant</w:t>
      </w:r>
      <w:r>
        <w:t xml:space="preserve"> difference in </w:t>
      </w:r>
      <w:r w:rsidR="009C5459">
        <w:t>the total number of unique individuals experiencing an EML: a total of 101 individuals</w:t>
      </w:r>
      <w:r w:rsidR="0055146A">
        <w:t xml:space="preserve"> were placed on EMLs in FY14</w:t>
      </w:r>
      <w:r w:rsidR="009C5459">
        <w:t>.  However, the percentage of those who had more than on</w:t>
      </w:r>
      <w:r w:rsidR="008B7F63">
        <w:t>e</w:t>
      </w:r>
      <w:r w:rsidR="009C5459">
        <w:t xml:space="preserve"> EML </w:t>
      </w:r>
      <w:r w:rsidR="00C97217">
        <w:t xml:space="preserve">has </w:t>
      </w:r>
      <w:r w:rsidR="009C5459">
        <w:t xml:space="preserve">continued to increase over the last few years: from 40% in FY12 to 42% in FY13 and 46% in FY14.  </w:t>
      </w:r>
      <w:r w:rsidR="00AB31F6">
        <w:t>In particular, the number of individuals who had at least three (3) EMLs noticeably increased</w:t>
      </w:r>
      <w:r w:rsidR="008B7F63">
        <w:t xml:space="preserve"> in FY14</w:t>
      </w:r>
      <w:r w:rsidR="00AB31F6">
        <w:t>: from 19 in FY13 to 26 in FY14.  Those 26 in</w:t>
      </w:r>
      <w:r w:rsidR="008B7F63">
        <w:t>clude</w:t>
      </w:r>
      <w:r w:rsidR="00AB31F6">
        <w:t xml:space="preserve"> one</w:t>
      </w:r>
      <w:r w:rsidR="00AB31F6" w:rsidRPr="005C1305">
        <w:t xml:space="preserve"> (</w:t>
      </w:r>
      <w:r w:rsidR="00AB31F6">
        <w:t>1) individual who experienced six</w:t>
      </w:r>
      <w:r w:rsidR="00AB31F6" w:rsidRPr="005C1305">
        <w:t xml:space="preserve"> (</w:t>
      </w:r>
      <w:r w:rsidR="00AB31F6">
        <w:t>6</w:t>
      </w:r>
      <w:r w:rsidR="00AB31F6" w:rsidRPr="005C1305">
        <w:t>)</w:t>
      </w:r>
      <w:r w:rsidR="00AB31F6">
        <w:t xml:space="preserve"> EMLs and another with eight (8)</w:t>
      </w:r>
      <w:r w:rsidR="00AB31F6" w:rsidRPr="005C1305">
        <w:t xml:space="preserve"> </w:t>
      </w:r>
      <w:r w:rsidR="00AB31F6">
        <w:t>EMLs within the 12 month period.</w:t>
      </w:r>
      <w:r w:rsidR="00C97217">
        <w:t xml:space="preserve">  This </w:t>
      </w:r>
      <w:r w:rsidR="0055146A">
        <w:t xml:space="preserve">change </w:t>
      </w:r>
      <w:r w:rsidR="00C97217">
        <w:t>may reflect the</w:t>
      </w:r>
      <w:r w:rsidR="0055146A">
        <w:t xml:space="preserve"> Hospital’s aging population that</w:t>
      </w:r>
      <w:r w:rsidR="00C97217">
        <w:t xml:space="preserve"> often has significant comorbid conditions and residual symptoms. (Refer to </w:t>
      </w:r>
      <w:r w:rsidR="00C97217" w:rsidRPr="007E76E6">
        <w:rPr>
          <w:i/>
        </w:rPr>
        <w:t xml:space="preserve">Chapter </w:t>
      </w:r>
      <w:r w:rsidR="00C97217" w:rsidRPr="007E76E6">
        <w:rPr>
          <w:i/>
        </w:rPr>
        <w:fldChar w:fldCharType="begin"/>
      </w:r>
      <w:r w:rsidR="00C97217" w:rsidRPr="007E76E6">
        <w:rPr>
          <w:i/>
        </w:rPr>
        <w:instrText xml:space="preserve"> REF _Ref415129331 \r \h </w:instrText>
      </w:r>
      <w:r w:rsidR="007E76E6">
        <w:rPr>
          <w:i/>
        </w:rPr>
        <w:instrText xml:space="preserve"> \* MERGEFORMAT </w:instrText>
      </w:r>
      <w:r w:rsidR="00C97217" w:rsidRPr="007E76E6">
        <w:rPr>
          <w:i/>
        </w:rPr>
      </w:r>
      <w:r w:rsidR="00C97217" w:rsidRPr="007E76E6">
        <w:rPr>
          <w:i/>
        </w:rPr>
        <w:fldChar w:fldCharType="separate"/>
      </w:r>
      <w:r w:rsidR="007E3DB6">
        <w:rPr>
          <w:i/>
        </w:rPr>
        <w:t>II.1</w:t>
      </w:r>
      <w:r w:rsidR="00C97217" w:rsidRPr="007E76E6">
        <w:rPr>
          <w:i/>
        </w:rPr>
        <w:fldChar w:fldCharType="end"/>
      </w:r>
      <w:r w:rsidR="007E76E6">
        <w:rPr>
          <w:i/>
        </w:rPr>
        <w:t xml:space="preserve"> </w:t>
      </w:r>
      <w:r w:rsidR="00C97217" w:rsidRPr="007E76E6">
        <w:rPr>
          <w:i/>
        </w:rPr>
        <w:t xml:space="preserve"> </w:t>
      </w:r>
      <w:r w:rsidR="007E76E6" w:rsidRPr="007E76E6">
        <w:rPr>
          <w:i/>
        </w:rPr>
        <w:fldChar w:fldCharType="begin"/>
      </w:r>
      <w:r w:rsidR="007E76E6" w:rsidRPr="007E76E6">
        <w:rPr>
          <w:i/>
        </w:rPr>
        <w:instrText xml:space="preserve"> REF _Ref415129560 \h </w:instrText>
      </w:r>
      <w:r w:rsidR="007E76E6">
        <w:rPr>
          <w:i/>
        </w:rPr>
        <w:instrText xml:space="preserve"> \* MERGEFORMAT </w:instrText>
      </w:r>
      <w:r w:rsidR="007E76E6" w:rsidRPr="007E76E6">
        <w:rPr>
          <w:i/>
        </w:rPr>
      </w:r>
      <w:r w:rsidR="007E76E6" w:rsidRPr="007E76E6">
        <w:rPr>
          <w:i/>
        </w:rPr>
        <w:fldChar w:fldCharType="separate"/>
      </w:r>
      <w:r w:rsidR="007E3DB6" w:rsidRPr="007E3DB6">
        <w:rPr>
          <w:i/>
        </w:rPr>
        <w:t>Age Distribution</w:t>
      </w:r>
      <w:r w:rsidR="007E76E6" w:rsidRPr="007E76E6">
        <w:rPr>
          <w:i/>
        </w:rPr>
        <w:fldChar w:fldCharType="end"/>
      </w:r>
      <w:r w:rsidR="007E76E6">
        <w:t xml:space="preserve"> </w:t>
      </w:r>
      <w:r w:rsidR="00C97217">
        <w:fldChar w:fldCharType="begin"/>
      </w:r>
      <w:r w:rsidR="00C97217">
        <w:instrText xml:space="preserve"> PAGEREF _Ref415129409 \p \h </w:instrText>
      </w:r>
      <w:r w:rsidR="00C97217">
        <w:fldChar w:fldCharType="separate"/>
      </w:r>
      <w:r w:rsidR="007E3DB6">
        <w:rPr>
          <w:noProof/>
        </w:rPr>
        <w:t>on page 18</w:t>
      </w:r>
      <w:r w:rsidR="00C97217">
        <w:fldChar w:fldCharType="end"/>
      </w:r>
      <w:r w:rsidR="00C97217">
        <w:t xml:space="preserve"> and </w:t>
      </w:r>
      <w:r w:rsidR="00C97217" w:rsidRPr="007E76E6">
        <w:rPr>
          <w:i/>
        </w:rPr>
        <w:t>Chapter</w:t>
      </w:r>
      <w:r w:rsidR="007E76E6" w:rsidRPr="007E76E6">
        <w:rPr>
          <w:i/>
        </w:rPr>
        <w:t xml:space="preserve"> </w:t>
      </w:r>
      <w:r w:rsidR="007E76E6" w:rsidRPr="007E76E6">
        <w:rPr>
          <w:i/>
        </w:rPr>
        <w:fldChar w:fldCharType="begin"/>
      </w:r>
      <w:r w:rsidR="007E76E6" w:rsidRPr="007E76E6">
        <w:rPr>
          <w:i/>
        </w:rPr>
        <w:instrText xml:space="preserve"> REF _Ref415129525 \w \h </w:instrText>
      </w:r>
      <w:r w:rsidR="007E76E6">
        <w:rPr>
          <w:i/>
        </w:rPr>
        <w:instrText xml:space="preserve"> \* MERGEFORMAT </w:instrText>
      </w:r>
      <w:r w:rsidR="007E76E6" w:rsidRPr="007E76E6">
        <w:rPr>
          <w:i/>
        </w:rPr>
      </w:r>
      <w:r w:rsidR="007E76E6" w:rsidRPr="007E76E6">
        <w:rPr>
          <w:i/>
        </w:rPr>
        <w:fldChar w:fldCharType="separate"/>
      </w:r>
      <w:r w:rsidR="007E3DB6">
        <w:rPr>
          <w:i/>
        </w:rPr>
        <w:t>V.4</w:t>
      </w:r>
      <w:r w:rsidR="007E76E6" w:rsidRPr="007E76E6">
        <w:rPr>
          <w:i/>
        </w:rPr>
        <w:fldChar w:fldCharType="end"/>
      </w:r>
      <w:r w:rsidR="00C97217">
        <w:t xml:space="preserve"> </w:t>
      </w:r>
      <w:r w:rsidR="007E76E6">
        <w:t xml:space="preserve"> </w:t>
      </w:r>
      <w:r w:rsidR="007E76E6" w:rsidRPr="007E76E6">
        <w:rPr>
          <w:i/>
        </w:rPr>
        <w:fldChar w:fldCharType="begin"/>
      </w:r>
      <w:r w:rsidR="007E76E6" w:rsidRPr="007E76E6">
        <w:rPr>
          <w:i/>
        </w:rPr>
        <w:instrText xml:space="preserve"> REF _Ref415129584 \h </w:instrText>
      </w:r>
      <w:r w:rsidR="007E76E6">
        <w:rPr>
          <w:i/>
        </w:rPr>
        <w:instrText xml:space="preserve"> \* MERGEFORMAT </w:instrText>
      </w:r>
      <w:r w:rsidR="007E76E6" w:rsidRPr="007E76E6">
        <w:rPr>
          <w:i/>
        </w:rPr>
      </w:r>
      <w:r w:rsidR="007E76E6" w:rsidRPr="007E76E6">
        <w:rPr>
          <w:i/>
        </w:rPr>
        <w:fldChar w:fldCharType="separate"/>
      </w:r>
      <w:r w:rsidR="007E3DB6" w:rsidRPr="007E3DB6">
        <w:rPr>
          <w:i/>
        </w:rPr>
        <w:t>General Medical Conditions (Axis III)</w:t>
      </w:r>
      <w:r w:rsidR="007E76E6" w:rsidRPr="007E76E6">
        <w:rPr>
          <w:i/>
        </w:rPr>
        <w:fldChar w:fldCharType="end"/>
      </w:r>
      <w:r w:rsidR="007E76E6">
        <w:t xml:space="preserve"> </w:t>
      </w:r>
      <w:r w:rsidR="00C97217">
        <w:fldChar w:fldCharType="begin"/>
      </w:r>
      <w:r w:rsidR="00C97217">
        <w:instrText xml:space="preserve"> PAGEREF _Ref415129441 \p \h </w:instrText>
      </w:r>
      <w:r w:rsidR="00C97217">
        <w:fldChar w:fldCharType="separate"/>
      </w:r>
      <w:r w:rsidR="007E3DB6">
        <w:rPr>
          <w:noProof/>
        </w:rPr>
        <w:t>on page 31</w:t>
      </w:r>
      <w:r w:rsidR="00C97217">
        <w:fldChar w:fldCharType="end"/>
      </w:r>
      <w:r w:rsidR="00C97217">
        <w:t>.)</w:t>
      </w:r>
    </w:p>
    <w:p w:rsidR="00A32FCD" w:rsidRPr="000F786E" w:rsidRDefault="00AB31F6" w:rsidP="00DB4206">
      <w:pPr>
        <w:pStyle w:val="KeyFindings"/>
      </w:pPr>
      <w:r>
        <w:t xml:space="preserve">Most individuals (58%) </w:t>
      </w:r>
      <w:r w:rsidR="0055146A">
        <w:t xml:space="preserve">placed on </w:t>
      </w:r>
      <w:r>
        <w:t>EMLs return</w:t>
      </w:r>
      <w:r w:rsidR="0055146A">
        <w:t>ed</w:t>
      </w:r>
      <w:r>
        <w:t xml:space="preserve"> to the Hospital either on the same day or next day: i</w:t>
      </w:r>
      <w:r w:rsidR="00DB4206">
        <w:t xml:space="preserve">n FY14, </w:t>
      </w:r>
      <w:r>
        <w:t>32%</w:t>
      </w:r>
      <w:r w:rsidR="00DB4206">
        <w:t xml:space="preserve"> of the individuals that had an</w:t>
      </w:r>
      <w:r>
        <w:t xml:space="preserve"> EML episode </w:t>
      </w:r>
      <w:r w:rsidR="00DB4206">
        <w:t xml:space="preserve">returned </w:t>
      </w:r>
      <w:r>
        <w:t xml:space="preserve">to the Hospital </w:t>
      </w:r>
      <w:r w:rsidR="0055146A">
        <w:t xml:space="preserve">on </w:t>
      </w:r>
      <w:r w:rsidR="00DB4206">
        <w:t>the same day</w:t>
      </w:r>
      <w:r>
        <w:t xml:space="preserve"> and 26% returned </w:t>
      </w:r>
      <w:r w:rsidR="0055146A">
        <w:t xml:space="preserve">on </w:t>
      </w:r>
      <w:r>
        <w:t xml:space="preserve">the next day. </w:t>
      </w:r>
      <w:r w:rsidR="0055146A">
        <w:t xml:space="preserve"> </w:t>
      </w:r>
      <w:r>
        <w:t>Eighteen percent (</w:t>
      </w:r>
      <w:r w:rsidR="00DB4206">
        <w:t>18%</w:t>
      </w:r>
      <w:r>
        <w:t>)</w:t>
      </w:r>
      <w:r w:rsidR="00DB4206">
        <w:t xml:space="preserve"> returned within 2</w:t>
      </w:r>
      <w:r w:rsidR="001F3204">
        <w:t>-</w:t>
      </w:r>
      <w:r w:rsidR="00DB4206">
        <w:t>5 days</w:t>
      </w:r>
      <w:r>
        <w:t>,</w:t>
      </w:r>
      <w:r w:rsidR="00DB4206">
        <w:t xml:space="preserve"> 11% </w:t>
      </w:r>
      <w:r>
        <w:t xml:space="preserve">within </w:t>
      </w:r>
      <w:r w:rsidR="00DB4206">
        <w:t>6</w:t>
      </w:r>
      <w:r w:rsidR="001F3204">
        <w:t>-</w:t>
      </w:r>
      <w:r w:rsidR="00DB4206">
        <w:t>10 days</w:t>
      </w:r>
      <w:r>
        <w:t>, and 6% within 11</w:t>
      </w:r>
      <w:r w:rsidR="001F3204">
        <w:t>-3</w:t>
      </w:r>
      <w:r>
        <w:t>0 days.  The</w:t>
      </w:r>
      <w:r w:rsidR="0055146A">
        <w:t xml:space="preserve"> remaining </w:t>
      </w:r>
      <w:r>
        <w:t xml:space="preserve">7% stayed in other medical facilities for longer than 30 days and this group noticeably increased </w:t>
      </w:r>
      <w:r w:rsidR="008B7F63">
        <w:t xml:space="preserve">in FY14 </w:t>
      </w:r>
      <w:r w:rsidR="0055146A">
        <w:t xml:space="preserve">compared with FY13, when we had only 2% in this </w:t>
      </w:r>
      <w:r w:rsidR="00295566">
        <w:t>category</w:t>
      </w:r>
      <w:r w:rsidR="0055146A">
        <w:t>.</w:t>
      </w:r>
      <w:r w:rsidR="00DB4206">
        <w:t xml:space="preserve">  </w:t>
      </w:r>
    </w:p>
    <w:p w:rsidR="00BD7C15" w:rsidRDefault="009B736A" w:rsidP="000F786E">
      <w:pPr>
        <w:pStyle w:val="KeyFindings"/>
      </w:pPr>
      <w:r>
        <w:t>The frequency of EMLs for individuals served in the geriatric units (1A and 1B) substantially decreased: 27% of EMLs in FY14 occurred in the geriatric units</w:t>
      </w:r>
      <w:r w:rsidR="001F3204">
        <w:t>,</w:t>
      </w:r>
      <w:r>
        <w:t xml:space="preserve"> whereas 38% </w:t>
      </w:r>
      <w:r w:rsidR="001F3204">
        <w:t>occurred</w:t>
      </w:r>
      <w:r>
        <w:t xml:space="preserve"> in</w:t>
      </w:r>
      <w:r w:rsidR="001F3204">
        <w:t xml:space="preserve"> in</w:t>
      </w:r>
      <w:r>
        <w:t xml:space="preserve"> FY13.  In contrast, admission units (1D, 1E, 1F and 1G) experienced more frequent EMLs in FY14</w:t>
      </w:r>
      <w:bookmarkEnd w:id="93"/>
      <w:bookmarkEnd w:id="94"/>
      <w:r>
        <w:t xml:space="preserve"> (60 or 32%)</w:t>
      </w:r>
      <w:r w:rsidR="004D5699">
        <w:t xml:space="preserve"> than FY13 (29%)</w:t>
      </w:r>
      <w:r>
        <w:t>.</w:t>
      </w:r>
    </w:p>
    <w:bookmarkStart w:id="95" w:name="_Toc416357855"/>
    <w:p w:rsidR="00172440" w:rsidRPr="004E7811" w:rsidRDefault="00172440" w:rsidP="00BE0948">
      <w:pPr>
        <w:pStyle w:val="Heading1"/>
      </w:pPr>
      <w:r>
        <w:rPr>
          <w14:shadow w14:blurRad="0" w14:dist="0" w14:dir="0" w14:sx="0" w14:sy="0" w14:kx="0" w14:ky="0" w14:algn="none">
            <w14:srgbClr w14:val="000000"/>
          </w14:shadow>
        </w:rPr>
        <mc:AlternateContent>
          <mc:Choice Requires="wps">
            <w:drawing>
              <wp:anchor distT="0" distB="91440" distL="114300" distR="114300" simplePos="0" relativeHeight="251685376" behindDoc="0" locked="0" layoutInCell="1" allowOverlap="0" wp14:anchorId="0E24D842" wp14:editId="36891FDD">
                <wp:simplePos x="0" y="0"/>
                <wp:positionH relativeFrom="column">
                  <wp:posOffset>-47625</wp:posOffset>
                </wp:positionH>
                <wp:positionV relativeFrom="paragraph">
                  <wp:posOffset>451485</wp:posOffset>
                </wp:positionV>
                <wp:extent cx="6572250" cy="706755"/>
                <wp:effectExtent l="19050" t="19050" r="76200" b="82550"/>
                <wp:wrapTopAndBottom/>
                <wp:docPr id="183" name="AutoShap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0" cy="706755"/>
                        </a:xfrm>
                        <a:prstGeom prst="roundRect">
                          <a:avLst>
                            <a:gd name="adj" fmla="val 6634"/>
                          </a:avLst>
                        </a:prstGeom>
                        <a:solidFill>
                          <a:schemeClr val="accent1">
                            <a:lumMod val="20000"/>
                            <a:lumOff val="80000"/>
                            <a:alpha val="25000"/>
                          </a:schemeClr>
                        </a:solidFill>
                        <a:ln w="50800" cmpd="thickThin">
                          <a:solidFill>
                            <a:schemeClr val="tx2">
                              <a:lumMod val="100000"/>
                              <a:lumOff val="0"/>
                            </a:schemeClr>
                          </a:solidFill>
                          <a:round/>
                          <a:headEnd/>
                          <a:tailEnd/>
                        </a:ln>
                        <a:effectLst>
                          <a:outerShdw dist="35921" dir="2700000" algn="ctr" rotWithShape="0">
                            <a:schemeClr val="accent1">
                              <a:lumMod val="20000"/>
                              <a:lumOff val="80000"/>
                            </a:schemeClr>
                          </a:outerShdw>
                        </a:effectLst>
                      </wps:spPr>
                      <wps:txbx>
                        <w:txbxContent>
                          <w:p w:rsidR="005B4E16" w:rsidRDefault="005B4E16" w:rsidP="00233990">
                            <w:pPr>
                              <w:pStyle w:val="IntenseQuote"/>
                              <w:ind w:left="360"/>
                            </w:pPr>
                            <w:r w:rsidRPr="00733DDA">
                              <w:t>The</w:t>
                            </w:r>
                            <w:r>
                              <w:t xml:space="preserve"> percentage of </w:t>
                            </w:r>
                            <w:r w:rsidRPr="00233990">
                              <w:rPr>
                                <w:b/>
                              </w:rPr>
                              <w:t xml:space="preserve">elderly in care </w:t>
                            </w:r>
                            <w:r>
                              <w:rPr>
                                <w:b/>
                              </w:rPr>
                              <w:t xml:space="preserve">has </w:t>
                            </w:r>
                            <w:r w:rsidRPr="00233990">
                              <w:rPr>
                                <w:b/>
                              </w:rPr>
                              <w:t>continued to increase</w:t>
                            </w:r>
                            <w:r>
                              <w:t xml:space="preserve"> over the past several years:</w:t>
                            </w:r>
                            <w:r w:rsidRPr="00733DDA">
                              <w:t xml:space="preserve"> </w:t>
                            </w:r>
                            <w:r>
                              <w:t xml:space="preserve">those </w:t>
                            </w:r>
                            <w:r w:rsidRPr="00733DDA">
                              <w:t>60 years or older comprise</w:t>
                            </w:r>
                            <w:r>
                              <w:t>d</w:t>
                            </w:r>
                            <w:r w:rsidRPr="00733DDA">
                              <w:t xml:space="preserve"> 3</w:t>
                            </w:r>
                            <w:r>
                              <w:t>5</w:t>
                            </w:r>
                            <w:r w:rsidRPr="00733DDA">
                              <w:t>% of</w:t>
                            </w:r>
                            <w:r>
                              <w:t xml:space="preserve"> all IICs in September 2014 while this age group made up only 24% in 2008.</w:t>
                            </w:r>
                          </w:p>
                          <w:p w:rsidR="005B4E16" w:rsidRDefault="005B4E16" w:rsidP="00233990">
                            <w:pPr>
                              <w:pStyle w:val="IntenseQuote"/>
                              <w:ind w:left="360"/>
                            </w:pPr>
                            <w:r>
                              <w:t xml:space="preserve">The proportion of individuals </w:t>
                            </w:r>
                            <w:r w:rsidRPr="00233990">
                              <w:rPr>
                                <w:b/>
                              </w:rPr>
                              <w:t>under 40 years also increased</w:t>
                            </w:r>
                            <w:r>
                              <w:t xml:space="preserve"> steadily over the past four years.</w:t>
                            </w:r>
                          </w:p>
                          <w:p w:rsidR="005B4E16" w:rsidRDefault="005B4E16" w:rsidP="00233990">
                            <w:pPr>
                              <w:pStyle w:val="IntenseQuote"/>
                              <w:ind w:left="360"/>
                            </w:pPr>
                            <w:r>
                              <w:t xml:space="preserve">The percentage of </w:t>
                            </w:r>
                            <w:r>
                              <w:rPr>
                                <w:b/>
                              </w:rPr>
                              <w:t xml:space="preserve">females </w:t>
                            </w:r>
                            <w:r w:rsidRPr="00233990">
                              <w:rPr>
                                <w:b/>
                              </w:rPr>
                              <w:t>increased</w:t>
                            </w:r>
                            <w:r>
                              <w:t xml:space="preserve"> to 33% of the total population at the end of FY14.</w:t>
                            </w:r>
                          </w:p>
                          <w:p w:rsidR="005B4E16" w:rsidRDefault="005B4E16" w:rsidP="00233990">
                            <w:pPr>
                              <w:pStyle w:val="IntenseQuote"/>
                              <w:ind w:left="360"/>
                            </w:pPr>
                            <w:r>
                              <w:t>Eighty-six percent (</w:t>
                            </w:r>
                            <w:r w:rsidRPr="00233990">
                              <w:rPr>
                                <w:b/>
                              </w:rPr>
                              <w:t>86%</w:t>
                            </w:r>
                            <w:r>
                              <w:t xml:space="preserve">) of individuals in care are </w:t>
                            </w:r>
                            <w:r w:rsidRPr="00233990">
                              <w:rPr>
                                <w:b/>
                              </w:rPr>
                              <w:t>African American</w:t>
                            </w:r>
                            <w:r>
                              <w:t>.</w:t>
                            </w:r>
                          </w:p>
                          <w:p w:rsidR="005B4E16" w:rsidRDefault="005B4E16" w:rsidP="00233990">
                            <w:pPr>
                              <w:pStyle w:val="IntenseQuote"/>
                              <w:ind w:left="360"/>
                            </w:pPr>
                            <w:r>
                              <w:t xml:space="preserve">Forty-four percent (44%) are </w:t>
                            </w:r>
                            <w:r w:rsidRPr="0078428F">
                              <w:rPr>
                                <w:i/>
                              </w:rPr>
                              <w:t>Protestant</w:t>
                            </w:r>
                            <w:r>
                              <w:t xml:space="preserve">, 22% are </w:t>
                            </w:r>
                            <w:r w:rsidRPr="0078428F">
                              <w:rPr>
                                <w:i/>
                              </w:rPr>
                              <w:t>Catholic</w:t>
                            </w:r>
                            <w:r>
                              <w:t>, and 10% indicated they have no religion.</w:t>
                            </w:r>
                          </w:p>
                          <w:p w:rsidR="005B4E16" w:rsidRPr="00211FD4" w:rsidRDefault="005B4E16" w:rsidP="00233990">
                            <w:pPr>
                              <w:pStyle w:val="IntenseQuote"/>
                              <w:ind w:left="360"/>
                            </w:pPr>
                            <w:r>
                              <w:t>Half of individuals in our care completed at least 10 years of education.</w:t>
                            </w:r>
                          </w:p>
                        </w:txbxContent>
                      </wps:txbx>
                      <wps:bodyPr rot="0" vert="horz" wrap="square" lIns="91440" tIns="18288" rIns="91440" bIns="18288" anchor="ctr" anchorCtr="0" upright="1">
                        <a:spAutoFit/>
                      </wps:bodyPr>
                    </wps:wsp>
                  </a:graphicData>
                </a:graphic>
                <wp14:sizeRelH relativeFrom="page">
                  <wp14:pctWidth>0</wp14:pctWidth>
                </wp14:sizeRelH>
                <wp14:sizeRelV relativeFrom="page">
                  <wp14:pctHeight>0</wp14:pctHeight>
                </wp14:sizeRelV>
              </wp:anchor>
            </w:drawing>
          </mc:Choice>
          <mc:Fallback>
            <w:pict>
              <v:roundrect id="AutoShape 223" o:spid="_x0000_s1027" style="position:absolute;left:0;text-align:left;margin-left:-3.75pt;margin-top:35.55pt;width:517.5pt;height:55.65pt;z-index:251685376;visibility:visible;mso-wrap-style:square;mso-width-percent:0;mso-height-percent:0;mso-wrap-distance-left:9pt;mso-wrap-distance-top:0;mso-wrap-distance-right:9pt;mso-wrap-distance-bottom:7.2pt;mso-position-horizontal:absolute;mso-position-horizontal-relative:text;mso-position-vertical:absolute;mso-position-vertical-relative:text;mso-width-percent:0;mso-height-percent:0;mso-width-relative:page;mso-height-relative:page;v-text-anchor:middle" arcsize="43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" o:allowoverlap="f" fillcolor="#dbe5f1 [660]" strokecolor="#1f497d [3215]" strokeweight="4pt">
                <v:fill opacity="16448f"/>
                <v:stroke linestyle="thickThin"/>
                <v:shadow on="t" color="#dbe5f1 [660]"/>
                <v:textbox style="mso-fit-shape-to-text:t" inset=",1.44pt,,1.44pt">
                  <w:txbxContent>
                    <w:p w:rsidR="005B4E16" w:rsidRDefault="005B4E16" w:rsidP="00233990">
                      <w:pPr>
                        <w:pStyle w:val="IntenseQuote"/>
                        <w:ind w:left="360"/>
                      </w:pPr>
                      <w:r w:rsidRPr="00733DDA">
                        <w:t>The</w:t>
                      </w:r>
                      <w:r>
                        <w:t xml:space="preserve"> percentage of </w:t>
                      </w:r>
                      <w:r w:rsidRPr="00233990">
                        <w:rPr>
                          <w:b/>
                        </w:rPr>
                        <w:t xml:space="preserve">elderly in care </w:t>
                      </w:r>
                      <w:r>
                        <w:rPr>
                          <w:b/>
                        </w:rPr>
                        <w:t xml:space="preserve">has </w:t>
                      </w:r>
                      <w:r w:rsidRPr="00233990">
                        <w:rPr>
                          <w:b/>
                        </w:rPr>
                        <w:t>continued to increase</w:t>
                      </w:r>
                      <w:r>
                        <w:t xml:space="preserve"> over the past several years:</w:t>
                      </w:r>
                      <w:r w:rsidRPr="00733DDA">
                        <w:t xml:space="preserve"> </w:t>
                      </w:r>
                      <w:r>
                        <w:t xml:space="preserve">those </w:t>
                      </w:r>
                      <w:r w:rsidRPr="00733DDA">
                        <w:t>60 years or older comprise</w:t>
                      </w:r>
                      <w:r>
                        <w:t>d</w:t>
                      </w:r>
                      <w:r w:rsidRPr="00733DDA">
                        <w:t xml:space="preserve"> 3</w:t>
                      </w:r>
                      <w:r>
                        <w:t>5</w:t>
                      </w:r>
                      <w:r w:rsidRPr="00733DDA">
                        <w:t>% of</w:t>
                      </w:r>
                      <w:r>
                        <w:t xml:space="preserve"> all IICs in September 2014 while this age group made up only 24% in 2008.</w:t>
                      </w:r>
                    </w:p>
                    <w:p w:rsidR="005B4E16" w:rsidRDefault="005B4E16" w:rsidP="00233990">
                      <w:pPr>
                        <w:pStyle w:val="IntenseQuote"/>
                        <w:ind w:left="360"/>
                      </w:pPr>
                      <w:r>
                        <w:t xml:space="preserve">The proportion of individuals </w:t>
                      </w:r>
                      <w:r w:rsidRPr="00233990">
                        <w:rPr>
                          <w:b/>
                        </w:rPr>
                        <w:t>under 40 years also increased</w:t>
                      </w:r>
                      <w:r>
                        <w:t xml:space="preserve"> steadily over the past four years.</w:t>
                      </w:r>
                    </w:p>
                    <w:p w:rsidR="005B4E16" w:rsidRDefault="005B4E16" w:rsidP="00233990">
                      <w:pPr>
                        <w:pStyle w:val="IntenseQuote"/>
                        <w:ind w:left="360"/>
                      </w:pPr>
                      <w:r>
                        <w:t xml:space="preserve">The percentage of </w:t>
                      </w:r>
                      <w:r>
                        <w:rPr>
                          <w:b/>
                        </w:rPr>
                        <w:t xml:space="preserve">females </w:t>
                      </w:r>
                      <w:r w:rsidRPr="00233990">
                        <w:rPr>
                          <w:b/>
                        </w:rPr>
                        <w:t>increased</w:t>
                      </w:r>
                      <w:r>
                        <w:t xml:space="preserve"> to 33% of the total population at the end of FY14.</w:t>
                      </w:r>
                    </w:p>
                    <w:p w:rsidR="005B4E16" w:rsidRDefault="005B4E16" w:rsidP="00233990">
                      <w:pPr>
                        <w:pStyle w:val="IntenseQuote"/>
                        <w:ind w:left="360"/>
                      </w:pPr>
                      <w:r>
                        <w:t>Eighty-six percent (</w:t>
                      </w:r>
                      <w:r w:rsidRPr="00233990">
                        <w:rPr>
                          <w:b/>
                        </w:rPr>
                        <w:t>86%</w:t>
                      </w:r>
                      <w:r>
                        <w:t xml:space="preserve">) of individuals in care are </w:t>
                      </w:r>
                      <w:r w:rsidRPr="00233990">
                        <w:rPr>
                          <w:b/>
                        </w:rPr>
                        <w:t>African American</w:t>
                      </w:r>
                      <w:r>
                        <w:t>.</w:t>
                      </w:r>
                    </w:p>
                    <w:p w:rsidR="005B4E16" w:rsidRDefault="005B4E16" w:rsidP="00233990">
                      <w:pPr>
                        <w:pStyle w:val="IntenseQuote"/>
                        <w:ind w:left="360"/>
                      </w:pPr>
                      <w:r>
                        <w:t xml:space="preserve">Forty-four percent (44%) are </w:t>
                      </w:r>
                      <w:r w:rsidRPr="0078428F">
                        <w:rPr>
                          <w:i/>
                        </w:rPr>
                        <w:t>Protestant</w:t>
                      </w:r>
                      <w:r>
                        <w:t xml:space="preserve">, 22% are </w:t>
                      </w:r>
                      <w:r w:rsidRPr="0078428F">
                        <w:rPr>
                          <w:i/>
                        </w:rPr>
                        <w:t>Catholic</w:t>
                      </w:r>
                      <w:r>
                        <w:t>, and 10% indicated they have no religion.</w:t>
                      </w:r>
                    </w:p>
                    <w:p w:rsidR="005B4E16" w:rsidRPr="00211FD4" w:rsidRDefault="005B4E16" w:rsidP="00233990">
                      <w:pPr>
                        <w:pStyle w:val="IntenseQuote"/>
                        <w:ind w:left="360"/>
                      </w:pPr>
                      <w:r>
                        <w:t>Half of individuals in our care completed at least 10 years of education.</w:t>
                      </w:r>
                    </w:p>
                  </w:txbxContent>
                </v:textbox>
                <w10:wrap type="topAndBottom"/>
              </v:roundrect>
            </w:pict>
          </mc:Fallback>
        </mc:AlternateContent>
      </w:r>
      <w:bookmarkStart w:id="96" w:name="_Toc349913398"/>
      <w:r w:rsidRPr="004E7811">
        <w:t xml:space="preserve">Demographic Characteristics of </w:t>
      </w:r>
      <w:r>
        <w:t>Individuals in Care</w:t>
      </w:r>
      <w:bookmarkEnd w:id="13"/>
      <w:bookmarkEnd w:id="95"/>
      <w:bookmarkEnd w:id="96"/>
    </w:p>
    <w:p w:rsidR="00FF377D" w:rsidRDefault="00FF377D" w:rsidP="00FF377D">
      <w:pPr>
        <w:pStyle w:val="Heading2"/>
      </w:pPr>
      <w:bookmarkStart w:id="97" w:name="_Toc316897934"/>
      <w:bookmarkStart w:id="98" w:name="_Toc349913399"/>
      <w:bookmarkStart w:id="99" w:name="_Toc384134250"/>
      <w:bookmarkStart w:id="100" w:name="_Ref415129331"/>
      <w:bookmarkStart w:id="101" w:name="_Ref415129371"/>
      <w:bookmarkStart w:id="102" w:name="_Ref415129382"/>
      <w:bookmarkStart w:id="103" w:name="_Ref415129409"/>
      <w:bookmarkStart w:id="104" w:name="_Ref415129560"/>
      <w:bookmarkStart w:id="105" w:name="_Toc416357856"/>
      <w:r w:rsidRPr="00D760F8">
        <w:t xml:space="preserve">Age </w:t>
      </w:r>
      <w:r>
        <w:t>Distribution</w:t>
      </w:r>
      <w:bookmarkEnd w:id="97"/>
      <w:bookmarkEnd w:id="98"/>
      <w:bookmarkEnd w:id="99"/>
      <w:bookmarkEnd w:id="100"/>
      <w:bookmarkEnd w:id="101"/>
      <w:bookmarkEnd w:id="102"/>
      <w:bookmarkEnd w:id="103"/>
      <w:bookmarkEnd w:id="104"/>
      <w:bookmarkEnd w:id="105"/>
    </w:p>
    <w:p w:rsidR="00FF377D" w:rsidRDefault="00FF377D" w:rsidP="00FF377D">
      <w:pPr>
        <w:pStyle w:val="KeyFindings"/>
      </w:pPr>
      <w:r w:rsidRPr="00264B12">
        <w:t xml:space="preserve">The </w:t>
      </w:r>
      <w:r>
        <w:t>elderly population</w:t>
      </w:r>
      <w:r w:rsidR="00BC533C">
        <w:rPr>
          <w:rStyle w:val="FootnoteReference"/>
        </w:rPr>
        <w:footnoteReference w:id="6"/>
      </w:r>
      <w:r>
        <w:t xml:space="preserve"> in care continued to increase: individuals 60 years or older constituted about 24% </w:t>
      </w:r>
      <w:r w:rsidR="00127928">
        <w:t xml:space="preserve">of the Hospital’s population </w:t>
      </w:r>
      <w:r>
        <w:t>in October 2008.  Th</w:t>
      </w:r>
      <w:r w:rsidR="00127928">
        <w:t>is</w:t>
      </w:r>
      <w:r>
        <w:t xml:space="preserve"> percentage </w:t>
      </w:r>
      <w:r w:rsidR="00127928">
        <w:t xml:space="preserve">increased to </w:t>
      </w:r>
      <w:r>
        <w:t xml:space="preserve">30% in September 2011 and </w:t>
      </w:r>
      <w:r w:rsidR="00127928">
        <w:t xml:space="preserve">has been </w:t>
      </w:r>
      <w:r w:rsidR="00AC441B">
        <w:t xml:space="preserve">at </w:t>
      </w:r>
      <w:r>
        <w:t xml:space="preserve">35% </w:t>
      </w:r>
      <w:r w:rsidR="00176F69">
        <w:t xml:space="preserve">since </w:t>
      </w:r>
      <w:r>
        <w:t>September 201</w:t>
      </w:r>
      <w:r w:rsidR="00176F69">
        <w:t>3</w:t>
      </w:r>
      <w:r>
        <w:t>.</w:t>
      </w:r>
    </w:p>
    <w:p w:rsidR="00FF377D" w:rsidRDefault="00FF377D" w:rsidP="00FF377D">
      <w:pPr>
        <w:pStyle w:val="KeyFindings"/>
      </w:pPr>
      <w:r>
        <w:t xml:space="preserve">While the elderly population steadily increased for several years, the proportion of individuals under 40 years old also </w:t>
      </w:r>
      <w:r w:rsidR="00E4111B">
        <w:t xml:space="preserve">noticeably </w:t>
      </w:r>
      <w:r>
        <w:t>increased</w:t>
      </w:r>
      <w:r w:rsidR="00E4111B">
        <w:t xml:space="preserve">: as of September 30, 2010, only 14% of individuals in care were under 40 years old but the same age group comprised 22% as of September 30, 2014.  </w:t>
      </w:r>
      <w:r w:rsidR="00BC533C">
        <w:t xml:space="preserve">As a result, the </w:t>
      </w:r>
      <w:r>
        <w:t xml:space="preserve">median age </w:t>
      </w:r>
      <w:r w:rsidR="00BC533C">
        <w:t xml:space="preserve">has </w:t>
      </w:r>
      <w:r w:rsidR="00E4111B">
        <w:t>stay</w:t>
      </w:r>
      <w:r w:rsidR="00BC533C">
        <w:t>ed</w:t>
      </w:r>
      <w:r w:rsidR="00E4111B">
        <w:t xml:space="preserve"> </w:t>
      </w:r>
      <w:r>
        <w:t xml:space="preserve">between 55 and 56 years of age </w:t>
      </w:r>
      <w:r w:rsidR="00E4111B">
        <w:t xml:space="preserve">since FY10 despite the consistent increase </w:t>
      </w:r>
      <w:r w:rsidR="002F780C">
        <w:t>in</w:t>
      </w:r>
      <w:r w:rsidR="00E4111B">
        <w:t xml:space="preserve"> the elderly population in care</w:t>
      </w:r>
      <w:r>
        <w:t>.</w:t>
      </w:r>
    </w:p>
    <w:tbl>
      <w:tblPr>
        <w:tblStyle w:val="TableGrid"/>
        <w:tblW w:w="1035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72" w:type="dxa"/>
          <w:left w:w="115" w:type="dxa"/>
          <w:right w:w="115" w:type="dxa"/>
        </w:tblCellMar>
        <w:tblLook w:val="04A0" w:firstRow="1" w:lastRow="0" w:firstColumn="1" w:lastColumn="0" w:noHBand="0" w:noVBand="1"/>
      </w:tblPr>
      <w:tblGrid>
        <w:gridCol w:w="7200"/>
        <w:gridCol w:w="3150"/>
      </w:tblGrid>
      <w:tr w:rsidR="00FF377D" w:rsidRPr="00B502E0" w:rsidTr="00DB3596">
        <w:tc>
          <w:tcPr>
            <w:tcW w:w="7200" w:type="dxa"/>
          </w:tcPr>
          <w:p w:rsidR="00FF377D" w:rsidRPr="00B502E0" w:rsidRDefault="00FF377D" w:rsidP="00DB3596">
            <w:pPr>
              <w:rPr>
                <w:rStyle w:val="FigureChar"/>
              </w:rPr>
            </w:pPr>
            <w:bookmarkStart w:id="106" w:name="_Toc350841484"/>
            <w:bookmarkStart w:id="107" w:name="_Toc416357897"/>
            <w:r w:rsidRPr="00B502E0">
              <w:rPr>
                <w:rStyle w:val="FigureChar"/>
              </w:rPr>
              <w:t xml:space="preserve">Figure </w:t>
            </w:r>
            <w:r w:rsidRPr="00B502E0">
              <w:rPr>
                <w:rStyle w:val="FigureChar"/>
              </w:rPr>
              <w:fldChar w:fldCharType="begin"/>
            </w:r>
            <w:r w:rsidRPr="00B502E0">
              <w:rPr>
                <w:rStyle w:val="FigureChar"/>
              </w:rPr>
              <w:instrText xml:space="preserve"> SEQ Figure \* ARABIC </w:instrText>
            </w:r>
            <w:r w:rsidRPr="00B502E0">
              <w:rPr>
                <w:rStyle w:val="FigureChar"/>
              </w:rPr>
              <w:fldChar w:fldCharType="separate"/>
            </w:r>
            <w:r w:rsidR="007E3DB6">
              <w:rPr>
                <w:rStyle w:val="FigureChar"/>
                <w:noProof/>
              </w:rPr>
              <w:t>12</w:t>
            </w:r>
            <w:r w:rsidRPr="00B502E0">
              <w:rPr>
                <w:rStyle w:val="FigureChar"/>
              </w:rPr>
              <w:fldChar w:fldCharType="end"/>
            </w:r>
            <w:r w:rsidRPr="00B502E0">
              <w:rPr>
                <w:rStyle w:val="FigureChar"/>
              </w:rPr>
              <w:t>. Change in Age Distribution (</w:t>
            </w:r>
            <w:r>
              <w:rPr>
                <w:rStyle w:val="FigureChar"/>
              </w:rPr>
              <w:t>10/31/08 ~ 09/30/14</w:t>
            </w:r>
            <w:r w:rsidRPr="00B502E0">
              <w:rPr>
                <w:rStyle w:val="FigureChar"/>
              </w:rPr>
              <w:t>)</w:t>
            </w:r>
            <w:bookmarkEnd w:id="106"/>
            <w:bookmarkEnd w:id="107"/>
          </w:p>
          <w:p w:rsidR="00FF377D" w:rsidRPr="00B502E0" w:rsidRDefault="00FF377D" w:rsidP="00DB3596">
            <w:r>
              <w:rPr>
                <w:noProof/>
              </w:rPr>
              <w:drawing>
                <wp:inline distT="0" distB="0" distL="0" distR="0" wp14:anchorId="45982A7D" wp14:editId="79A2E901">
                  <wp:extent cx="4762500" cy="3286125"/>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3150" w:type="dxa"/>
          </w:tcPr>
          <w:p w:rsidR="00FF377D" w:rsidRPr="00B502E0" w:rsidRDefault="00FF377D" w:rsidP="00DB3596">
            <w:pPr>
              <w:rPr>
                <w:rStyle w:val="FigureChar"/>
              </w:rPr>
            </w:pPr>
            <w:bookmarkStart w:id="108" w:name="_Toc316897980"/>
            <w:bookmarkStart w:id="109" w:name="_Toc350841485"/>
            <w:bookmarkStart w:id="110" w:name="_Toc416357898"/>
            <w:r w:rsidRPr="00B502E0">
              <w:rPr>
                <w:rStyle w:val="FigureChar"/>
              </w:rPr>
              <w:t xml:space="preserve">Figure </w:t>
            </w:r>
            <w:r w:rsidRPr="00B502E0">
              <w:rPr>
                <w:rStyle w:val="FigureChar"/>
              </w:rPr>
              <w:fldChar w:fldCharType="begin"/>
            </w:r>
            <w:r w:rsidRPr="00B502E0">
              <w:rPr>
                <w:rStyle w:val="FigureChar"/>
              </w:rPr>
              <w:instrText xml:space="preserve"> SEQ Figure \* ARABIC </w:instrText>
            </w:r>
            <w:r w:rsidRPr="00B502E0">
              <w:rPr>
                <w:rStyle w:val="FigureChar"/>
              </w:rPr>
              <w:fldChar w:fldCharType="separate"/>
            </w:r>
            <w:r w:rsidR="007E3DB6">
              <w:rPr>
                <w:rStyle w:val="FigureChar"/>
                <w:noProof/>
              </w:rPr>
              <w:t>13</w:t>
            </w:r>
            <w:r w:rsidRPr="00B502E0">
              <w:rPr>
                <w:rStyle w:val="FigureChar"/>
              </w:rPr>
              <w:fldChar w:fldCharType="end"/>
            </w:r>
            <w:r w:rsidRPr="00B502E0">
              <w:rPr>
                <w:rStyle w:val="FigureChar"/>
              </w:rPr>
              <w:t>. Ch</w:t>
            </w:r>
            <w:r>
              <w:rPr>
                <w:rStyle w:val="FigureChar"/>
              </w:rPr>
              <w:t>a</w:t>
            </w:r>
            <w:r w:rsidRPr="00B502E0">
              <w:rPr>
                <w:rStyle w:val="FigureChar"/>
              </w:rPr>
              <w:t>nge in Median Age</w:t>
            </w:r>
            <w:r>
              <w:rPr>
                <w:rStyle w:val="FigureChar"/>
              </w:rPr>
              <w:t xml:space="preserve"> of Individual</w:t>
            </w:r>
            <w:r w:rsidR="00C62398">
              <w:rPr>
                <w:rStyle w:val="FigureChar"/>
              </w:rPr>
              <w:t>s</w:t>
            </w:r>
            <w:r>
              <w:rPr>
                <w:rStyle w:val="FigureChar"/>
              </w:rPr>
              <w:t xml:space="preserve"> in Care</w:t>
            </w:r>
            <w:r w:rsidRPr="00B502E0">
              <w:rPr>
                <w:rStyle w:val="FigureChar"/>
              </w:rPr>
              <w:t xml:space="preserve"> (</w:t>
            </w:r>
            <w:r>
              <w:rPr>
                <w:rStyle w:val="FigureChar"/>
              </w:rPr>
              <w:t xml:space="preserve">09/30/09 </w:t>
            </w:r>
            <w:r w:rsidRPr="00B502E0">
              <w:rPr>
                <w:rStyle w:val="FigureChar"/>
              </w:rPr>
              <w:t>~</w:t>
            </w:r>
            <w:r>
              <w:rPr>
                <w:rStyle w:val="FigureChar"/>
              </w:rPr>
              <w:t xml:space="preserve"> 09/30/14</w:t>
            </w:r>
            <w:r w:rsidRPr="00B502E0">
              <w:rPr>
                <w:rStyle w:val="FigureChar"/>
              </w:rPr>
              <w:t>)</w:t>
            </w:r>
            <w:bookmarkEnd w:id="108"/>
            <w:bookmarkEnd w:id="109"/>
            <w:bookmarkEnd w:id="110"/>
          </w:p>
          <w:p w:rsidR="00FF377D" w:rsidRPr="00B502E0" w:rsidRDefault="00FF377D" w:rsidP="00DB3596">
            <w:r>
              <w:rPr>
                <w:noProof/>
              </w:rPr>
              <w:drawing>
                <wp:inline distT="0" distB="0" distL="0" distR="0" wp14:anchorId="79D1C545" wp14:editId="7F89D648">
                  <wp:extent cx="1952625" cy="2857500"/>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bl>
    <w:p w:rsidR="006A6A63" w:rsidRDefault="006A6A63" w:rsidP="00FF377D">
      <w:pPr>
        <w:pStyle w:val="KeyFindings"/>
      </w:pPr>
      <w:r>
        <w:t xml:space="preserve">As the </w:t>
      </w:r>
      <w:r w:rsidR="00AD3424">
        <w:t>proportion of individuals above 6</w:t>
      </w:r>
      <w:r>
        <w:t>0 years old and those under 40 years old increased, the age group</w:t>
      </w:r>
      <w:r w:rsidR="00874C42">
        <w:t xml:space="preserve"> </w:t>
      </w:r>
      <w:r>
        <w:t xml:space="preserve">between 50 and 59 years old shrank </w:t>
      </w:r>
      <w:r w:rsidR="00F868B9">
        <w:t xml:space="preserve">considerably </w:t>
      </w:r>
      <w:r>
        <w:t>but still constitute</w:t>
      </w:r>
      <w:r w:rsidR="00874C42">
        <w:t>d</w:t>
      </w:r>
      <w:r>
        <w:t xml:space="preserve"> 30% of the total population</w:t>
      </w:r>
      <w:r w:rsidR="00AD3424">
        <w:t xml:space="preserve"> </w:t>
      </w:r>
      <w:r w:rsidR="00874C42">
        <w:t>as of September 2014</w:t>
      </w:r>
      <w:r>
        <w:t>.</w:t>
      </w:r>
    </w:p>
    <w:p w:rsidR="00FF377D" w:rsidRDefault="00FF377D" w:rsidP="00FF377D">
      <w:pPr>
        <w:pStyle w:val="KeyFindings"/>
      </w:pPr>
      <w:r>
        <w:t xml:space="preserve">The admission and discharge populations </w:t>
      </w:r>
      <w:r w:rsidR="0015120B">
        <w:t>were</w:t>
      </w:r>
      <w:r>
        <w:t xml:space="preserve"> much younger than </w:t>
      </w:r>
      <w:r w:rsidR="00FD76AD">
        <w:t>th</w:t>
      </w:r>
      <w:r w:rsidR="00F43B9A">
        <w:t>e</w:t>
      </w:r>
      <w:r w:rsidR="00FD76AD">
        <w:t xml:space="preserve"> </w:t>
      </w:r>
      <w:r>
        <w:t xml:space="preserve">individuals </w:t>
      </w:r>
      <w:r w:rsidR="00FD76AD">
        <w:t>r</w:t>
      </w:r>
      <w:r>
        <w:t>emaining in care.  In FY1</w:t>
      </w:r>
      <w:r w:rsidR="00EE02E5">
        <w:t>4</w:t>
      </w:r>
      <w:r>
        <w:t xml:space="preserve">, the median age </w:t>
      </w:r>
      <w:r w:rsidR="002F780C">
        <w:t>of</w:t>
      </w:r>
      <w:r>
        <w:t xml:space="preserve"> the admission population was 47 years old and </w:t>
      </w:r>
      <w:r w:rsidR="00F43B9A">
        <w:t xml:space="preserve">that </w:t>
      </w:r>
      <w:r w:rsidR="002F780C">
        <w:t>of</w:t>
      </w:r>
      <w:r w:rsidR="00F43B9A">
        <w:t xml:space="preserve"> the </w:t>
      </w:r>
      <w:r>
        <w:t xml:space="preserve">discharge population was 48 years old while the median age of those remaining in care </w:t>
      </w:r>
      <w:r w:rsidR="0015120B">
        <w:t>on</w:t>
      </w:r>
      <w:r>
        <w:t xml:space="preserve"> the last day of FY14 was 55 years old. </w:t>
      </w:r>
    </w:p>
    <w:p w:rsidR="00FF377D" w:rsidRDefault="00FF377D" w:rsidP="00FF377D">
      <w:pPr>
        <w:pStyle w:val="KeyFindings"/>
      </w:pPr>
      <w:r>
        <w:t>The overall pattern of age distribution among admission and discharge population over the past few years resembled each other: admissions and discharges of those 60 years or older increase</w:t>
      </w:r>
      <w:r w:rsidR="00F51417">
        <w:t>d</w:t>
      </w:r>
      <w:r>
        <w:t xml:space="preserve"> until FY12 but both decreased slightly in FY13.  In FY14, the</w:t>
      </w:r>
      <w:r w:rsidR="00F43B9A">
        <w:t xml:space="preserve"> proportion of the elderly population </w:t>
      </w:r>
      <w:r>
        <w:t xml:space="preserve">reached </w:t>
      </w:r>
      <w:r w:rsidR="00F43B9A">
        <w:t>its</w:t>
      </w:r>
      <w:r>
        <w:t xml:space="preserve"> highest level </w:t>
      </w:r>
      <w:r w:rsidR="00F51417">
        <w:t>at</w:t>
      </w:r>
      <w:r>
        <w:t xml:space="preserve"> 19% </w:t>
      </w:r>
      <w:r w:rsidR="00F43B9A">
        <w:t>among</w:t>
      </w:r>
      <w:r>
        <w:t xml:space="preserve"> admissions and </w:t>
      </w:r>
      <w:r w:rsidR="00F51417">
        <w:t xml:space="preserve">21% </w:t>
      </w:r>
      <w:r w:rsidR="00F43B9A">
        <w:t>among</w:t>
      </w:r>
      <w:r w:rsidR="00F51417">
        <w:t xml:space="preserve"> discharges</w:t>
      </w:r>
      <w:r>
        <w:t>.  The p</w:t>
      </w:r>
      <w:r w:rsidR="00F43B9A">
        <w:t xml:space="preserve">ercentage </w:t>
      </w:r>
      <w:r>
        <w:t xml:space="preserve">of those younger than 30 years old </w:t>
      </w:r>
      <w:r w:rsidR="00F51417">
        <w:t>d</w:t>
      </w:r>
      <w:r w:rsidR="00F868B9">
        <w:t>ec</w:t>
      </w:r>
      <w:r w:rsidR="002F780C">
        <w:t>reased</w:t>
      </w:r>
      <w:r w:rsidR="00F868B9">
        <w:t xml:space="preserve"> gradually for </w:t>
      </w:r>
      <w:r w:rsidR="00F43B9A">
        <w:t>both admissions and discharges between FY11 and FY13 and</w:t>
      </w:r>
      <w:r w:rsidR="00FD76AD">
        <w:t xml:space="preserve"> s</w:t>
      </w:r>
      <w:r>
        <w:t xml:space="preserve">tayed the same </w:t>
      </w:r>
      <w:r w:rsidR="00FD76AD">
        <w:t>in FY14</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8"/>
        <w:gridCol w:w="5148"/>
      </w:tblGrid>
      <w:tr w:rsidR="00FF377D" w:rsidTr="003E1B94">
        <w:trPr>
          <w:trHeight w:val="6066"/>
        </w:trPr>
        <w:tc>
          <w:tcPr>
            <w:tcW w:w="5148" w:type="dxa"/>
          </w:tcPr>
          <w:p w:rsidR="00FF377D" w:rsidRDefault="00FF377D" w:rsidP="003E1B94">
            <w:pPr>
              <w:keepNext/>
              <w:spacing w:before="120"/>
              <w:ind w:left="720" w:hanging="720"/>
              <w:rPr>
                <w:rStyle w:val="FigureChar"/>
              </w:rPr>
            </w:pPr>
            <w:bookmarkStart w:id="111" w:name="_Toc416357899"/>
            <w:r w:rsidRPr="00B502E0">
              <w:rPr>
                <w:rStyle w:val="FigureChar"/>
              </w:rPr>
              <w:t xml:space="preserve">Figure </w:t>
            </w:r>
            <w:r w:rsidRPr="00B502E0">
              <w:rPr>
                <w:rStyle w:val="FigureChar"/>
              </w:rPr>
              <w:fldChar w:fldCharType="begin"/>
            </w:r>
            <w:r w:rsidRPr="00B502E0">
              <w:rPr>
                <w:rStyle w:val="FigureChar"/>
              </w:rPr>
              <w:instrText xml:space="preserve"> SEQ Figure \* ARABIC </w:instrText>
            </w:r>
            <w:r w:rsidRPr="00B502E0">
              <w:rPr>
                <w:rStyle w:val="FigureChar"/>
              </w:rPr>
              <w:fldChar w:fldCharType="separate"/>
            </w:r>
            <w:r w:rsidR="007E3DB6">
              <w:rPr>
                <w:rStyle w:val="FigureChar"/>
                <w:noProof/>
              </w:rPr>
              <w:t>14</w:t>
            </w:r>
            <w:r w:rsidRPr="00B502E0">
              <w:rPr>
                <w:rStyle w:val="FigureChar"/>
              </w:rPr>
              <w:fldChar w:fldCharType="end"/>
            </w:r>
            <w:r w:rsidRPr="00B502E0">
              <w:rPr>
                <w:rStyle w:val="FigureChar"/>
              </w:rPr>
              <w:t xml:space="preserve">. </w:t>
            </w:r>
            <w:r>
              <w:rPr>
                <w:rStyle w:val="FigureChar"/>
              </w:rPr>
              <w:t>Trend of Age Distribution among Admission Population (FY11 ~ FY14)</w:t>
            </w:r>
            <w:bookmarkEnd w:id="111"/>
          </w:p>
          <w:p w:rsidR="00FF377D" w:rsidRDefault="00FF377D" w:rsidP="003E1B94">
            <w:r>
              <w:rPr>
                <w:noProof/>
              </w:rPr>
              <w:drawing>
                <wp:inline distT="0" distB="0" distL="0" distR="0" wp14:anchorId="65EE8FD9" wp14:editId="0C11763D">
                  <wp:extent cx="3094075" cy="3870251"/>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5148" w:type="dxa"/>
          </w:tcPr>
          <w:p w:rsidR="00FF377D" w:rsidRDefault="00FF377D" w:rsidP="003E1B94">
            <w:pPr>
              <w:keepNext/>
              <w:spacing w:before="120"/>
              <w:ind w:left="720" w:hanging="720"/>
              <w:rPr>
                <w:rStyle w:val="FigureChar"/>
              </w:rPr>
            </w:pPr>
            <w:bookmarkStart w:id="112" w:name="_Toc416357900"/>
            <w:r w:rsidRPr="00B502E0">
              <w:rPr>
                <w:rStyle w:val="FigureChar"/>
              </w:rPr>
              <w:t xml:space="preserve">Figure </w:t>
            </w:r>
            <w:r w:rsidRPr="00B502E0">
              <w:rPr>
                <w:rStyle w:val="FigureChar"/>
              </w:rPr>
              <w:fldChar w:fldCharType="begin"/>
            </w:r>
            <w:r w:rsidRPr="00B502E0">
              <w:rPr>
                <w:rStyle w:val="FigureChar"/>
              </w:rPr>
              <w:instrText xml:space="preserve"> SEQ Figure \* ARABIC </w:instrText>
            </w:r>
            <w:r w:rsidRPr="00B502E0">
              <w:rPr>
                <w:rStyle w:val="FigureChar"/>
              </w:rPr>
              <w:fldChar w:fldCharType="separate"/>
            </w:r>
            <w:r w:rsidR="007E3DB6">
              <w:rPr>
                <w:rStyle w:val="FigureChar"/>
                <w:noProof/>
              </w:rPr>
              <w:t>15</w:t>
            </w:r>
            <w:r w:rsidRPr="00B502E0">
              <w:rPr>
                <w:rStyle w:val="FigureChar"/>
              </w:rPr>
              <w:fldChar w:fldCharType="end"/>
            </w:r>
            <w:r w:rsidRPr="00B502E0">
              <w:rPr>
                <w:rStyle w:val="FigureChar"/>
              </w:rPr>
              <w:t xml:space="preserve">. </w:t>
            </w:r>
            <w:r>
              <w:rPr>
                <w:rStyle w:val="FigureChar"/>
              </w:rPr>
              <w:t>Trend of Age Distribution among Discharge Population (FY11 ~ FY14)</w:t>
            </w:r>
            <w:bookmarkEnd w:id="112"/>
          </w:p>
          <w:p w:rsidR="00FF377D" w:rsidRPr="0076271F" w:rsidRDefault="00FF377D" w:rsidP="003E1B94">
            <w:r>
              <w:rPr>
                <w:noProof/>
              </w:rPr>
              <w:drawing>
                <wp:inline distT="0" distB="0" distL="0" distR="0" wp14:anchorId="14F1C60C" wp14:editId="1A478391">
                  <wp:extent cx="3094074" cy="3870251"/>
                  <wp:effectExtent l="0" t="0" r="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bl>
    <w:tbl>
      <w:tblPr>
        <w:tblpPr w:leftFromText="187" w:rightFromText="187" w:vertAnchor="text" w:horzAnchor="margin" w:tblpXSpec="right" w:tblpY="429"/>
        <w:tblW w:w="546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Look w:val="04A0" w:firstRow="1" w:lastRow="0" w:firstColumn="1" w:lastColumn="0" w:noHBand="0" w:noVBand="1"/>
      </w:tblPr>
      <w:tblGrid>
        <w:gridCol w:w="1169"/>
        <w:gridCol w:w="679"/>
        <w:gridCol w:w="809"/>
        <w:gridCol w:w="630"/>
        <w:gridCol w:w="693"/>
        <w:gridCol w:w="809"/>
        <w:gridCol w:w="671"/>
      </w:tblGrid>
      <w:tr w:rsidR="00FF377D" w:rsidTr="003E1B94">
        <w:trPr>
          <w:trHeight w:val="350"/>
        </w:trPr>
        <w:tc>
          <w:tcPr>
            <w:tcW w:w="5460" w:type="dxa"/>
            <w:gridSpan w:val="7"/>
            <w:tcBorders>
              <w:top w:val="nil"/>
              <w:left w:val="nil"/>
              <w:bottom w:val="single" w:sz="4" w:space="0" w:color="4F81BD" w:themeColor="accent1"/>
              <w:right w:val="nil"/>
            </w:tcBorders>
          </w:tcPr>
          <w:p w:rsidR="00FF377D" w:rsidRDefault="00FF377D" w:rsidP="003E1B94">
            <w:pPr>
              <w:keepNext/>
              <w:spacing w:before="120"/>
              <w:rPr>
                <w:b/>
                <w:color w:val="1F497D" w:themeColor="text2"/>
              </w:rPr>
            </w:pPr>
            <w:bookmarkStart w:id="113" w:name="_Toc316898028"/>
            <w:bookmarkStart w:id="114" w:name="_Toc416357959"/>
            <w:bookmarkStart w:id="115" w:name="_Toc316897935"/>
            <w:bookmarkStart w:id="116" w:name="_Toc349913400"/>
            <w:bookmarkStart w:id="117" w:name="_Toc384134251"/>
            <w:r w:rsidRPr="00650386">
              <w:rPr>
                <w:rStyle w:val="FigureChar"/>
              </w:rPr>
              <w:t xml:space="preserve">Table </w:t>
            </w:r>
            <w:r w:rsidRPr="00650386">
              <w:rPr>
                <w:rStyle w:val="FigureChar"/>
              </w:rPr>
              <w:fldChar w:fldCharType="begin"/>
            </w:r>
            <w:r w:rsidRPr="00650386">
              <w:rPr>
                <w:rStyle w:val="FigureChar"/>
              </w:rPr>
              <w:instrText xml:space="preserve"> SEQ Table \* ARABIC </w:instrText>
            </w:r>
            <w:r w:rsidRPr="00650386">
              <w:rPr>
                <w:rStyle w:val="FigureChar"/>
              </w:rPr>
              <w:fldChar w:fldCharType="separate"/>
            </w:r>
            <w:r w:rsidR="007E3DB6">
              <w:rPr>
                <w:rStyle w:val="FigureChar"/>
                <w:noProof/>
              </w:rPr>
              <w:t>6</w:t>
            </w:r>
            <w:r w:rsidRPr="00650386">
              <w:rPr>
                <w:rStyle w:val="FigureChar"/>
              </w:rPr>
              <w:fldChar w:fldCharType="end"/>
            </w:r>
            <w:r w:rsidRPr="00650386">
              <w:rPr>
                <w:rStyle w:val="FigureChar"/>
              </w:rPr>
              <w:t xml:space="preserve">. </w:t>
            </w:r>
            <w:r>
              <w:rPr>
                <w:rStyle w:val="FigureChar"/>
              </w:rPr>
              <w:t>Gender Ratio by Group (FY13 vs. FY14)</w:t>
            </w:r>
            <w:bookmarkEnd w:id="113"/>
            <w:bookmarkEnd w:id="114"/>
          </w:p>
        </w:tc>
      </w:tr>
      <w:tr w:rsidR="00FF377D" w:rsidRPr="0014403F" w:rsidTr="003E1B94">
        <w:trPr>
          <w:trHeight w:val="233"/>
        </w:trPr>
        <w:tc>
          <w:tcPr>
            <w:tcW w:w="1169" w:type="dxa"/>
            <w:vMerge w:val="restart"/>
            <w:tcBorders>
              <w:top w:val="single" w:sz="4" w:space="0" w:color="4F81BD" w:themeColor="accent1"/>
              <w:right w:val="single" w:sz="4" w:space="0" w:color="4F81BD" w:themeColor="accent1"/>
            </w:tcBorders>
            <w:shd w:val="clear" w:color="auto" w:fill="C6D9F1" w:themeFill="text2" w:themeFillTint="33"/>
            <w:vAlign w:val="center"/>
          </w:tcPr>
          <w:p w:rsidR="00FF377D" w:rsidRPr="0014403F" w:rsidRDefault="00FF377D" w:rsidP="003E1B94">
            <w:pPr>
              <w:jc w:val="center"/>
              <w:rPr>
                <w:b/>
                <w:color w:val="1F497D" w:themeColor="text2"/>
                <w:sz w:val="20"/>
              </w:rPr>
            </w:pPr>
            <w:r w:rsidRPr="0014403F">
              <w:rPr>
                <w:b/>
                <w:color w:val="1F497D" w:themeColor="text2"/>
                <w:sz w:val="20"/>
              </w:rPr>
              <w:t>Group</w:t>
            </w:r>
          </w:p>
        </w:tc>
        <w:tc>
          <w:tcPr>
            <w:tcW w:w="2118" w:type="dxa"/>
            <w:gridSpan w:val="3"/>
            <w:tcBorders>
              <w:top w:val="single" w:sz="4" w:space="0" w:color="4F81BD" w:themeColor="accent1"/>
              <w:right w:val="single" w:sz="12" w:space="0" w:color="4F81BD" w:themeColor="accent1"/>
            </w:tcBorders>
            <w:shd w:val="clear" w:color="auto" w:fill="C6D9F1" w:themeFill="text2" w:themeFillTint="33"/>
          </w:tcPr>
          <w:p w:rsidR="00FF377D" w:rsidRPr="0014403F" w:rsidRDefault="00FF377D" w:rsidP="003E1B94">
            <w:pPr>
              <w:jc w:val="center"/>
              <w:rPr>
                <w:b/>
                <w:color w:val="1F497D" w:themeColor="text2"/>
                <w:sz w:val="20"/>
              </w:rPr>
            </w:pPr>
            <w:r>
              <w:rPr>
                <w:b/>
                <w:color w:val="1F497D" w:themeColor="text2"/>
                <w:sz w:val="20"/>
              </w:rPr>
              <w:t>FY13</w:t>
            </w:r>
          </w:p>
        </w:tc>
        <w:tc>
          <w:tcPr>
            <w:tcW w:w="2173" w:type="dxa"/>
            <w:gridSpan w:val="3"/>
            <w:tcBorders>
              <w:top w:val="single" w:sz="4" w:space="0" w:color="4F81BD" w:themeColor="accent1"/>
              <w:left w:val="single" w:sz="12" w:space="0" w:color="4F81BD" w:themeColor="accent1"/>
              <w:bottom w:val="single" w:sz="4" w:space="0" w:color="4F81BD" w:themeColor="accent1"/>
            </w:tcBorders>
            <w:shd w:val="clear" w:color="auto" w:fill="C6D9F1" w:themeFill="text2" w:themeFillTint="33"/>
          </w:tcPr>
          <w:p w:rsidR="00FF377D" w:rsidRPr="0014403F" w:rsidRDefault="00FF377D" w:rsidP="003E1B94">
            <w:pPr>
              <w:jc w:val="center"/>
              <w:rPr>
                <w:b/>
                <w:color w:val="1F497D" w:themeColor="text2"/>
                <w:sz w:val="20"/>
              </w:rPr>
            </w:pPr>
            <w:r>
              <w:rPr>
                <w:b/>
                <w:color w:val="1F497D" w:themeColor="text2"/>
                <w:sz w:val="20"/>
              </w:rPr>
              <w:t>FY14</w:t>
            </w:r>
          </w:p>
        </w:tc>
      </w:tr>
      <w:tr w:rsidR="00FF377D" w:rsidTr="003E1B94">
        <w:trPr>
          <w:trHeight w:val="152"/>
        </w:trPr>
        <w:tc>
          <w:tcPr>
            <w:tcW w:w="1169" w:type="dxa"/>
            <w:vMerge/>
            <w:tcBorders>
              <w:bottom w:val="nil"/>
              <w:right w:val="single" w:sz="4" w:space="0" w:color="4F81BD" w:themeColor="accent1"/>
            </w:tcBorders>
            <w:shd w:val="clear" w:color="auto" w:fill="C6D9F1" w:themeFill="text2" w:themeFillTint="33"/>
            <w:vAlign w:val="center"/>
          </w:tcPr>
          <w:p w:rsidR="00FF377D" w:rsidRDefault="00FF377D" w:rsidP="003E1B94">
            <w:pPr>
              <w:rPr>
                <w:color w:val="1F497D" w:themeColor="text2"/>
                <w:sz w:val="20"/>
              </w:rPr>
            </w:pPr>
          </w:p>
        </w:tc>
        <w:tc>
          <w:tcPr>
            <w:tcW w:w="679" w:type="dxa"/>
            <w:tcBorders>
              <w:top w:val="single" w:sz="4" w:space="0" w:color="4F81BD" w:themeColor="accent1"/>
              <w:bottom w:val="single" w:sz="4" w:space="0" w:color="4F81BD" w:themeColor="accent1"/>
              <w:right w:val="single" w:sz="12" w:space="0" w:color="4F81BD" w:themeColor="accent1"/>
            </w:tcBorders>
            <w:vAlign w:val="center"/>
          </w:tcPr>
          <w:p w:rsidR="00FF377D" w:rsidRDefault="00FF377D" w:rsidP="003E1B94">
            <w:pPr>
              <w:jc w:val="center"/>
              <w:rPr>
                <w:color w:val="1F497D" w:themeColor="text2"/>
                <w:sz w:val="20"/>
              </w:rPr>
            </w:pPr>
            <w:r>
              <w:rPr>
                <w:color w:val="1F497D" w:themeColor="text2"/>
                <w:sz w:val="20"/>
              </w:rPr>
              <w:t>Total</w:t>
            </w:r>
          </w:p>
        </w:tc>
        <w:tc>
          <w:tcPr>
            <w:tcW w:w="809" w:type="dxa"/>
            <w:tcBorders>
              <w:top w:val="single" w:sz="4" w:space="0" w:color="4F81BD" w:themeColor="accent1"/>
              <w:left w:val="single" w:sz="12" w:space="0" w:color="4F81BD" w:themeColor="accent1"/>
              <w:bottom w:val="nil"/>
              <w:right w:val="single" w:sz="4" w:space="0" w:color="4F81BD" w:themeColor="accent1"/>
            </w:tcBorders>
            <w:vAlign w:val="center"/>
          </w:tcPr>
          <w:p w:rsidR="00FF377D" w:rsidRDefault="00FF377D" w:rsidP="003E1B94">
            <w:pPr>
              <w:jc w:val="center"/>
              <w:rPr>
                <w:color w:val="1F497D" w:themeColor="text2"/>
                <w:sz w:val="20"/>
              </w:rPr>
            </w:pPr>
            <w:r>
              <w:rPr>
                <w:color w:val="1F497D" w:themeColor="text2"/>
                <w:sz w:val="20"/>
              </w:rPr>
              <w:t>Female</w:t>
            </w:r>
          </w:p>
        </w:tc>
        <w:tc>
          <w:tcPr>
            <w:tcW w:w="630" w:type="dxa"/>
            <w:tcBorders>
              <w:top w:val="single" w:sz="4" w:space="0" w:color="4F81BD" w:themeColor="accent1"/>
              <w:left w:val="single" w:sz="4" w:space="0" w:color="4F81BD" w:themeColor="accent1"/>
              <w:bottom w:val="nil"/>
              <w:right w:val="single" w:sz="12" w:space="0" w:color="4F81BD" w:themeColor="accent1"/>
            </w:tcBorders>
            <w:vAlign w:val="center"/>
          </w:tcPr>
          <w:p w:rsidR="00FF377D" w:rsidRDefault="00FF377D" w:rsidP="003E1B94">
            <w:pPr>
              <w:jc w:val="center"/>
              <w:rPr>
                <w:color w:val="1F497D" w:themeColor="text2"/>
                <w:sz w:val="20"/>
              </w:rPr>
            </w:pPr>
            <w:r>
              <w:rPr>
                <w:color w:val="1F497D" w:themeColor="text2"/>
                <w:sz w:val="20"/>
              </w:rPr>
              <w:t>Male</w:t>
            </w:r>
          </w:p>
        </w:tc>
        <w:tc>
          <w:tcPr>
            <w:tcW w:w="693" w:type="dxa"/>
            <w:tcBorders>
              <w:top w:val="single" w:sz="4" w:space="0" w:color="4F81BD" w:themeColor="accent1"/>
              <w:left w:val="single" w:sz="12" w:space="0" w:color="4F81BD" w:themeColor="accent1"/>
              <w:bottom w:val="nil"/>
              <w:right w:val="single" w:sz="12" w:space="0" w:color="4F81BD" w:themeColor="accent1"/>
            </w:tcBorders>
            <w:vAlign w:val="center"/>
          </w:tcPr>
          <w:p w:rsidR="00FF377D" w:rsidRDefault="00FF377D" w:rsidP="003E1B94">
            <w:pPr>
              <w:jc w:val="center"/>
              <w:rPr>
                <w:color w:val="1F497D" w:themeColor="text2"/>
                <w:sz w:val="20"/>
              </w:rPr>
            </w:pPr>
            <w:r>
              <w:rPr>
                <w:color w:val="1F497D" w:themeColor="text2"/>
                <w:sz w:val="20"/>
              </w:rPr>
              <w:t>Total</w:t>
            </w:r>
          </w:p>
        </w:tc>
        <w:tc>
          <w:tcPr>
            <w:tcW w:w="809" w:type="dxa"/>
            <w:tcBorders>
              <w:top w:val="single" w:sz="4" w:space="0" w:color="4F81BD" w:themeColor="accent1"/>
              <w:left w:val="single" w:sz="12" w:space="0" w:color="4F81BD" w:themeColor="accent1"/>
              <w:bottom w:val="nil"/>
            </w:tcBorders>
            <w:vAlign w:val="center"/>
          </w:tcPr>
          <w:p w:rsidR="00FF377D" w:rsidRDefault="00FF377D" w:rsidP="003E1B94">
            <w:pPr>
              <w:jc w:val="center"/>
              <w:rPr>
                <w:color w:val="1F497D" w:themeColor="text2"/>
                <w:sz w:val="20"/>
              </w:rPr>
            </w:pPr>
            <w:r>
              <w:rPr>
                <w:color w:val="1F497D" w:themeColor="text2"/>
                <w:sz w:val="20"/>
              </w:rPr>
              <w:t>Female</w:t>
            </w:r>
          </w:p>
        </w:tc>
        <w:tc>
          <w:tcPr>
            <w:tcW w:w="671" w:type="dxa"/>
            <w:tcBorders>
              <w:top w:val="single" w:sz="4" w:space="0" w:color="4F81BD" w:themeColor="accent1"/>
              <w:left w:val="single" w:sz="4" w:space="0" w:color="4F81BD" w:themeColor="accent1"/>
              <w:bottom w:val="nil"/>
            </w:tcBorders>
            <w:vAlign w:val="center"/>
          </w:tcPr>
          <w:p w:rsidR="00FF377D" w:rsidRDefault="00FF377D" w:rsidP="003E1B94">
            <w:pPr>
              <w:jc w:val="center"/>
              <w:rPr>
                <w:color w:val="1F497D" w:themeColor="text2"/>
                <w:sz w:val="20"/>
              </w:rPr>
            </w:pPr>
            <w:r>
              <w:rPr>
                <w:color w:val="1F497D" w:themeColor="text2"/>
                <w:sz w:val="20"/>
              </w:rPr>
              <w:t>Male</w:t>
            </w:r>
          </w:p>
        </w:tc>
      </w:tr>
      <w:tr w:rsidR="00FF377D" w:rsidRPr="0014403F" w:rsidTr="003E1B94">
        <w:trPr>
          <w:trHeight w:val="350"/>
        </w:trPr>
        <w:tc>
          <w:tcPr>
            <w:tcW w:w="1169" w:type="dxa"/>
            <w:tcBorders>
              <w:top w:val="single" w:sz="4" w:space="0" w:color="4F81BD" w:themeColor="accent1"/>
              <w:bottom w:val="nil"/>
              <w:right w:val="single" w:sz="4" w:space="0" w:color="4F81BD" w:themeColor="accent1"/>
            </w:tcBorders>
            <w:vAlign w:val="center"/>
          </w:tcPr>
          <w:p w:rsidR="00FF377D" w:rsidRPr="0014403F" w:rsidRDefault="00FF377D" w:rsidP="003E1B94">
            <w:pPr>
              <w:rPr>
                <w:color w:val="1F497D" w:themeColor="text2"/>
                <w:sz w:val="20"/>
              </w:rPr>
            </w:pPr>
            <w:r>
              <w:rPr>
                <w:color w:val="1F497D" w:themeColor="text2"/>
                <w:sz w:val="20"/>
              </w:rPr>
              <w:t xml:space="preserve">Admissions </w:t>
            </w:r>
          </w:p>
        </w:tc>
        <w:tc>
          <w:tcPr>
            <w:tcW w:w="679" w:type="dxa"/>
            <w:tcBorders>
              <w:top w:val="single" w:sz="4" w:space="0" w:color="4F81BD" w:themeColor="accent1"/>
              <w:bottom w:val="nil"/>
              <w:right w:val="single" w:sz="12" w:space="0" w:color="4F81BD" w:themeColor="accent1"/>
            </w:tcBorders>
            <w:vAlign w:val="center"/>
          </w:tcPr>
          <w:p w:rsidR="00FF377D" w:rsidRDefault="00FF377D" w:rsidP="003E1B94">
            <w:pPr>
              <w:jc w:val="center"/>
              <w:rPr>
                <w:rFonts w:cs="Arial"/>
                <w:color w:val="1F497D"/>
                <w:sz w:val="20"/>
              </w:rPr>
            </w:pPr>
            <w:r>
              <w:rPr>
                <w:rFonts w:cs="Arial"/>
                <w:color w:val="1F497D"/>
                <w:sz w:val="20"/>
              </w:rPr>
              <w:t>423</w:t>
            </w:r>
          </w:p>
        </w:tc>
        <w:tc>
          <w:tcPr>
            <w:tcW w:w="809" w:type="dxa"/>
            <w:tcBorders>
              <w:top w:val="single" w:sz="4" w:space="0" w:color="4F81BD" w:themeColor="accent1"/>
              <w:left w:val="single" w:sz="12" w:space="0" w:color="4F81BD" w:themeColor="accent1"/>
              <w:bottom w:val="nil"/>
              <w:right w:val="single" w:sz="4" w:space="0" w:color="4F81BD" w:themeColor="accent1"/>
            </w:tcBorders>
            <w:vAlign w:val="center"/>
          </w:tcPr>
          <w:p w:rsidR="00FF377D" w:rsidRDefault="00FF377D" w:rsidP="003E1B94">
            <w:pPr>
              <w:jc w:val="center"/>
              <w:rPr>
                <w:rFonts w:cs="Arial"/>
                <w:color w:val="1F497D"/>
                <w:sz w:val="20"/>
              </w:rPr>
            </w:pPr>
            <w:r>
              <w:rPr>
                <w:rFonts w:cs="Arial"/>
                <w:color w:val="1F497D"/>
                <w:sz w:val="20"/>
              </w:rPr>
              <w:t>36%</w:t>
            </w:r>
          </w:p>
        </w:tc>
        <w:tc>
          <w:tcPr>
            <w:tcW w:w="630" w:type="dxa"/>
            <w:tcBorders>
              <w:top w:val="single" w:sz="4" w:space="0" w:color="4F81BD" w:themeColor="accent1"/>
              <w:left w:val="single" w:sz="4" w:space="0" w:color="4F81BD" w:themeColor="accent1"/>
              <w:bottom w:val="nil"/>
              <w:right w:val="single" w:sz="12" w:space="0" w:color="4F81BD" w:themeColor="accent1"/>
            </w:tcBorders>
            <w:vAlign w:val="center"/>
          </w:tcPr>
          <w:p w:rsidR="00FF377D" w:rsidRDefault="00FF377D" w:rsidP="003E1B94">
            <w:pPr>
              <w:jc w:val="center"/>
              <w:rPr>
                <w:rFonts w:cs="Arial"/>
                <w:color w:val="1F497D"/>
                <w:sz w:val="20"/>
              </w:rPr>
            </w:pPr>
            <w:r>
              <w:rPr>
                <w:rFonts w:cs="Arial"/>
                <w:color w:val="1F497D"/>
                <w:sz w:val="20"/>
              </w:rPr>
              <w:t>64%</w:t>
            </w:r>
          </w:p>
        </w:tc>
        <w:tc>
          <w:tcPr>
            <w:tcW w:w="693" w:type="dxa"/>
            <w:tcBorders>
              <w:top w:val="single" w:sz="4" w:space="0" w:color="4F81BD" w:themeColor="accent1"/>
              <w:left w:val="single" w:sz="12" w:space="0" w:color="4F81BD" w:themeColor="accent1"/>
              <w:bottom w:val="nil"/>
              <w:right w:val="single" w:sz="12" w:space="0" w:color="4F81BD" w:themeColor="accent1"/>
            </w:tcBorders>
            <w:vAlign w:val="center"/>
          </w:tcPr>
          <w:p w:rsidR="00FF377D" w:rsidRDefault="00FF377D" w:rsidP="003E1B94">
            <w:pPr>
              <w:jc w:val="center"/>
              <w:rPr>
                <w:rFonts w:cs="Arial"/>
                <w:color w:val="1F497D"/>
                <w:sz w:val="20"/>
              </w:rPr>
            </w:pPr>
            <w:r>
              <w:rPr>
                <w:rFonts w:cs="Arial"/>
                <w:color w:val="1F497D"/>
                <w:sz w:val="20"/>
              </w:rPr>
              <w:t>434</w:t>
            </w:r>
          </w:p>
        </w:tc>
        <w:tc>
          <w:tcPr>
            <w:tcW w:w="809" w:type="dxa"/>
            <w:tcBorders>
              <w:top w:val="single" w:sz="4" w:space="0" w:color="4F81BD" w:themeColor="accent1"/>
              <w:left w:val="single" w:sz="12" w:space="0" w:color="4F81BD" w:themeColor="accent1"/>
              <w:bottom w:val="nil"/>
            </w:tcBorders>
            <w:vAlign w:val="center"/>
          </w:tcPr>
          <w:p w:rsidR="00FF377D" w:rsidRDefault="00FF377D" w:rsidP="003E1B94">
            <w:pPr>
              <w:jc w:val="center"/>
              <w:rPr>
                <w:rFonts w:cs="Arial"/>
                <w:color w:val="1F497D"/>
                <w:sz w:val="20"/>
              </w:rPr>
            </w:pPr>
            <w:r>
              <w:rPr>
                <w:rFonts w:cs="Arial"/>
                <w:color w:val="1F497D"/>
                <w:sz w:val="20"/>
              </w:rPr>
              <w:t>35%</w:t>
            </w:r>
          </w:p>
        </w:tc>
        <w:tc>
          <w:tcPr>
            <w:tcW w:w="671" w:type="dxa"/>
            <w:tcBorders>
              <w:top w:val="single" w:sz="4" w:space="0" w:color="4F81BD" w:themeColor="accent1"/>
              <w:left w:val="single" w:sz="4" w:space="0" w:color="4F81BD" w:themeColor="accent1"/>
              <w:bottom w:val="nil"/>
            </w:tcBorders>
            <w:vAlign w:val="center"/>
          </w:tcPr>
          <w:p w:rsidR="00FF377D" w:rsidRDefault="00FF377D" w:rsidP="003E1B94">
            <w:pPr>
              <w:jc w:val="center"/>
              <w:rPr>
                <w:rFonts w:cs="Arial"/>
                <w:color w:val="1F497D"/>
                <w:sz w:val="20"/>
              </w:rPr>
            </w:pPr>
            <w:r>
              <w:rPr>
                <w:rFonts w:cs="Arial"/>
                <w:color w:val="1F497D"/>
                <w:sz w:val="20"/>
              </w:rPr>
              <w:t>65%</w:t>
            </w:r>
          </w:p>
        </w:tc>
      </w:tr>
      <w:tr w:rsidR="00FF377D" w:rsidRPr="0014403F" w:rsidTr="003E1B94">
        <w:trPr>
          <w:trHeight w:val="350"/>
        </w:trPr>
        <w:tc>
          <w:tcPr>
            <w:tcW w:w="1169" w:type="dxa"/>
            <w:tcBorders>
              <w:top w:val="nil"/>
              <w:bottom w:val="nil"/>
              <w:right w:val="single" w:sz="4" w:space="0" w:color="4F81BD" w:themeColor="accent1"/>
            </w:tcBorders>
            <w:vAlign w:val="center"/>
          </w:tcPr>
          <w:p w:rsidR="00FF377D" w:rsidRPr="0014403F" w:rsidRDefault="00FF377D" w:rsidP="003E1B94">
            <w:pPr>
              <w:rPr>
                <w:color w:val="1F497D" w:themeColor="text2"/>
                <w:sz w:val="20"/>
              </w:rPr>
            </w:pPr>
            <w:r>
              <w:rPr>
                <w:color w:val="1F497D" w:themeColor="text2"/>
                <w:sz w:val="20"/>
              </w:rPr>
              <w:t xml:space="preserve">Discharges </w:t>
            </w:r>
          </w:p>
        </w:tc>
        <w:tc>
          <w:tcPr>
            <w:tcW w:w="679" w:type="dxa"/>
            <w:tcBorders>
              <w:top w:val="nil"/>
              <w:bottom w:val="nil"/>
              <w:right w:val="single" w:sz="12" w:space="0" w:color="4F81BD" w:themeColor="accent1"/>
            </w:tcBorders>
            <w:vAlign w:val="center"/>
          </w:tcPr>
          <w:p w:rsidR="00FF377D" w:rsidRDefault="00FF377D" w:rsidP="003E1B94">
            <w:pPr>
              <w:jc w:val="center"/>
              <w:rPr>
                <w:rFonts w:cs="Arial"/>
                <w:color w:val="1F497D"/>
                <w:sz w:val="20"/>
              </w:rPr>
            </w:pPr>
            <w:r>
              <w:rPr>
                <w:rFonts w:cs="Arial"/>
                <w:color w:val="1F497D"/>
                <w:sz w:val="20"/>
              </w:rPr>
              <w:t>429</w:t>
            </w:r>
          </w:p>
        </w:tc>
        <w:tc>
          <w:tcPr>
            <w:tcW w:w="809" w:type="dxa"/>
            <w:tcBorders>
              <w:top w:val="nil"/>
              <w:left w:val="single" w:sz="12" w:space="0" w:color="4F81BD" w:themeColor="accent1"/>
              <w:bottom w:val="nil"/>
              <w:right w:val="single" w:sz="4" w:space="0" w:color="4F81BD" w:themeColor="accent1"/>
            </w:tcBorders>
            <w:vAlign w:val="center"/>
          </w:tcPr>
          <w:p w:rsidR="00FF377D" w:rsidRDefault="00FF377D" w:rsidP="003E1B94">
            <w:pPr>
              <w:jc w:val="center"/>
              <w:rPr>
                <w:rFonts w:cs="Arial"/>
                <w:color w:val="1F497D"/>
                <w:sz w:val="20"/>
              </w:rPr>
            </w:pPr>
            <w:r>
              <w:rPr>
                <w:rFonts w:cs="Arial"/>
                <w:color w:val="1F497D"/>
                <w:sz w:val="20"/>
              </w:rPr>
              <w:t>35%</w:t>
            </w:r>
          </w:p>
        </w:tc>
        <w:tc>
          <w:tcPr>
            <w:tcW w:w="630" w:type="dxa"/>
            <w:tcBorders>
              <w:top w:val="nil"/>
              <w:left w:val="single" w:sz="4" w:space="0" w:color="4F81BD" w:themeColor="accent1"/>
              <w:bottom w:val="nil"/>
              <w:right w:val="single" w:sz="12" w:space="0" w:color="4F81BD" w:themeColor="accent1"/>
            </w:tcBorders>
            <w:vAlign w:val="center"/>
          </w:tcPr>
          <w:p w:rsidR="00FF377D" w:rsidRDefault="00FF377D" w:rsidP="003E1B94">
            <w:pPr>
              <w:jc w:val="center"/>
              <w:rPr>
                <w:rFonts w:cs="Arial"/>
                <w:color w:val="1F497D"/>
                <w:sz w:val="20"/>
              </w:rPr>
            </w:pPr>
            <w:r>
              <w:rPr>
                <w:rFonts w:cs="Arial"/>
                <w:color w:val="1F497D"/>
                <w:sz w:val="20"/>
              </w:rPr>
              <w:t>65%</w:t>
            </w:r>
          </w:p>
        </w:tc>
        <w:tc>
          <w:tcPr>
            <w:tcW w:w="693" w:type="dxa"/>
            <w:tcBorders>
              <w:top w:val="nil"/>
              <w:left w:val="single" w:sz="12" w:space="0" w:color="4F81BD" w:themeColor="accent1"/>
              <w:bottom w:val="nil"/>
              <w:right w:val="single" w:sz="12" w:space="0" w:color="4F81BD" w:themeColor="accent1"/>
            </w:tcBorders>
            <w:vAlign w:val="center"/>
          </w:tcPr>
          <w:p w:rsidR="00FF377D" w:rsidRDefault="00FF377D" w:rsidP="003E1B94">
            <w:pPr>
              <w:jc w:val="center"/>
              <w:rPr>
                <w:rFonts w:cs="Arial"/>
                <w:color w:val="1F497D"/>
                <w:sz w:val="20"/>
              </w:rPr>
            </w:pPr>
            <w:r>
              <w:rPr>
                <w:rFonts w:cs="Arial"/>
                <w:color w:val="1F497D"/>
                <w:sz w:val="20"/>
              </w:rPr>
              <w:t>429</w:t>
            </w:r>
          </w:p>
        </w:tc>
        <w:tc>
          <w:tcPr>
            <w:tcW w:w="809" w:type="dxa"/>
            <w:tcBorders>
              <w:top w:val="nil"/>
              <w:left w:val="single" w:sz="12" w:space="0" w:color="4F81BD" w:themeColor="accent1"/>
              <w:bottom w:val="nil"/>
            </w:tcBorders>
            <w:vAlign w:val="center"/>
          </w:tcPr>
          <w:p w:rsidR="00FF377D" w:rsidRDefault="00FF377D" w:rsidP="003E1B94">
            <w:pPr>
              <w:jc w:val="center"/>
              <w:rPr>
                <w:rFonts w:cs="Arial"/>
                <w:color w:val="1F497D"/>
                <w:sz w:val="20"/>
              </w:rPr>
            </w:pPr>
            <w:r>
              <w:rPr>
                <w:rFonts w:cs="Arial"/>
                <w:color w:val="1F497D"/>
                <w:sz w:val="20"/>
              </w:rPr>
              <w:t>30%</w:t>
            </w:r>
          </w:p>
        </w:tc>
        <w:tc>
          <w:tcPr>
            <w:tcW w:w="671" w:type="dxa"/>
            <w:tcBorders>
              <w:top w:val="nil"/>
              <w:left w:val="single" w:sz="4" w:space="0" w:color="4F81BD" w:themeColor="accent1"/>
              <w:bottom w:val="nil"/>
            </w:tcBorders>
            <w:vAlign w:val="center"/>
          </w:tcPr>
          <w:p w:rsidR="00FF377D" w:rsidRDefault="00FF377D" w:rsidP="003E1B94">
            <w:pPr>
              <w:jc w:val="center"/>
              <w:rPr>
                <w:rFonts w:cs="Arial"/>
                <w:color w:val="1F497D"/>
                <w:sz w:val="20"/>
              </w:rPr>
            </w:pPr>
            <w:r>
              <w:rPr>
                <w:rFonts w:cs="Arial"/>
                <w:color w:val="1F497D"/>
                <w:sz w:val="20"/>
              </w:rPr>
              <w:t>70%</w:t>
            </w:r>
          </w:p>
        </w:tc>
      </w:tr>
      <w:tr w:rsidR="00FF377D" w:rsidRPr="0014403F" w:rsidTr="003E1B94">
        <w:trPr>
          <w:trHeight w:val="350"/>
        </w:trPr>
        <w:tc>
          <w:tcPr>
            <w:tcW w:w="1169" w:type="dxa"/>
            <w:tcBorders>
              <w:top w:val="nil"/>
              <w:bottom w:val="single" w:sz="4" w:space="0" w:color="4F81BD" w:themeColor="accent1"/>
              <w:right w:val="single" w:sz="4" w:space="0" w:color="4F81BD" w:themeColor="accent1"/>
            </w:tcBorders>
            <w:vAlign w:val="center"/>
          </w:tcPr>
          <w:p w:rsidR="00FF377D" w:rsidRPr="0014403F" w:rsidRDefault="00FF377D" w:rsidP="003E1B94">
            <w:pPr>
              <w:rPr>
                <w:color w:val="1F497D" w:themeColor="text2"/>
                <w:sz w:val="20"/>
              </w:rPr>
            </w:pPr>
            <w:r>
              <w:rPr>
                <w:color w:val="1F497D" w:themeColor="text2"/>
                <w:sz w:val="20"/>
              </w:rPr>
              <w:t xml:space="preserve">Remaining </w:t>
            </w:r>
          </w:p>
        </w:tc>
        <w:tc>
          <w:tcPr>
            <w:tcW w:w="679" w:type="dxa"/>
            <w:tcBorders>
              <w:top w:val="nil"/>
              <w:bottom w:val="single" w:sz="4" w:space="0" w:color="4F81BD" w:themeColor="accent1"/>
              <w:right w:val="single" w:sz="12" w:space="0" w:color="4F81BD" w:themeColor="accent1"/>
            </w:tcBorders>
            <w:vAlign w:val="center"/>
          </w:tcPr>
          <w:p w:rsidR="00FF377D" w:rsidRDefault="00FF377D" w:rsidP="003E1B94">
            <w:pPr>
              <w:jc w:val="center"/>
              <w:rPr>
                <w:rFonts w:cs="Arial"/>
                <w:color w:val="1F497D"/>
                <w:sz w:val="20"/>
              </w:rPr>
            </w:pPr>
            <w:r>
              <w:rPr>
                <w:rFonts w:cs="Arial"/>
                <w:color w:val="1F497D"/>
                <w:sz w:val="20"/>
              </w:rPr>
              <w:t>273</w:t>
            </w:r>
          </w:p>
        </w:tc>
        <w:tc>
          <w:tcPr>
            <w:tcW w:w="809" w:type="dxa"/>
            <w:tcBorders>
              <w:top w:val="nil"/>
              <w:left w:val="single" w:sz="12" w:space="0" w:color="4F81BD" w:themeColor="accent1"/>
              <w:bottom w:val="single" w:sz="4" w:space="0" w:color="4F81BD" w:themeColor="accent1"/>
              <w:right w:val="single" w:sz="4" w:space="0" w:color="4F81BD" w:themeColor="accent1"/>
            </w:tcBorders>
            <w:vAlign w:val="center"/>
          </w:tcPr>
          <w:p w:rsidR="00FF377D" w:rsidRDefault="00FF377D" w:rsidP="003E1B94">
            <w:pPr>
              <w:jc w:val="center"/>
              <w:rPr>
                <w:rFonts w:cs="Arial"/>
                <w:color w:val="1F497D"/>
                <w:sz w:val="20"/>
              </w:rPr>
            </w:pPr>
            <w:r>
              <w:rPr>
                <w:rFonts w:cs="Arial"/>
                <w:color w:val="1F497D"/>
                <w:sz w:val="20"/>
              </w:rPr>
              <w:t>26%</w:t>
            </w:r>
          </w:p>
        </w:tc>
        <w:tc>
          <w:tcPr>
            <w:tcW w:w="630" w:type="dxa"/>
            <w:tcBorders>
              <w:top w:val="nil"/>
              <w:left w:val="single" w:sz="4" w:space="0" w:color="4F81BD" w:themeColor="accent1"/>
              <w:bottom w:val="single" w:sz="4" w:space="0" w:color="4F81BD" w:themeColor="accent1"/>
              <w:right w:val="single" w:sz="12" w:space="0" w:color="4F81BD" w:themeColor="accent1"/>
            </w:tcBorders>
            <w:vAlign w:val="center"/>
          </w:tcPr>
          <w:p w:rsidR="00FF377D" w:rsidRDefault="00FF377D" w:rsidP="003E1B94">
            <w:pPr>
              <w:jc w:val="center"/>
              <w:rPr>
                <w:rFonts w:cs="Arial"/>
                <w:color w:val="1F497D"/>
                <w:sz w:val="20"/>
              </w:rPr>
            </w:pPr>
            <w:r>
              <w:rPr>
                <w:rFonts w:cs="Arial"/>
                <w:color w:val="1F497D"/>
                <w:sz w:val="20"/>
              </w:rPr>
              <w:t>74%</w:t>
            </w:r>
          </w:p>
        </w:tc>
        <w:tc>
          <w:tcPr>
            <w:tcW w:w="693" w:type="dxa"/>
            <w:tcBorders>
              <w:top w:val="nil"/>
              <w:left w:val="single" w:sz="12" w:space="0" w:color="4F81BD" w:themeColor="accent1"/>
              <w:bottom w:val="single" w:sz="4" w:space="0" w:color="4F81BD" w:themeColor="accent1"/>
              <w:right w:val="single" w:sz="12" w:space="0" w:color="4F81BD" w:themeColor="accent1"/>
            </w:tcBorders>
            <w:vAlign w:val="center"/>
          </w:tcPr>
          <w:p w:rsidR="00FF377D" w:rsidRDefault="00FF377D" w:rsidP="003E1B94">
            <w:pPr>
              <w:jc w:val="center"/>
              <w:rPr>
                <w:rFonts w:cs="Arial"/>
                <w:color w:val="1F497D"/>
                <w:sz w:val="20"/>
              </w:rPr>
            </w:pPr>
            <w:r>
              <w:rPr>
                <w:rFonts w:cs="Arial"/>
                <w:color w:val="1F497D"/>
                <w:sz w:val="20"/>
              </w:rPr>
              <w:t>278</w:t>
            </w:r>
          </w:p>
        </w:tc>
        <w:tc>
          <w:tcPr>
            <w:tcW w:w="809" w:type="dxa"/>
            <w:tcBorders>
              <w:top w:val="nil"/>
              <w:left w:val="single" w:sz="12" w:space="0" w:color="4F81BD" w:themeColor="accent1"/>
              <w:bottom w:val="single" w:sz="4" w:space="0" w:color="4F81BD" w:themeColor="accent1"/>
            </w:tcBorders>
            <w:vAlign w:val="center"/>
          </w:tcPr>
          <w:p w:rsidR="00FF377D" w:rsidRDefault="00FF377D" w:rsidP="003E1B94">
            <w:pPr>
              <w:jc w:val="center"/>
              <w:rPr>
                <w:rFonts w:cs="Arial"/>
                <w:color w:val="1F497D"/>
                <w:sz w:val="20"/>
              </w:rPr>
            </w:pPr>
            <w:r>
              <w:rPr>
                <w:rFonts w:cs="Arial"/>
                <w:color w:val="1F497D"/>
                <w:sz w:val="20"/>
              </w:rPr>
              <w:t>33%</w:t>
            </w:r>
          </w:p>
        </w:tc>
        <w:tc>
          <w:tcPr>
            <w:tcW w:w="671" w:type="dxa"/>
            <w:tcBorders>
              <w:top w:val="nil"/>
              <w:left w:val="single" w:sz="4" w:space="0" w:color="4F81BD" w:themeColor="accent1"/>
              <w:bottom w:val="single" w:sz="4" w:space="0" w:color="4F81BD" w:themeColor="accent1"/>
            </w:tcBorders>
            <w:vAlign w:val="center"/>
          </w:tcPr>
          <w:p w:rsidR="00FF377D" w:rsidRDefault="00FF377D" w:rsidP="003E1B94">
            <w:pPr>
              <w:jc w:val="center"/>
              <w:rPr>
                <w:rFonts w:cs="Arial"/>
                <w:color w:val="1F497D"/>
                <w:sz w:val="20"/>
              </w:rPr>
            </w:pPr>
            <w:r>
              <w:rPr>
                <w:rFonts w:cs="Arial"/>
                <w:color w:val="1F497D"/>
                <w:sz w:val="20"/>
              </w:rPr>
              <w:t>67%</w:t>
            </w:r>
          </w:p>
        </w:tc>
      </w:tr>
    </w:tbl>
    <w:p w:rsidR="00FF377D" w:rsidRPr="00D760F8" w:rsidRDefault="00FF377D" w:rsidP="00FF377D">
      <w:pPr>
        <w:pStyle w:val="Heading2"/>
      </w:pPr>
      <w:bookmarkStart w:id="118" w:name="_Toc416357857"/>
      <w:r>
        <w:t xml:space="preserve">Gender </w:t>
      </w:r>
      <w:r w:rsidRPr="00D760F8">
        <w:t>Distribution</w:t>
      </w:r>
      <w:bookmarkEnd w:id="115"/>
      <w:bookmarkEnd w:id="116"/>
      <w:bookmarkEnd w:id="117"/>
      <w:bookmarkEnd w:id="118"/>
    </w:p>
    <w:p w:rsidR="0041392A" w:rsidRDefault="0015120B" w:rsidP="00FF377D">
      <w:pPr>
        <w:pStyle w:val="KeyFindings"/>
      </w:pPr>
      <w:r>
        <w:t>As of September 201</w:t>
      </w:r>
      <w:r w:rsidR="002F780C">
        <w:t>4</w:t>
      </w:r>
      <w:r>
        <w:t>, o</w:t>
      </w:r>
      <w:r w:rsidR="00FF377D">
        <w:t>ne out of three individuals</w:t>
      </w:r>
      <w:r w:rsidR="0041392A">
        <w:t xml:space="preserve"> (33%)</w:t>
      </w:r>
      <w:r w:rsidR="00FF377D">
        <w:t xml:space="preserve"> in </w:t>
      </w:r>
      <w:r w:rsidR="0041392A">
        <w:t xml:space="preserve">our care </w:t>
      </w:r>
      <w:r>
        <w:t>wa</w:t>
      </w:r>
      <w:r w:rsidR="0041392A">
        <w:t>s female.</w:t>
      </w:r>
    </w:p>
    <w:p w:rsidR="00FF377D" w:rsidRDefault="00FF377D" w:rsidP="00FF377D">
      <w:pPr>
        <w:pStyle w:val="KeyFindings"/>
      </w:pPr>
      <w:r>
        <w:t xml:space="preserve">The proportion of females </w:t>
      </w:r>
      <w:r w:rsidR="0015120B">
        <w:t>admitted</w:t>
      </w:r>
      <w:r>
        <w:t xml:space="preserve"> in FY14 marginally fell </w:t>
      </w:r>
      <w:r w:rsidR="00BF7C0A">
        <w:t xml:space="preserve">but </w:t>
      </w:r>
      <w:r w:rsidR="0041392A">
        <w:t xml:space="preserve">fewer </w:t>
      </w:r>
      <w:r w:rsidR="00BF7C0A">
        <w:t xml:space="preserve">females </w:t>
      </w:r>
      <w:r w:rsidR="0041392A">
        <w:t>were discharged</w:t>
      </w:r>
      <w:r w:rsidR="00955B98">
        <w:t xml:space="preserve"> during FY14</w:t>
      </w:r>
      <w:r w:rsidR="0041392A">
        <w:t xml:space="preserve">, </w:t>
      </w:r>
      <w:r w:rsidR="005A7B32">
        <w:t xml:space="preserve">leading to an </w:t>
      </w:r>
      <w:r w:rsidR="00BF7C0A">
        <w:t>increas</w:t>
      </w:r>
      <w:r w:rsidR="005A7B32">
        <w:t>e in</w:t>
      </w:r>
      <w:r w:rsidR="0041392A">
        <w:t xml:space="preserve"> the number and </w:t>
      </w:r>
      <w:r w:rsidR="00955B98">
        <w:t xml:space="preserve">the </w:t>
      </w:r>
      <w:r w:rsidR="0041392A">
        <w:t xml:space="preserve">percentage of </w:t>
      </w:r>
      <w:r w:rsidR="00BF7C0A">
        <w:t>females remaining in care</w:t>
      </w:r>
      <w:r w:rsidR="0041392A">
        <w:t xml:space="preserve"> throughout the year</w:t>
      </w:r>
      <w:r w:rsidR="005A7B32">
        <w:t>;</w:t>
      </w:r>
      <w:r w:rsidR="008342A0">
        <w:t xml:space="preserve"> the percentage of females</w:t>
      </w:r>
      <w:r>
        <w:t xml:space="preserve"> </w:t>
      </w:r>
      <w:r w:rsidR="005A7B32">
        <w:t xml:space="preserve">remaining in care </w:t>
      </w:r>
      <w:r w:rsidR="008342A0">
        <w:t xml:space="preserve">increased from 26% in September 2013 </w:t>
      </w:r>
      <w:r>
        <w:t>to 33%</w:t>
      </w:r>
      <w:r w:rsidR="008342A0">
        <w:t xml:space="preserve"> </w:t>
      </w:r>
      <w:r w:rsidR="00955B98">
        <w:t>by</w:t>
      </w:r>
      <w:r w:rsidR="008342A0">
        <w:t xml:space="preserve"> September 2014</w:t>
      </w:r>
      <w:r>
        <w:t>.</w:t>
      </w:r>
      <w:r w:rsidR="0041392A">
        <w:t xml:space="preserve"> </w:t>
      </w:r>
    </w:p>
    <w:p w:rsidR="00FF377D" w:rsidRDefault="00FF377D" w:rsidP="00FF377D">
      <w:pPr>
        <w:pStyle w:val="KeyFindings"/>
      </w:pPr>
      <w:r>
        <w:t>A m</w:t>
      </w:r>
      <w:r w:rsidR="0015120B">
        <w:t xml:space="preserve">ajority of </w:t>
      </w:r>
      <w:r w:rsidR="00C62398">
        <w:t>IICs</w:t>
      </w:r>
      <w:r w:rsidR="0015120B">
        <w:t xml:space="preserve"> fell</w:t>
      </w:r>
      <w:r>
        <w:t xml:space="preserve"> in </w:t>
      </w:r>
      <w:r w:rsidR="005A7B32">
        <w:t xml:space="preserve">an </w:t>
      </w:r>
      <w:r>
        <w:t xml:space="preserve">age </w:t>
      </w:r>
      <w:r w:rsidR="005A7B32">
        <w:t xml:space="preserve">range </w:t>
      </w:r>
      <w:r>
        <w:t>between 50 years old and 69 years old for both the female and male population.  However, male</w:t>
      </w:r>
      <w:r w:rsidR="0015120B">
        <w:t>s were</w:t>
      </w:r>
      <w:r>
        <w:t xml:space="preserve"> more </w:t>
      </w:r>
      <w:r w:rsidR="005A7B32">
        <w:t xml:space="preserve">widely </w:t>
      </w:r>
      <w:r>
        <w:t>spread across the different age groups</w:t>
      </w:r>
      <w:r w:rsidR="00C00E21">
        <w:t>,</w:t>
      </w:r>
      <w:r>
        <w:t xml:space="preserve"> whereas female</w:t>
      </w:r>
      <w:r w:rsidR="0015120B">
        <w:t>s were</w:t>
      </w:r>
      <w:r>
        <w:t xml:space="preserve"> concentrated more in the range of age between 50 and </w:t>
      </w:r>
      <w:r w:rsidR="00426076">
        <w:t>5</w:t>
      </w:r>
      <w:r>
        <w:t>9 years old.</w:t>
      </w:r>
    </w:p>
    <w:p w:rsidR="00FF377D" w:rsidRDefault="00FF377D" w:rsidP="00FF377D">
      <w:pPr>
        <w:pStyle w:val="BodyText"/>
        <w:keepNext/>
        <w:spacing w:before="120"/>
        <w:ind w:left="900" w:hanging="900"/>
        <w:rPr>
          <w:rStyle w:val="FigureChar"/>
        </w:rPr>
      </w:pPr>
      <w:bookmarkStart w:id="119" w:name="_Toc316897981"/>
      <w:bookmarkStart w:id="120" w:name="_Toc350841486"/>
      <w:bookmarkStart w:id="121" w:name="_Toc416357901"/>
      <w:r w:rsidRPr="00650386">
        <w:rPr>
          <w:rStyle w:val="FigureChar"/>
        </w:rPr>
        <w:t xml:space="preserve">Figure </w:t>
      </w:r>
      <w:r w:rsidRPr="00650386">
        <w:rPr>
          <w:rStyle w:val="FigureChar"/>
        </w:rPr>
        <w:fldChar w:fldCharType="begin"/>
      </w:r>
      <w:r w:rsidRPr="00650386">
        <w:rPr>
          <w:rStyle w:val="FigureChar"/>
        </w:rPr>
        <w:instrText xml:space="preserve"> SEQ Figure \* ARABIC </w:instrText>
      </w:r>
      <w:r w:rsidRPr="00650386">
        <w:rPr>
          <w:rStyle w:val="FigureChar"/>
        </w:rPr>
        <w:fldChar w:fldCharType="separate"/>
      </w:r>
      <w:r w:rsidR="007E3DB6">
        <w:rPr>
          <w:rStyle w:val="FigureChar"/>
          <w:noProof/>
        </w:rPr>
        <w:t>16</w:t>
      </w:r>
      <w:r w:rsidRPr="00650386">
        <w:rPr>
          <w:rStyle w:val="FigureChar"/>
        </w:rPr>
        <w:fldChar w:fldCharType="end"/>
      </w:r>
      <w:r w:rsidRPr="00650386">
        <w:rPr>
          <w:rStyle w:val="FigureChar"/>
        </w:rPr>
        <w:t>. Age &amp; Gender Distribution (</w:t>
      </w:r>
      <w:r>
        <w:rPr>
          <w:rStyle w:val="FigureChar"/>
        </w:rPr>
        <w:t>09/30/14</w:t>
      </w:r>
      <w:r w:rsidRPr="00650386">
        <w:rPr>
          <w:rStyle w:val="FigureChar"/>
        </w:rPr>
        <w:t>)</w:t>
      </w:r>
      <w:bookmarkEnd w:id="119"/>
      <w:bookmarkEnd w:id="120"/>
      <w:bookmarkEnd w:id="121"/>
    </w:p>
    <w:p w:rsidR="00FF377D" w:rsidRPr="00B81D18" w:rsidRDefault="00FF377D" w:rsidP="00FF377D">
      <w:pPr>
        <w:rPr>
          <w:rFonts w:eastAsia="SimSun"/>
        </w:rPr>
      </w:pPr>
      <w:r>
        <w:rPr>
          <w:noProof/>
        </w:rPr>
        <w:drawing>
          <wp:inline distT="0" distB="0" distL="0" distR="0" wp14:anchorId="448F16E9" wp14:editId="406EBC31">
            <wp:extent cx="6517758" cy="2519916"/>
            <wp:effectExtent l="0" t="0" r="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F377D" w:rsidRPr="00D760F8" w:rsidRDefault="00FF377D" w:rsidP="00FF377D">
      <w:pPr>
        <w:pStyle w:val="Heading2"/>
      </w:pPr>
      <w:bookmarkStart w:id="122" w:name="_Toc316897936"/>
      <w:bookmarkStart w:id="123" w:name="_Toc349913401"/>
      <w:bookmarkStart w:id="124" w:name="_Toc384134252"/>
      <w:bookmarkStart w:id="125" w:name="_Toc416357858"/>
      <w:r>
        <w:t>Race/Ethnicity and Primary Language</w:t>
      </w:r>
      <w:bookmarkEnd w:id="122"/>
      <w:bookmarkEnd w:id="123"/>
      <w:bookmarkEnd w:id="124"/>
      <w:bookmarkEnd w:id="125"/>
    </w:p>
    <w:tbl>
      <w:tblPr>
        <w:tblpPr w:leftFromText="180" w:rightFromText="180" w:vertAnchor="text" w:horzAnchor="margin" w:tblpY="3291"/>
        <w:tblOverlap w:val="never"/>
        <w:tblW w:w="3629" w:type="dxa"/>
        <w:tblCellMar>
          <w:left w:w="29" w:type="dxa"/>
          <w:right w:w="29" w:type="dxa"/>
        </w:tblCellMar>
        <w:tblLook w:val="0000" w:firstRow="0" w:lastRow="0" w:firstColumn="0" w:lastColumn="0" w:noHBand="0" w:noVBand="0"/>
      </w:tblPr>
      <w:tblGrid>
        <w:gridCol w:w="1559"/>
        <w:gridCol w:w="810"/>
        <w:gridCol w:w="1260"/>
      </w:tblGrid>
      <w:tr w:rsidR="00FF377D" w:rsidRPr="00F7115E" w:rsidTr="003E1B94">
        <w:trPr>
          <w:trHeight w:val="285"/>
        </w:trPr>
        <w:tc>
          <w:tcPr>
            <w:tcW w:w="3629" w:type="dxa"/>
            <w:gridSpan w:val="3"/>
            <w:tcBorders>
              <w:bottom w:val="single" w:sz="4" w:space="0" w:color="4F81BD"/>
            </w:tcBorders>
            <w:shd w:val="clear" w:color="auto" w:fill="auto"/>
            <w:vAlign w:val="center"/>
          </w:tcPr>
          <w:p w:rsidR="00FF377D" w:rsidRPr="00AA17CA" w:rsidRDefault="00FF377D" w:rsidP="003E1B94">
            <w:pPr>
              <w:keepNext/>
              <w:spacing w:before="120"/>
              <w:ind w:left="720" w:hanging="720"/>
              <w:rPr>
                <w:b/>
                <w:sz w:val="20"/>
              </w:rPr>
            </w:pPr>
            <w:bookmarkStart w:id="126" w:name="_Toc316898029"/>
            <w:bookmarkStart w:id="127" w:name="_Toc416357960"/>
            <w:r w:rsidRPr="00650386">
              <w:rPr>
                <w:rStyle w:val="FigureChar"/>
              </w:rPr>
              <w:t xml:space="preserve">Table </w:t>
            </w:r>
            <w:r w:rsidRPr="00650386">
              <w:rPr>
                <w:rStyle w:val="FigureChar"/>
              </w:rPr>
              <w:fldChar w:fldCharType="begin"/>
            </w:r>
            <w:r w:rsidRPr="00650386">
              <w:rPr>
                <w:rStyle w:val="FigureChar"/>
              </w:rPr>
              <w:instrText xml:space="preserve"> SEQ Table \* ARABIC </w:instrText>
            </w:r>
            <w:r w:rsidRPr="00650386">
              <w:rPr>
                <w:rStyle w:val="FigureChar"/>
              </w:rPr>
              <w:fldChar w:fldCharType="separate"/>
            </w:r>
            <w:r w:rsidR="007E3DB6">
              <w:rPr>
                <w:rStyle w:val="FigureChar"/>
                <w:noProof/>
              </w:rPr>
              <w:t>7</w:t>
            </w:r>
            <w:r w:rsidRPr="00650386">
              <w:rPr>
                <w:rStyle w:val="FigureChar"/>
              </w:rPr>
              <w:fldChar w:fldCharType="end"/>
            </w:r>
            <w:r w:rsidRPr="00650386">
              <w:rPr>
                <w:rStyle w:val="FigureChar"/>
              </w:rPr>
              <w:t>. Primary Language (</w:t>
            </w:r>
            <w:r>
              <w:rPr>
                <w:rStyle w:val="FigureChar"/>
              </w:rPr>
              <w:t>09/30/14</w:t>
            </w:r>
            <w:r w:rsidRPr="00650386">
              <w:rPr>
                <w:rStyle w:val="FigureChar"/>
              </w:rPr>
              <w:t>)</w:t>
            </w:r>
            <w:bookmarkEnd w:id="126"/>
            <w:bookmarkEnd w:id="127"/>
          </w:p>
        </w:tc>
      </w:tr>
      <w:tr w:rsidR="00FF377D" w:rsidRPr="00F7115E" w:rsidTr="003E1B94">
        <w:trPr>
          <w:trHeight w:val="285"/>
        </w:trPr>
        <w:tc>
          <w:tcPr>
            <w:tcW w:w="1559" w:type="dxa"/>
            <w:tcBorders>
              <w:top w:val="single" w:sz="4" w:space="0" w:color="4F81BD"/>
              <w:left w:val="single" w:sz="4" w:space="0" w:color="4F81BD"/>
              <w:bottom w:val="single" w:sz="4" w:space="0" w:color="4F81BD"/>
            </w:tcBorders>
            <w:shd w:val="clear" w:color="auto" w:fill="C6D9F1"/>
            <w:vAlign w:val="center"/>
          </w:tcPr>
          <w:p w:rsidR="00FF377D" w:rsidRPr="004C6A92" w:rsidRDefault="00FF377D" w:rsidP="003E1B94">
            <w:pPr>
              <w:rPr>
                <w:b/>
                <w:color w:val="1F497D"/>
                <w:sz w:val="20"/>
              </w:rPr>
            </w:pPr>
            <w:r w:rsidRPr="004C6A92">
              <w:rPr>
                <w:b/>
                <w:color w:val="1F497D"/>
                <w:sz w:val="20"/>
              </w:rPr>
              <w:t>Primary Language</w:t>
            </w:r>
          </w:p>
        </w:tc>
        <w:tc>
          <w:tcPr>
            <w:tcW w:w="810" w:type="dxa"/>
            <w:tcBorders>
              <w:top w:val="single" w:sz="4" w:space="0" w:color="4F81BD"/>
              <w:bottom w:val="single" w:sz="4" w:space="0" w:color="4F81BD"/>
            </w:tcBorders>
            <w:shd w:val="clear" w:color="auto" w:fill="C6D9F1"/>
            <w:vAlign w:val="center"/>
          </w:tcPr>
          <w:p w:rsidR="00FF377D" w:rsidRPr="004C6A92" w:rsidRDefault="00FF377D" w:rsidP="003E1B94">
            <w:pPr>
              <w:jc w:val="center"/>
              <w:rPr>
                <w:b/>
                <w:color w:val="1F497D"/>
                <w:sz w:val="20"/>
              </w:rPr>
            </w:pPr>
            <w:r>
              <w:rPr>
                <w:b/>
                <w:color w:val="1F497D"/>
                <w:sz w:val="20"/>
              </w:rPr>
              <w:t>Number</w:t>
            </w:r>
          </w:p>
        </w:tc>
        <w:tc>
          <w:tcPr>
            <w:tcW w:w="1260" w:type="dxa"/>
            <w:tcBorders>
              <w:top w:val="single" w:sz="4" w:space="0" w:color="4F81BD"/>
              <w:bottom w:val="single" w:sz="4" w:space="0" w:color="4F81BD"/>
              <w:right w:val="single" w:sz="4" w:space="0" w:color="4F81BD"/>
            </w:tcBorders>
            <w:shd w:val="clear" w:color="auto" w:fill="C6D9F1"/>
            <w:vAlign w:val="center"/>
          </w:tcPr>
          <w:p w:rsidR="00FF377D" w:rsidRPr="004C6A92" w:rsidRDefault="00FF377D" w:rsidP="003E1B94">
            <w:pPr>
              <w:jc w:val="center"/>
              <w:rPr>
                <w:b/>
                <w:color w:val="1F497D"/>
                <w:sz w:val="20"/>
              </w:rPr>
            </w:pPr>
            <w:r>
              <w:rPr>
                <w:b/>
                <w:color w:val="1F497D"/>
                <w:sz w:val="20"/>
              </w:rPr>
              <w:t>Percent</w:t>
            </w:r>
          </w:p>
        </w:tc>
      </w:tr>
      <w:tr w:rsidR="00FF377D" w:rsidRPr="008C3C6D" w:rsidTr="003E1B94">
        <w:trPr>
          <w:trHeight w:val="285"/>
        </w:trPr>
        <w:tc>
          <w:tcPr>
            <w:tcW w:w="1559" w:type="dxa"/>
            <w:tcBorders>
              <w:top w:val="single" w:sz="4" w:space="0" w:color="4F81BD"/>
              <w:left w:val="single" w:sz="4" w:space="0" w:color="4F81BD"/>
            </w:tcBorders>
            <w:shd w:val="clear" w:color="auto" w:fill="auto"/>
            <w:vAlign w:val="center"/>
          </w:tcPr>
          <w:p w:rsidR="00FF377D" w:rsidRPr="00AF140F" w:rsidRDefault="00FF377D" w:rsidP="003E1B94">
            <w:pPr>
              <w:rPr>
                <w:rFonts w:cs="Arial"/>
                <w:color w:val="1F497D" w:themeColor="text2"/>
                <w:sz w:val="20"/>
              </w:rPr>
            </w:pPr>
            <w:r w:rsidRPr="00AF140F">
              <w:rPr>
                <w:rFonts w:cs="Arial"/>
                <w:color w:val="1F497D" w:themeColor="text2"/>
                <w:sz w:val="20"/>
              </w:rPr>
              <w:t>Amharic</w:t>
            </w:r>
          </w:p>
        </w:tc>
        <w:tc>
          <w:tcPr>
            <w:tcW w:w="810" w:type="dxa"/>
            <w:tcBorders>
              <w:top w:val="single" w:sz="4" w:space="0" w:color="4F81BD"/>
            </w:tcBorders>
            <w:shd w:val="clear" w:color="auto" w:fill="auto"/>
            <w:noWrap/>
            <w:vAlign w:val="center"/>
          </w:tcPr>
          <w:p w:rsidR="00FF377D" w:rsidRPr="00AF140F" w:rsidRDefault="00FF377D" w:rsidP="003E1B94">
            <w:pPr>
              <w:jc w:val="center"/>
              <w:rPr>
                <w:rFonts w:cs="Arial"/>
                <w:color w:val="1F497D" w:themeColor="text2"/>
                <w:sz w:val="20"/>
              </w:rPr>
            </w:pPr>
            <w:r w:rsidRPr="00AF140F">
              <w:rPr>
                <w:rFonts w:cs="Arial"/>
                <w:color w:val="1F497D" w:themeColor="text2"/>
                <w:sz w:val="20"/>
              </w:rPr>
              <w:t>1</w:t>
            </w:r>
          </w:p>
        </w:tc>
        <w:tc>
          <w:tcPr>
            <w:tcW w:w="1260" w:type="dxa"/>
            <w:tcBorders>
              <w:top w:val="single" w:sz="4" w:space="0" w:color="4F81BD"/>
              <w:right w:val="single" w:sz="4" w:space="0" w:color="4F81BD"/>
            </w:tcBorders>
            <w:shd w:val="clear" w:color="auto" w:fill="auto"/>
            <w:noWrap/>
            <w:vAlign w:val="center"/>
          </w:tcPr>
          <w:p w:rsidR="00FF377D" w:rsidRPr="00AF140F" w:rsidRDefault="00FF377D" w:rsidP="003E1B94">
            <w:pPr>
              <w:jc w:val="center"/>
              <w:rPr>
                <w:rFonts w:cs="Arial"/>
                <w:color w:val="1F497D" w:themeColor="text2"/>
                <w:sz w:val="20"/>
              </w:rPr>
            </w:pPr>
            <w:r w:rsidRPr="00AF140F">
              <w:rPr>
                <w:rFonts w:cs="Arial"/>
                <w:color w:val="1F497D" w:themeColor="text2"/>
                <w:sz w:val="20"/>
              </w:rPr>
              <w:t>0.5%</w:t>
            </w:r>
          </w:p>
        </w:tc>
      </w:tr>
      <w:tr w:rsidR="00FF377D" w:rsidRPr="008C3C6D" w:rsidTr="003E1B94">
        <w:trPr>
          <w:trHeight w:val="285"/>
        </w:trPr>
        <w:tc>
          <w:tcPr>
            <w:tcW w:w="1559" w:type="dxa"/>
            <w:tcBorders>
              <w:left w:val="single" w:sz="4" w:space="0" w:color="4F81BD"/>
            </w:tcBorders>
            <w:shd w:val="clear" w:color="auto" w:fill="auto"/>
            <w:vAlign w:val="center"/>
          </w:tcPr>
          <w:p w:rsidR="00FF377D" w:rsidRPr="00AF140F" w:rsidRDefault="00FF377D" w:rsidP="003E1B94">
            <w:pPr>
              <w:rPr>
                <w:rFonts w:cs="Arial"/>
                <w:color w:val="1F497D" w:themeColor="text2"/>
                <w:sz w:val="20"/>
              </w:rPr>
            </w:pPr>
            <w:r w:rsidRPr="00AF140F">
              <w:rPr>
                <w:rFonts w:cs="Arial"/>
                <w:color w:val="1F497D" w:themeColor="text2"/>
                <w:sz w:val="20"/>
              </w:rPr>
              <w:t>English</w:t>
            </w:r>
          </w:p>
        </w:tc>
        <w:tc>
          <w:tcPr>
            <w:tcW w:w="810" w:type="dxa"/>
            <w:shd w:val="clear" w:color="auto" w:fill="auto"/>
            <w:noWrap/>
            <w:vAlign w:val="center"/>
          </w:tcPr>
          <w:p w:rsidR="00FF377D" w:rsidRPr="00AF140F" w:rsidRDefault="00FF377D" w:rsidP="003E1B94">
            <w:pPr>
              <w:jc w:val="center"/>
              <w:rPr>
                <w:rFonts w:cs="Arial"/>
                <w:color w:val="1F497D" w:themeColor="text2"/>
                <w:sz w:val="20"/>
              </w:rPr>
            </w:pPr>
            <w:r w:rsidRPr="00AF140F">
              <w:rPr>
                <w:rFonts w:cs="Arial"/>
                <w:color w:val="1F497D" w:themeColor="text2"/>
                <w:sz w:val="20"/>
              </w:rPr>
              <w:t>207</w:t>
            </w:r>
          </w:p>
        </w:tc>
        <w:tc>
          <w:tcPr>
            <w:tcW w:w="1260" w:type="dxa"/>
            <w:tcBorders>
              <w:right w:val="single" w:sz="4" w:space="0" w:color="4F81BD"/>
            </w:tcBorders>
            <w:shd w:val="clear" w:color="auto" w:fill="auto"/>
            <w:noWrap/>
            <w:vAlign w:val="center"/>
          </w:tcPr>
          <w:p w:rsidR="00FF377D" w:rsidRPr="00AF140F" w:rsidRDefault="00FF377D" w:rsidP="003E1B94">
            <w:pPr>
              <w:jc w:val="center"/>
              <w:rPr>
                <w:rFonts w:cs="Arial"/>
                <w:color w:val="1F497D" w:themeColor="text2"/>
                <w:sz w:val="20"/>
              </w:rPr>
            </w:pPr>
            <w:r w:rsidRPr="00AF140F">
              <w:rPr>
                <w:rFonts w:cs="Arial"/>
                <w:color w:val="1F497D" w:themeColor="text2"/>
                <w:sz w:val="20"/>
              </w:rPr>
              <w:t>96.3%</w:t>
            </w:r>
          </w:p>
        </w:tc>
      </w:tr>
      <w:tr w:rsidR="00FF377D" w:rsidRPr="008C3C6D" w:rsidTr="003E1B94">
        <w:trPr>
          <w:trHeight w:val="285"/>
        </w:trPr>
        <w:tc>
          <w:tcPr>
            <w:tcW w:w="1559" w:type="dxa"/>
            <w:tcBorders>
              <w:left w:val="single" w:sz="4" w:space="0" w:color="4F81BD"/>
            </w:tcBorders>
            <w:shd w:val="clear" w:color="auto" w:fill="auto"/>
            <w:vAlign w:val="center"/>
          </w:tcPr>
          <w:p w:rsidR="00FF377D" w:rsidRPr="00AF140F" w:rsidRDefault="00FF377D" w:rsidP="003E1B94">
            <w:pPr>
              <w:rPr>
                <w:rFonts w:cs="Arial"/>
                <w:color w:val="1F497D" w:themeColor="text2"/>
                <w:sz w:val="20"/>
              </w:rPr>
            </w:pPr>
            <w:r w:rsidRPr="00AF140F">
              <w:rPr>
                <w:rFonts w:cs="Arial"/>
                <w:color w:val="1F497D" w:themeColor="text2"/>
                <w:sz w:val="20"/>
              </w:rPr>
              <w:t>Korean</w:t>
            </w:r>
          </w:p>
        </w:tc>
        <w:tc>
          <w:tcPr>
            <w:tcW w:w="810" w:type="dxa"/>
            <w:shd w:val="clear" w:color="auto" w:fill="auto"/>
            <w:noWrap/>
            <w:vAlign w:val="center"/>
          </w:tcPr>
          <w:p w:rsidR="00FF377D" w:rsidRPr="00AF140F" w:rsidRDefault="00FF377D" w:rsidP="003E1B94">
            <w:pPr>
              <w:jc w:val="center"/>
              <w:rPr>
                <w:rFonts w:cs="Arial"/>
                <w:color w:val="1F497D" w:themeColor="text2"/>
                <w:sz w:val="20"/>
              </w:rPr>
            </w:pPr>
            <w:r w:rsidRPr="00AF140F">
              <w:rPr>
                <w:rFonts w:cs="Arial"/>
                <w:color w:val="1F497D" w:themeColor="text2"/>
                <w:sz w:val="20"/>
              </w:rPr>
              <w:t>1</w:t>
            </w:r>
          </w:p>
        </w:tc>
        <w:tc>
          <w:tcPr>
            <w:tcW w:w="1260" w:type="dxa"/>
            <w:tcBorders>
              <w:right w:val="single" w:sz="4" w:space="0" w:color="4F81BD"/>
            </w:tcBorders>
            <w:shd w:val="clear" w:color="auto" w:fill="auto"/>
            <w:noWrap/>
            <w:vAlign w:val="center"/>
          </w:tcPr>
          <w:p w:rsidR="00FF377D" w:rsidRPr="00AF140F" w:rsidRDefault="00FF377D" w:rsidP="003E1B94">
            <w:pPr>
              <w:jc w:val="center"/>
              <w:rPr>
                <w:rFonts w:cs="Arial"/>
                <w:color w:val="1F497D" w:themeColor="text2"/>
                <w:sz w:val="20"/>
              </w:rPr>
            </w:pPr>
            <w:r w:rsidRPr="00AF140F">
              <w:rPr>
                <w:rFonts w:cs="Arial"/>
                <w:color w:val="1F497D" w:themeColor="text2"/>
                <w:sz w:val="20"/>
              </w:rPr>
              <w:t>0.5%</w:t>
            </w:r>
          </w:p>
        </w:tc>
      </w:tr>
      <w:tr w:rsidR="00FF377D" w:rsidRPr="008C3C6D" w:rsidTr="003E1B94">
        <w:trPr>
          <w:trHeight w:val="285"/>
        </w:trPr>
        <w:tc>
          <w:tcPr>
            <w:tcW w:w="1559" w:type="dxa"/>
            <w:tcBorders>
              <w:left w:val="single" w:sz="4" w:space="0" w:color="4F81BD"/>
            </w:tcBorders>
            <w:shd w:val="clear" w:color="auto" w:fill="auto"/>
            <w:vAlign w:val="center"/>
          </w:tcPr>
          <w:p w:rsidR="00FF377D" w:rsidRPr="00AF140F" w:rsidRDefault="00FF377D" w:rsidP="003E1B94">
            <w:pPr>
              <w:rPr>
                <w:rFonts w:cs="Arial"/>
                <w:color w:val="1F497D" w:themeColor="text2"/>
                <w:sz w:val="20"/>
              </w:rPr>
            </w:pPr>
            <w:r w:rsidRPr="00AF140F">
              <w:rPr>
                <w:rFonts w:cs="Arial"/>
                <w:color w:val="1F497D" w:themeColor="text2"/>
                <w:sz w:val="20"/>
              </w:rPr>
              <w:t>Spanish</w:t>
            </w:r>
          </w:p>
        </w:tc>
        <w:tc>
          <w:tcPr>
            <w:tcW w:w="810" w:type="dxa"/>
            <w:shd w:val="clear" w:color="auto" w:fill="auto"/>
            <w:noWrap/>
            <w:vAlign w:val="center"/>
          </w:tcPr>
          <w:p w:rsidR="00FF377D" w:rsidRPr="00AF140F" w:rsidRDefault="00FF377D" w:rsidP="003E1B94">
            <w:pPr>
              <w:jc w:val="center"/>
              <w:rPr>
                <w:rFonts w:cs="Arial"/>
                <w:color w:val="1F497D" w:themeColor="text2"/>
                <w:sz w:val="20"/>
              </w:rPr>
            </w:pPr>
            <w:r w:rsidRPr="00AF140F">
              <w:rPr>
                <w:rFonts w:cs="Arial"/>
                <w:color w:val="1F497D" w:themeColor="text2"/>
                <w:sz w:val="20"/>
              </w:rPr>
              <w:t>2</w:t>
            </w:r>
          </w:p>
        </w:tc>
        <w:tc>
          <w:tcPr>
            <w:tcW w:w="1260" w:type="dxa"/>
            <w:tcBorders>
              <w:right w:val="single" w:sz="4" w:space="0" w:color="4F81BD"/>
            </w:tcBorders>
            <w:shd w:val="clear" w:color="auto" w:fill="auto"/>
            <w:noWrap/>
            <w:vAlign w:val="center"/>
          </w:tcPr>
          <w:p w:rsidR="00FF377D" w:rsidRPr="00AF140F" w:rsidRDefault="00FF377D" w:rsidP="003E1B94">
            <w:pPr>
              <w:jc w:val="center"/>
              <w:rPr>
                <w:rFonts w:cs="Arial"/>
                <w:color w:val="1F497D" w:themeColor="text2"/>
                <w:sz w:val="20"/>
              </w:rPr>
            </w:pPr>
            <w:r w:rsidRPr="00AF140F">
              <w:rPr>
                <w:rFonts w:cs="Arial"/>
                <w:color w:val="1F497D" w:themeColor="text2"/>
                <w:sz w:val="20"/>
              </w:rPr>
              <w:t>0.9%</w:t>
            </w:r>
          </w:p>
        </w:tc>
      </w:tr>
      <w:tr w:rsidR="00FF377D" w:rsidRPr="008C3C6D" w:rsidTr="003E1B94">
        <w:trPr>
          <w:trHeight w:val="285"/>
        </w:trPr>
        <w:tc>
          <w:tcPr>
            <w:tcW w:w="1559" w:type="dxa"/>
            <w:tcBorders>
              <w:left w:val="single" w:sz="4" w:space="0" w:color="4F81BD"/>
            </w:tcBorders>
            <w:shd w:val="clear" w:color="auto" w:fill="auto"/>
            <w:vAlign w:val="center"/>
          </w:tcPr>
          <w:p w:rsidR="00FF377D" w:rsidRPr="00AF140F" w:rsidRDefault="00FF377D" w:rsidP="003E1B94">
            <w:pPr>
              <w:rPr>
                <w:rFonts w:cs="Arial"/>
                <w:color w:val="1F497D" w:themeColor="text2"/>
                <w:sz w:val="20"/>
              </w:rPr>
            </w:pPr>
            <w:r w:rsidRPr="00AF140F">
              <w:rPr>
                <w:rFonts w:cs="Arial"/>
                <w:color w:val="1F497D" w:themeColor="text2"/>
                <w:sz w:val="20"/>
              </w:rPr>
              <w:t>Vietnamese</w:t>
            </w:r>
          </w:p>
        </w:tc>
        <w:tc>
          <w:tcPr>
            <w:tcW w:w="810" w:type="dxa"/>
            <w:shd w:val="clear" w:color="auto" w:fill="auto"/>
            <w:noWrap/>
            <w:vAlign w:val="center"/>
          </w:tcPr>
          <w:p w:rsidR="00FF377D" w:rsidRPr="00AF140F" w:rsidRDefault="00FF377D" w:rsidP="003E1B94">
            <w:pPr>
              <w:jc w:val="center"/>
              <w:rPr>
                <w:rFonts w:cs="Arial"/>
                <w:color w:val="1F497D" w:themeColor="text2"/>
                <w:sz w:val="20"/>
              </w:rPr>
            </w:pPr>
            <w:r w:rsidRPr="00AF140F">
              <w:rPr>
                <w:rFonts w:cs="Arial"/>
                <w:color w:val="1F497D" w:themeColor="text2"/>
                <w:sz w:val="20"/>
              </w:rPr>
              <w:t>1</w:t>
            </w:r>
          </w:p>
        </w:tc>
        <w:tc>
          <w:tcPr>
            <w:tcW w:w="1260" w:type="dxa"/>
            <w:tcBorders>
              <w:right w:val="single" w:sz="4" w:space="0" w:color="4F81BD"/>
            </w:tcBorders>
            <w:shd w:val="clear" w:color="auto" w:fill="auto"/>
            <w:noWrap/>
            <w:vAlign w:val="center"/>
          </w:tcPr>
          <w:p w:rsidR="00FF377D" w:rsidRPr="00AF140F" w:rsidRDefault="00FF377D" w:rsidP="003E1B94">
            <w:pPr>
              <w:jc w:val="center"/>
              <w:rPr>
                <w:rFonts w:cs="Arial"/>
                <w:color w:val="1F497D" w:themeColor="text2"/>
                <w:sz w:val="20"/>
              </w:rPr>
            </w:pPr>
            <w:r w:rsidRPr="00AF140F">
              <w:rPr>
                <w:rFonts w:cs="Arial"/>
                <w:color w:val="1F497D" w:themeColor="text2"/>
                <w:sz w:val="20"/>
              </w:rPr>
              <w:t>0.5%</w:t>
            </w:r>
          </w:p>
        </w:tc>
      </w:tr>
      <w:tr w:rsidR="00FF377D" w:rsidRPr="008C3C6D" w:rsidTr="003E1B94">
        <w:trPr>
          <w:trHeight w:val="285"/>
        </w:trPr>
        <w:tc>
          <w:tcPr>
            <w:tcW w:w="1559" w:type="dxa"/>
            <w:tcBorders>
              <w:left w:val="single" w:sz="4" w:space="0" w:color="4F81BD"/>
            </w:tcBorders>
            <w:shd w:val="clear" w:color="auto" w:fill="auto"/>
            <w:vAlign w:val="center"/>
          </w:tcPr>
          <w:p w:rsidR="00FF377D" w:rsidRPr="00AF140F" w:rsidRDefault="00FF377D" w:rsidP="003E1B94">
            <w:pPr>
              <w:rPr>
                <w:rFonts w:cs="Arial"/>
                <w:color w:val="1F497D" w:themeColor="text2"/>
                <w:sz w:val="20"/>
              </w:rPr>
            </w:pPr>
            <w:r w:rsidRPr="00AF140F">
              <w:rPr>
                <w:rFonts w:cs="Arial"/>
                <w:color w:val="1F497D" w:themeColor="text2"/>
                <w:sz w:val="20"/>
              </w:rPr>
              <w:t>Other</w:t>
            </w:r>
          </w:p>
        </w:tc>
        <w:tc>
          <w:tcPr>
            <w:tcW w:w="810" w:type="dxa"/>
            <w:shd w:val="clear" w:color="auto" w:fill="auto"/>
            <w:noWrap/>
            <w:vAlign w:val="center"/>
          </w:tcPr>
          <w:p w:rsidR="00FF377D" w:rsidRPr="00AF140F" w:rsidRDefault="00FF377D" w:rsidP="003E1B94">
            <w:pPr>
              <w:jc w:val="center"/>
              <w:rPr>
                <w:rFonts w:cs="Arial"/>
                <w:color w:val="1F497D" w:themeColor="text2"/>
                <w:sz w:val="20"/>
              </w:rPr>
            </w:pPr>
            <w:r w:rsidRPr="00AF140F">
              <w:rPr>
                <w:rFonts w:cs="Arial"/>
                <w:color w:val="1F497D" w:themeColor="text2"/>
                <w:sz w:val="20"/>
              </w:rPr>
              <w:t>3</w:t>
            </w:r>
          </w:p>
        </w:tc>
        <w:tc>
          <w:tcPr>
            <w:tcW w:w="1260" w:type="dxa"/>
            <w:tcBorders>
              <w:right w:val="single" w:sz="4" w:space="0" w:color="4F81BD"/>
            </w:tcBorders>
            <w:shd w:val="clear" w:color="auto" w:fill="auto"/>
            <w:noWrap/>
            <w:vAlign w:val="center"/>
          </w:tcPr>
          <w:p w:rsidR="00FF377D" w:rsidRPr="00AF140F" w:rsidRDefault="00FF377D" w:rsidP="003E1B94">
            <w:pPr>
              <w:jc w:val="center"/>
              <w:rPr>
                <w:rFonts w:cs="Arial"/>
                <w:color w:val="1F497D" w:themeColor="text2"/>
                <w:sz w:val="20"/>
              </w:rPr>
            </w:pPr>
            <w:r w:rsidRPr="00AF140F">
              <w:rPr>
                <w:rFonts w:cs="Arial"/>
                <w:color w:val="1F497D" w:themeColor="text2"/>
                <w:sz w:val="20"/>
              </w:rPr>
              <w:t>1.4%</w:t>
            </w:r>
          </w:p>
        </w:tc>
      </w:tr>
      <w:tr w:rsidR="00FF377D" w:rsidRPr="008C3C6D" w:rsidTr="003E1B94">
        <w:trPr>
          <w:trHeight w:val="285"/>
        </w:trPr>
        <w:tc>
          <w:tcPr>
            <w:tcW w:w="1559" w:type="dxa"/>
            <w:tcBorders>
              <w:left w:val="single" w:sz="4" w:space="0" w:color="4F81BD"/>
              <w:bottom w:val="single" w:sz="4" w:space="0" w:color="4F81BD" w:themeColor="accent1"/>
            </w:tcBorders>
            <w:shd w:val="clear" w:color="auto" w:fill="C6D9F1" w:themeFill="text2" w:themeFillTint="33"/>
            <w:vAlign w:val="center"/>
          </w:tcPr>
          <w:p w:rsidR="00FF377D" w:rsidRDefault="00FF377D" w:rsidP="003E1B94">
            <w:pPr>
              <w:rPr>
                <w:rFonts w:cs="Arial"/>
                <w:sz w:val="20"/>
              </w:rPr>
            </w:pPr>
            <w:r w:rsidRPr="00B0230F">
              <w:rPr>
                <w:b/>
                <w:color w:val="1F497D"/>
                <w:sz w:val="20"/>
              </w:rPr>
              <w:t>Total Identified</w:t>
            </w:r>
          </w:p>
        </w:tc>
        <w:tc>
          <w:tcPr>
            <w:tcW w:w="810" w:type="dxa"/>
            <w:tcBorders>
              <w:bottom w:val="single" w:sz="4" w:space="0" w:color="4F81BD" w:themeColor="accent1"/>
            </w:tcBorders>
            <w:shd w:val="clear" w:color="auto" w:fill="C6D9F1" w:themeFill="text2" w:themeFillTint="33"/>
            <w:noWrap/>
            <w:vAlign w:val="center"/>
          </w:tcPr>
          <w:p w:rsidR="00FF377D" w:rsidRPr="00AF140F" w:rsidRDefault="00FF377D" w:rsidP="003E1B94">
            <w:pPr>
              <w:jc w:val="center"/>
              <w:rPr>
                <w:b/>
                <w:color w:val="1F497D"/>
                <w:sz w:val="20"/>
              </w:rPr>
            </w:pPr>
            <w:r w:rsidRPr="00AF140F">
              <w:rPr>
                <w:b/>
                <w:color w:val="1F497D"/>
                <w:sz w:val="20"/>
              </w:rPr>
              <w:t>215</w:t>
            </w:r>
          </w:p>
        </w:tc>
        <w:tc>
          <w:tcPr>
            <w:tcW w:w="1260" w:type="dxa"/>
            <w:tcBorders>
              <w:bottom w:val="single" w:sz="4" w:space="0" w:color="4F81BD" w:themeColor="accent1"/>
              <w:right w:val="single" w:sz="4" w:space="0" w:color="4F81BD"/>
            </w:tcBorders>
            <w:shd w:val="clear" w:color="auto" w:fill="C6D9F1" w:themeFill="text2" w:themeFillTint="33"/>
            <w:noWrap/>
            <w:vAlign w:val="center"/>
          </w:tcPr>
          <w:p w:rsidR="00FF377D" w:rsidRPr="00AF140F" w:rsidRDefault="00FF377D" w:rsidP="003E1B94">
            <w:pPr>
              <w:jc w:val="center"/>
              <w:rPr>
                <w:b/>
                <w:color w:val="1F497D"/>
                <w:sz w:val="20"/>
              </w:rPr>
            </w:pPr>
            <w:r w:rsidRPr="00AF140F">
              <w:rPr>
                <w:b/>
                <w:color w:val="1F497D"/>
                <w:sz w:val="20"/>
              </w:rPr>
              <w:t>100.0%</w:t>
            </w:r>
          </w:p>
        </w:tc>
      </w:tr>
      <w:tr w:rsidR="00FF377D" w:rsidRPr="008C3C6D" w:rsidTr="003E1B94">
        <w:trPr>
          <w:trHeight w:val="285"/>
        </w:trPr>
        <w:tc>
          <w:tcPr>
            <w:tcW w:w="1559" w:type="dxa"/>
            <w:tcBorders>
              <w:top w:val="single" w:sz="4" w:space="0" w:color="4F81BD" w:themeColor="accent1"/>
              <w:left w:val="single" w:sz="4" w:space="0" w:color="4F81BD"/>
              <w:bottom w:val="single" w:sz="4" w:space="0" w:color="4F81BD"/>
            </w:tcBorders>
            <w:shd w:val="clear" w:color="auto" w:fill="auto"/>
            <w:vAlign w:val="center"/>
          </w:tcPr>
          <w:p w:rsidR="00FF377D" w:rsidRPr="00AF140F" w:rsidRDefault="00FF377D" w:rsidP="003E1B94">
            <w:pPr>
              <w:rPr>
                <w:i/>
                <w:color w:val="1F497D"/>
                <w:sz w:val="20"/>
              </w:rPr>
            </w:pPr>
            <w:r w:rsidRPr="009762E0">
              <w:rPr>
                <w:i/>
                <w:color w:val="1F497D"/>
                <w:sz w:val="20"/>
              </w:rPr>
              <w:t>No Data Available</w:t>
            </w:r>
          </w:p>
        </w:tc>
        <w:tc>
          <w:tcPr>
            <w:tcW w:w="810" w:type="dxa"/>
            <w:tcBorders>
              <w:top w:val="single" w:sz="4" w:space="0" w:color="4F81BD" w:themeColor="accent1"/>
              <w:bottom w:val="single" w:sz="4" w:space="0" w:color="4F81BD"/>
            </w:tcBorders>
            <w:shd w:val="clear" w:color="auto" w:fill="auto"/>
            <w:noWrap/>
            <w:vAlign w:val="center"/>
          </w:tcPr>
          <w:p w:rsidR="00FF377D" w:rsidRPr="00AF140F" w:rsidRDefault="00FF377D" w:rsidP="003E1B94">
            <w:pPr>
              <w:jc w:val="center"/>
              <w:rPr>
                <w:i/>
                <w:color w:val="1F497D"/>
                <w:sz w:val="20"/>
              </w:rPr>
            </w:pPr>
            <w:r w:rsidRPr="00AF140F">
              <w:rPr>
                <w:i/>
                <w:color w:val="1F497D"/>
                <w:sz w:val="20"/>
              </w:rPr>
              <w:t>63</w:t>
            </w:r>
          </w:p>
        </w:tc>
        <w:tc>
          <w:tcPr>
            <w:tcW w:w="1260" w:type="dxa"/>
            <w:tcBorders>
              <w:top w:val="single" w:sz="4" w:space="0" w:color="4F81BD" w:themeColor="accent1"/>
              <w:bottom w:val="single" w:sz="4" w:space="0" w:color="4F81BD"/>
              <w:right w:val="single" w:sz="4" w:space="0" w:color="4F81BD"/>
            </w:tcBorders>
            <w:shd w:val="clear" w:color="auto" w:fill="auto"/>
            <w:noWrap/>
            <w:vAlign w:val="center"/>
          </w:tcPr>
          <w:p w:rsidR="00FF377D" w:rsidRPr="00AF140F" w:rsidRDefault="00FF377D" w:rsidP="003E1B94">
            <w:pPr>
              <w:jc w:val="center"/>
              <w:rPr>
                <w:i/>
                <w:color w:val="1F497D"/>
                <w:sz w:val="20"/>
              </w:rPr>
            </w:pPr>
          </w:p>
        </w:tc>
      </w:tr>
    </w:tbl>
    <w:tbl>
      <w:tblPr>
        <w:tblpPr w:leftFromText="180" w:rightFromText="180" w:vertAnchor="text" w:horzAnchor="page" w:tblpX="6226" w:tblpY="168"/>
        <w:tblOverlap w:val="never"/>
        <w:tblW w:w="5325" w:type="dxa"/>
        <w:tblCellMar>
          <w:left w:w="29" w:type="dxa"/>
          <w:right w:w="29" w:type="dxa"/>
        </w:tblCellMar>
        <w:tblLook w:val="0000" w:firstRow="0" w:lastRow="0" w:firstColumn="0" w:lastColumn="0" w:noHBand="0" w:noVBand="0"/>
      </w:tblPr>
      <w:tblGrid>
        <w:gridCol w:w="3648"/>
        <w:gridCol w:w="739"/>
        <w:gridCol w:w="938"/>
      </w:tblGrid>
      <w:tr w:rsidR="00FF377D" w:rsidRPr="00F7115E" w:rsidTr="003E1B94">
        <w:trPr>
          <w:trHeight w:val="80"/>
        </w:trPr>
        <w:tc>
          <w:tcPr>
            <w:tcW w:w="5325" w:type="dxa"/>
            <w:gridSpan w:val="3"/>
            <w:tcBorders>
              <w:bottom w:val="single" w:sz="4" w:space="0" w:color="4F81BD"/>
            </w:tcBorders>
            <w:shd w:val="clear" w:color="auto" w:fill="auto"/>
            <w:vAlign w:val="center"/>
          </w:tcPr>
          <w:p w:rsidR="00FF377D" w:rsidRDefault="00FF377D" w:rsidP="003E1B94">
            <w:pPr>
              <w:keepNext/>
              <w:spacing w:before="120"/>
              <w:ind w:left="720" w:hanging="720"/>
              <w:rPr>
                <w:b/>
                <w:color w:val="1F497D"/>
                <w:sz w:val="20"/>
              </w:rPr>
            </w:pPr>
            <w:bookmarkStart w:id="128" w:name="_Toc316898030"/>
            <w:bookmarkStart w:id="129" w:name="_Toc416357961"/>
            <w:r w:rsidRPr="00650386">
              <w:rPr>
                <w:rStyle w:val="FigureChar"/>
              </w:rPr>
              <w:t xml:space="preserve">Table </w:t>
            </w:r>
            <w:r w:rsidRPr="00650386">
              <w:rPr>
                <w:rStyle w:val="FigureChar"/>
              </w:rPr>
              <w:fldChar w:fldCharType="begin"/>
            </w:r>
            <w:r w:rsidRPr="00650386">
              <w:rPr>
                <w:rStyle w:val="FigureChar"/>
              </w:rPr>
              <w:instrText xml:space="preserve"> SEQ Table \* ARABIC </w:instrText>
            </w:r>
            <w:r w:rsidRPr="00650386">
              <w:rPr>
                <w:rStyle w:val="FigureChar"/>
              </w:rPr>
              <w:fldChar w:fldCharType="separate"/>
            </w:r>
            <w:r w:rsidR="007E3DB6">
              <w:rPr>
                <w:rStyle w:val="FigureChar"/>
                <w:noProof/>
              </w:rPr>
              <w:t>8</w:t>
            </w:r>
            <w:r w:rsidRPr="00650386">
              <w:rPr>
                <w:rStyle w:val="FigureChar"/>
              </w:rPr>
              <w:fldChar w:fldCharType="end"/>
            </w:r>
            <w:r w:rsidRPr="00650386">
              <w:rPr>
                <w:rStyle w:val="FigureChar"/>
              </w:rPr>
              <w:t xml:space="preserve">. </w:t>
            </w:r>
            <w:r>
              <w:rPr>
                <w:rStyle w:val="FigureChar"/>
              </w:rPr>
              <w:t>Race and Ethnicity</w:t>
            </w:r>
            <w:r w:rsidRPr="00650386">
              <w:rPr>
                <w:rStyle w:val="FigureChar"/>
              </w:rPr>
              <w:t xml:space="preserve"> (</w:t>
            </w:r>
            <w:r>
              <w:rPr>
                <w:rStyle w:val="FigureChar"/>
              </w:rPr>
              <w:t>09/30/14</w:t>
            </w:r>
            <w:r w:rsidRPr="00650386">
              <w:rPr>
                <w:rStyle w:val="FigureChar"/>
              </w:rPr>
              <w:t>)</w:t>
            </w:r>
            <w:bookmarkEnd w:id="128"/>
            <w:bookmarkEnd w:id="129"/>
          </w:p>
        </w:tc>
      </w:tr>
      <w:tr w:rsidR="00FF377D" w:rsidRPr="00F7115E" w:rsidTr="003E1B94">
        <w:trPr>
          <w:trHeight w:val="308"/>
        </w:trPr>
        <w:tc>
          <w:tcPr>
            <w:tcW w:w="3648" w:type="dxa"/>
            <w:tcBorders>
              <w:top w:val="single" w:sz="4" w:space="0" w:color="4F81BD"/>
              <w:left w:val="single" w:sz="4" w:space="0" w:color="4F81BD"/>
              <w:bottom w:val="single" w:sz="4" w:space="0" w:color="4F81BD"/>
            </w:tcBorders>
            <w:shd w:val="clear" w:color="auto" w:fill="C6D9F1"/>
            <w:vAlign w:val="center"/>
          </w:tcPr>
          <w:p w:rsidR="00FF377D" w:rsidRPr="004C6A92" w:rsidRDefault="00FF377D" w:rsidP="003E1B94">
            <w:pPr>
              <w:rPr>
                <w:b/>
                <w:color w:val="1F497D"/>
                <w:sz w:val="20"/>
              </w:rPr>
            </w:pPr>
            <w:r>
              <w:rPr>
                <w:b/>
                <w:color w:val="1F497D"/>
                <w:sz w:val="20"/>
              </w:rPr>
              <w:t>Race and Ethnicity</w:t>
            </w:r>
          </w:p>
        </w:tc>
        <w:tc>
          <w:tcPr>
            <w:tcW w:w="739" w:type="dxa"/>
            <w:tcBorders>
              <w:top w:val="single" w:sz="4" w:space="0" w:color="4F81BD"/>
              <w:bottom w:val="single" w:sz="4" w:space="0" w:color="4F81BD"/>
            </w:tcBorders>
            <w:shd w:val="clear" w:color="auto" w:fill="C6D9F1"/>
            <w:vAlign w:val="center"/>
          </w:tcPr>
          <w:p w:rsidR="00FF377D" w:rsidRPr="004C6A92" w:rsidRDefault="00FF377D" w:rsidP="003E1B94">
            <w:pPr>
              <w:jc w:val="center"/>
              <w:rPr>
                <w:b/>
                <w:color w:val="1F497D"/>
                <w:sz w:val="20"/>
              </w:rPr>
            </w:pPr>
            <w:r>
              <w:rPr>
                <w:b/>
                <w:color w:val="1F497D"/>
                <w:sz w:val="20"/>
              </w:rPr>
              <w:t>Number</w:t>
            </w:r>
          </w:p>
        </w:tc>
        <w:tc>
          <w:tcPr>
            <w:tcW w:w="938" w:type="dxa"/>
            <w:tcBorders>
              <w:top w:val="single" w:sz="4" w:space="0" w:color="4F81BD"/>
              <w:bottom w:val="single" w:sz="4" w:space="0" w:color="4F81BD"/>
              <w:right w:val="single" w:sz="4" w:space="0" w:color="4F81BD"/>
            </w:tcBorders>
            <w:shd w:val="clear" w:color="auto" w:fill="C6D9F1"/>
            <w:vAlign w:val="center"/>
          </w:tcPr>
          <w:p w:rsidR="00FF377D" w:rsidRPr="004C6A92" w:rsidRDefault="00FF377D" w:rsidP="003E1B94">
            <w:pPr>
              <w:jc w:val="center"/>
              <w:rPr>
                <w:b/>
                <w:color w:val="1F497D"/>
                <w:sz w:val="20"/>
              </w:rPr>
            </w:pPr>
            <w:r>
              <w:rPr>
                <w:b/>
                <w:color w:val="1F497D"/>
                <w:sz w:val="20"/>
              </w:rPr>
              <w:t>Percent</w:t>
            </w:r>
          </w:p>
        </w:tc>
      </w:tr>
      <w:tr w:rsidR="00FF377D" w:rsidRPr="008C3C6D" w:rsidTr="003E1B94">
        <w:trPr>
          <w:trHeight w:val="308"/>
        </w:trPr>
        <w:tc>
          <w:tcPr>
            <w:tcW w:w="3648" w:type="dxa"/>
            <w:tcBorders>
              <w:top w:val="single" w:sz="4" w:space="0" w:color="4F81BD"/>
              <w:left w:val="single" w:sz="4" w:space="0" w:color="4F81BD"/>
            </w:tcBorders>
            <w:shd w:val="clear" w:color="auto" w:fill="auto"/>
            <w:vAlign w:val="center"/>
          </w:tcPr>
          <w:p w:rsidR="00FF377D" w:rsidRPr="00993533" w:rsidRDefault="00FF377D" w:rsidP="003E1B94">
            <w:pPr>
              <w:rPr>
                <w:rFonts w:cs="Arial"/>
                <w:color w:val="1F497D" w:themeColor="text2"/>
                <w:sz w:val="20"/>
              </w:rPr>
            </w:pPr>
            <w:r w:rsidRPr="00993533">
              <w:rPr>
                <w:rFonts w:cs="Arial"/>
                <w:color w:val="1F497D" w:themeColor="text2"/>
                <w:sz w:val="20"/>
              </w:rPr>
              <w:t>Asian/Pacific Islander</w:t>
            </w:r>
          </w:p>
        </w:tc>
        <w:tc>
          <w:tcPr>
            <w:tcW w:w="739" w:type="dxa"/>
            <w:tcBorders>
              <w:top w:val="single" w:sz="4" w:space="0" w:color="4F81BD"/>
            </w:tcBorders>
            <w:shd w:val="clear" w:color="auto" w:fill="auto"/>
            <w:noWrap/>
            <w:vAlign w:val="center"/>
          </w:tcPr>
          <w:p w:rsidR="00FF377D" w:rsidRPr="003D1819" w:rsidRDefault="00FF377D" w:rsidP="003E1B94">
            <w:pPr>
              <w:jc w:val="center"/>
              <w:rPr>
                <w:rFonts w:cs="Arial"/>
                <w:color w:val="1F497D" w:themeColor="text2"/>
                <w:sz w:val="20"/>
              </w:rPr>
            </w:pPr>
            <w:r w:rsidRPr="003D1819">
              <w:rPr>
                <w:rFonts w:cs="Arial"/>
                <w:color w:val="1F497D" w:themeColor="text2"/>
                <w:sz w:val="20"/>
              </w:rPr>
              <w:t>3</w:t>
            </w:r>
          </w:p>
        </w:tc>
        <w:tc>
          <w:tcPr>
            <w:tcW w:w="938" w:type="dxa"/>
            <w:tcBorders>
              <w:top w:val="single" w:sz="4" w:space="0" w:color="4F81BD"/>
              <w:right w:val="single" w:sz="4" w:space="0" w:color="4F81BD"/>
            </w:tcBorders>
            <w:shd w:val="clear" w:color="auto" w:fill="auto"/>
            <w:noWrap/>
            <w:vAlign w:val="center"/>
          </w:tcPr>
          <w:p w:rsidR="00FF377D" w:rsidRPr="00EF1B49" w:rsidRDefault="00FF377D" w:rsidP="003E1B94">
            <w:pPr>
              <w:jc w:val="center"/>
              <w:rPr>
                <w:rFonts w:cs="Arial"/>
                <w:color w:val="1F497D" w:themeColor="text2"/>
                <w:sz w:val="20"/>
              </w:rPr>
            </w:pPr>
            <w:r w:rsidRPr="00EF1B49">
              <w:rPr>
                <w:rFonts w:cs="Arial"/>
                <w:color w:val="1F497D" w:themeColor="text2"/>
                <w:sz w:val="20"/>
              </w:rPr>
              <w:t>1.4%</w:t>
            </w:r>
          </w:p>
        </w:tc>
      </w:tr>
      <w:tr w:rsidR="00FF377D" w:rsidRPr="008C3C6D" w:rsidTr="003E1B94">
        <w:trPr>
          <w:trHeight w:val="308"/>
        </w:trPr>
        <w:tc>
          <w:tcPr>
            <w:tcW w:w="3648" w:type="dxa"/>
            <w:tcBorders>
              <w:left w:val="single" w:sz="4" w:space="0" w:color="4F81BD"/>
            </w:tcBorders>
            <w:shd w:val="clear" w:color="auto" w:fill="auto"/>
            <w:vAlign w:val="center"/>
          </w:tcPr>
          <w:p w:rsidR="00FF377D" w:rsidRPr="00993533" w:rsidRDefault="00FF377D" w:rsidP="003E1B94">
            <w:pPr>
              <w:rPr>
                <w:rFonts w:cs="Arial"/>
                <w:color w:val="1F497D" w:themeColor="text2"/>
                <w:sz w:val="20"/>
              </w:rPr>
            </w:pPr>
            <w:r w:rsidRPr="00993533">
              <w:rPr>
                <w:rFonts w:cs="Arial"/>
                <w:color w:val="1F497D" w:themeColor="text2"/>
                <w:sz w:val="20"/>
              </w:rPr>
              <w:t>Black/African-American</w:t>
            </w:r>
            <w:r>
              <w:rPr>
                <w:rFonts w:cs="Arial"/>
                <w:color w:val="1F497D" w:themeColor="text2"/>
                <w:sz w:val="20"/>
              </w:rPr>
              <w:t xml:space="preserve"> (Non-Hispanic)</w:t>
            </w:r>
          </w:p>
        </w:tc>
        <w:tc>
          <w:tcPr>
            <w:tcW w:w="739" w:type="dxa"/>
            <w:shd w:val="clear" w:color="auto" w:fill="auto"/>
            <w:noWrap/>
            <w:vAlign w:val="center"/>
          </w:tcPr>
          <w:p w:rsidR="00FF377D" w:rsidRPr="003D1819" w:rsidRDefault="00FF377D" w:rsidP="009E6CA5">
            <w:pPr>
              <w:jc w:val="center"/>
              <w:rPr>
                <w:rFonts w:cs="Arial"/>
                <w:color w:val="1F497D" w:themeColor="text2"/>
                <w:sz w:val="20"/>
              </w:rPr>
            </w:pPr>
            <w:r w:rsidRPr="003D1819">
              <w:rPr>
                <w:rFonts w:cs="Arial"/>
                <w:color w:val="1F497D" w:themeColor="text2"/>
                <w:sz w:val="20"/>
              </w:rPr>
              <w:t>18</w:t>
            </w:r>
            <w:r w:rsidR="009E6CA5">
              <w:rPr>
                <w:rFonts w:cs="Arial"/>
                <w:color w:val="1F497D" w:themeColor="text2"/>
                <w:sz w:val="20"/>
              </w:rPr>
              <w:t>6</w:t>
            </w:r>
          </w:p>
        </w:tc>
        <w:tc>
          <w:tcPr>
            <w:tcW w:w="938" w:type="dxa"/>
            <w:tcBorders>
              <w:right w:val="single" w:sz="4" w:space="0" w:color="4F81BD"/>
            </w:tcBorders>
            <w:shd w:val="clear" w:color="auto" w:fill="auto"/>
            <w:noWrap/>
            <w:vAlign w:val="center"/>
          </w:tcPr>
          <w:p w:rsidR="00FF377D" w:rsidRPr="00EF1B49" w:rsidRDefault="00FF377D" w:rsidP="009E6CA5">
            <w:pPr>
              <w:jc w:val="center"/>
              <w:rPr>
                <w:rFonts w:cs="Arial"/>
                <w:color w:val="1F497D" w:themeColor="text2"/>
                <w:sz w:val="20"/>
              </w:rPr>
            </w:pPr>
            <w:r w:rsidRPr="00EF1B49">
              <w:rPr>
                <w:rFonts w:cs="Arial"/>
                <w:color w:val="1F497D" w:themeColor="text2"/>
                <w:sz w:val="20"/>
              </w:rPr>
              <w:t>85.</w:t>
            </w:r>
            <w:r w:rsidR="009E6CA5">
              <w:rPr>
                <w:rFonts w:cs="Arial"/>
                <w:color w:val="1F497D" w:themeColor="text2"/>
                <w:sz w:val="20"/>
              </w:rPr>
              <w:t>3</w:t>
            </w:r>
            <w:r w:rsidRPr="00EF1B49">
              <w:rPr>
                <w:rFonts w:cs="Arial"/>
                <w:color w:val="1F497D" w:themeColor="text2"/>
                <w:sz w:val="20"/>
              </w:rPr>
              <w:t>%</w:t>
            </w:r>
          </w:p>
        </w:tc>
      </w:tr>
      <w:tr w:rsidR="00FF377D" w:rsidRPr="008C3C6D" w:rsidTr="003E1B94">
        <w:trPr>
          <w:trHeight w:val="308"/>
        </w:trPr>
        <w:tc>
          <w:tcPr>
            <w:tcW w:w="3648" w:type="dxa"/>
            <w:tcBorders>
              <w:left w:val="single" w:sz="4" w:space="0" w:color="4F81BD"/>
            </w:tcBorders>
            <w:shd w:val="clear" w:color="auto" w:fill="auto"/>
            <w:vAlign w:val="center"/>
          </w:tcPr>
          <w:p w:rsidR="00FF377D" w:rsidRPr="00993533" w:rsidRDefault="009E6CA5" w:rsidP="003E1B94">
            <w:pPr>
              <w:rPr>
                <w:rFonts w:cs="Arial"/>
                <w:color w:val="1F497D" w:themeColor="text2"/>
                <w:sz w:val="20"/>
              </w:rPr>
            </w:pPr>
            <w:r>
              <w:rPr>
                <w:rFonts w:cs="Arial"/>
                <w:color w:val="1F497D" w:themeColor="text2"/>
                <w:sz w:val="20"/>
              </w:rPr>
              <w:t>Hispanic</w:t>
            </w:r>
          </w:p>
        </w:tc>
        <w:tc>
          <w:tcPr>
            <w:tcW w:w="739" w:type="dxa"/>
            <w:shd w:val="clear" w:color="auto" w:fill="auto"/>
            <w:noWrap/>
            <w:vAlign w:val="center"/>
          </w:tcPr>
          <w:p w:rsidR="00FF377D" w:rsidRPr="003D1819" w:rsidRDefault="009E6CA5" w:rsidP="003E1B94">
            <w:pPr>
              <w:jc w:val="center"/>
              <w:rPr>
                <w:rFonts w:cs="Arial"/>
                <w:color w:val="1F497D" w:themeColor="text2"/>
                <w:sz w:val="20"/>
              </w:rPr>
            </w:pPr>
            <w:r>
              <w:rPr>
                <w:rFonts w:cs="Arial"/>
                <w:color w:val="1F497D" w:themeColor="text2"/>
                <w:sz w:val="20"/>
              </w:rPr>
              <w:t>2</w:t>
            </w:r>
          </w:p>
        </w:tc>
        <w:tc>
          <w:tcPr>
            <w:tcW w:w="938" w:type="dxa"/>
            <w:tcBorders>
              <w:right w:val="single" w:sz="4" w:space="0" w:color="4F81BD"/>
            </w:tcBorders>
            <w:shd w:val="clear" w:color="auto" w:fill="auto"/>
            <w:noWrap/>
            <w:vAlign w:val="center"/>
          </w:tcPr>
          <w:p w:rsidR="00FF377D" w:rsidRPr="00EF1B49" w:rsidRDefault="00FF377D" w:rsidP="009E6CA5">
            <w:pPr>
              <w:jc w:val="center"/>
              <w:rPr>
                <w:rFonts w:cs="Arial"/>
                <w:color w:val="1F497D" w:themeColor="text2"/>
                <w:sz w:val="20"/>
              </w:rPr>
            </w:pPr>
            <w:r w:rsidRPr="00EF1B49">
              <w:rPr>
                <w:rFonts w:cs="Arial"/>
                <w:color w:val="1F497D" w:themeColor="text2"/>
                <w:sz w:val="20"/>
              </w:rPr>
              <w:t>0.</w:t>
            </w:r>
            <w:r w:rsidR="009E6CA5">
              <w:rPr>
                <w:rFonts w:cs="Arial"/>
                <w:color w:val="1F497D" w:themeColor="text2"/>
                <w:sz w:val="20"/>
              </w:rPr>
              <w:t>9</w:t>
            </w:r>
            <w:r w:rsidRPr="00EF1B49">
              <w:rPr>
                <w:rFonts w:cs="Arial"/>
                <w:color w:val="1F497D" w:themeColor="text2"/>
                <w:sz w:val="20"/>
              </w:rPr>
              <w:t>%</w:t>
            </w:r>
          </w:p>
        </w:tc>
      </w:tr>
      <w:tr w:rsidR="00FF377D" w:rsidRPr="008C3C6D" w:rsidTr="003E1B94">
        <w:trPr>
          <w:trHeight w:val="308"/>
        </w:trPr>
        <w:tc>
          <w:tcPr>
            <w:tcW w:w="3648" w:type="dxa"/>
            <w:tcBorders>
              <w:left w:val="single" w:sz="4" w:space="0" w:color="4F81BD"/>
            </w:tcBorders>
            <w:shd w:val="clear" w:color="auto" w:fill="auto"/>
            <w:vAlign w:val="center"/>
          </w:tcPr>
          <w:p w:rsidR="00FF377D" w:rsidRPr="00F9066E" w:rsidRDefault="00FF377D" w:rsidP="003E1B94">
            <w:pPr>
              <w:rPr>
                <w:rFonts w:cs="Arial"/>
                <w:color w:val="1F497D" w:themeColor="text2"/>
                <w:sz w:val="20"/>
                <w:highlight w:val="yellow"/>
              </w:rPr>
            </w:pPr>
            <w:r w:rsidRPr="00993533">
              <w:rPr>
                <w:rFonts w:cs="Arial"/>
                <w:color w:val="1F497D" w:themeColor="text2"/>
                <w:sz w:val="20"/>
              </w:rPr>
              <w:t>White/Caucasian</w:t>
            </w:r>
            <w:r>
              <w:rPr>
                <w:rFonts w:cs="Arial"/>
                <w:color w:val="1F497D" w:themeColor="text2"/>
                <w:sz w:val="20"/>
              </w:rPr>
              <w:t xml:space="preserve"> (Non-Hispanic)</w:t>
            </w:r>
          </w:p>
        </w:tc>
        <w:tc>
          <w:tcPr>
            <w:tcW w:w="739" w:type="dxa"/>
            <w:shd w:val="clear" w:color="auto" w:fill="auto"/>
            <w:noWrap/>
            <w:vAlign w:val="center"/>
          </w:tcPr>
          <w:p w:rsidR="00FF377D" w:rsidRPr="003D1819" w:rsidRDefault="00FF377D" w:rsidP="003E1B94">
            <w:pPr>
              <w:jc w:val="center"/>
              <w:rPr>
                <w:rFonts w:cs="Arial"/>
                <w:color w:val="1F497D" w:themeColor="text2"/>
                <w:sz w:val="20"/>
              </w:rPr>
            </w:pPr>
            <w:r w:rsidRPr="003D1819">
              <w:rPr>
                <w:rFonts w:cs="Arial"/>
                <w:color w:val="1F497D" w:themeColor="text2"/>
                <w:sz w:val="20"/>
              </w:rPr>
              <w:t>25</w:t>
            </w:r>
          </w:p>
        </w:tc>
        <w:tc>
          <w:tcPr>
            <w:tcW w:w="938" w:type="dxa"/>
            <w:tcBorders>
              <w:right w:val="single" w:sz="4" w:space="0" w:color="4F81BD"/>
            </w:tcBorders>
            <w:shd w:val="clear" w:color="auto" w:fill="auto"/>
            <w:noWrap/>
            <w:vAlign w:val="center"/>
          </w:tcPr>
          <w:p w:rsidR="00FF377D" w:rsidRPr="00EF1B49" w:rsidRDefault="00FF377D" w:rsidP="003E1B94">
            <w:pPr>
              <w:jc w:val="center"/>
              <w:rPr>
                <w:rFonts w:cs="Arial"/>
                <w:color w:val="1F497D" w:themeColor="text2"/>
                <w:sz w:val="20"/>
              </w:rPr>
            </w:pPr>
            <w:r w:rsidRPr="00EF1B49">
              <w:rPr>
                <w:rFonts w:cs="Arial"/>
                <w:color w:val="1F497D" w:themeColor="text2"/>
                <w:sz w:val="20"/>
              </w:rPr>
              <w:t>11.5%</w:t>
            </w:r>
          </w:p>
        </w:tc>
      </w:tr>
      <w:tr w:rsidR="00FF377D" w:rsidRPr="008C3C6D" w:rsidTr="003E1B94">
        <w:trPr>
          <w:trHeight w:val="308"/>
        </w:trPr>
        <w:tc>
          <w:tcPr>
            <w:tcW w:w="3648" w:type="dxa"/>
            <w:tcBorders>
              <w:left w:val="single" w:sz="4" w:space="0" w:color="4F81BD"/>
            </w:tcBorders>
            <w:shd w:val="clear" w:color="auto" w:fill="auto"/>
            <w:vAlign w:val="center"/>
          </w:tcPr>
          <w:p w:rsidR="00FF377D" w:rsidRPr="00993533" w:rsidRDefault="00FF377D" w:rsidP="003E1B94">
            <w:pPr>
              <w:rPr>
                <w:rFonts w:cs="Arial"/>
                <w:color w:val="1F497D" w:themeColor="text2"/>
                <w:sz w:val="20"/>
              </w:rPr>
            </w:pPr>
            <w:r w:rsidRPr="00993533">
              <w:rPr>
                <w:rFonts w:cs="Arial"/>
                <w:color w:val="1F497D" w:themeColor="text2"/>
                <w:sz w:val="20"/>
              </w:rPr>
              <w:t>Other</w:t>
            </w:r>
          </w:p>
        </w:tc>
        <w:tc>
          <w:tcPr>
            <w:tcW w:w="739" w:type="dxa"/>
            <w:shd w:val="clear" w:color="auto" w:fill="auto"/>
            <w:noWrap/>
            <w:vAlign w:val="center"/>
          </w:tcPr>
          <w:p w:rsidR="00FF377D" w:rsidRPr="003D1819" w:rsidRDefault="009E6CA5" w:rsidP="003E1B94">
            <w:pPr>
              <w:jc w:val="center"/>
              <w:rPr>
                <w:rFonts w:cs="Arial"/>
                <w:color w:val="1F497D" w:themeColor="text2"/>
                <w:sz w:val="20"/>
              </w:rPr>
            </w:pPr>
            <w:r>
              <w:rPr>
                <w:rFonts w:cs="Arial"/>
                <w:color w:val="1F497D" w:themeColor="text2"/>
                <w:sz w:val="20"/>
              </w:rPr>
              <w:t>2</w:t>
            </w:r>
          </w:p>
        </w:tc>
        <w:tc>
          <w:tcPr>
            <w:tcW w:w="938" w:type="dxa"/>
            <w:tcBorders>
              <w:right w:val="single" w:sz="4" w:space="0" w:color="4F81BD"/>
            </w:tcBorders>
            <w:shd w:val="clear" w:color="auto" w:fill="auto"/>
            <w:noWrap/>
            <w:vAlign w:val="center"/>
          </w:tcPr>
          <w:p w:rsidR="00FF377D" w:rsidRPr="00EF1B49" w:rsidRDefault="00FF377D" w:rsidP="003E1B94">
            <w:pPr>
              <w:jc w:val="center"/>
              <w:rPr>
                <w:rFonts w:cs="Arial"/>
                <w:color w:val="1F497D" w:themeColor="text2"/>
                <w:sz w:val="20"/>
              </w:rPr>
            </w:pPr>
            <w:r w:rsidRPr="00EF1B49">
              <w:rPr>
                <w:rFonts w:cs="Arial"/>
                <w:color w:val="1F497D" w:themeColor="text2"/>
                <w:sz w:val="20"/>
              </w:rPr>
              <w:t>0.9%</w:t>
            </w:r>
          </w:p>
        </w:tc>
      </w:tr>
      <w:tr w:rsidR="00FF377D" w:rsidRPr="008C3C6D" w:rsidTr="003E1B94">
        <w:trPr>
          <w:trHeight w:val="308"/>
        </w:trPr>
        <w:tc>
          <w:tcPr>
            <w:tcW w:w="3648" w:type="dxa"/>
            <w:tcBorders>
              <w:left w:val="single" w:sz="4" w:space="0" w:color="4F81BD"/>
              <w:bottom w:val="single" w:sz="4" w:space="0" w:color="4F81BD" w:themeColor="accent1"/>
            </w:tcBorders>
            <w:shd w:val="clear" w:color="auto" w:fill="C6D9F1" w:themeFill="text2" w:themeFillTint="33"/>
            <w:vAlign w:val="center"/>
          </w:tcPr>
          <w:p w:rsidR="00FF377D" w:rsidRPr="00B0230F" w:rsidRDefault="00FF377D" w:rsidP="003E1B94">
            <w:pPr>
              <w:rPr>
                <w:b/>
                <w:color w:val="1F497D"/>
                <w:sz w:val="20"/>
              </w:rPr>
            </w:pPr>
            <w:r w:rsidRPr="00B0230F">
              <w:rPr>
                <w:b/>
                <w:color w:val="1F497D"/>
                <w:sz w:val="20"/>
              </w:rPr>
              <w:t>Total Identified</w:t>
            </w:r>
          </w:p>
        </w:tc>
        <w:tc>
          <w:tcPr>
            <w:tcW w:w="739" w:type="dxa"/>
            <w:tcBorders>
              <w:bottom w:val="single" w:sz="4" w:space="0" w:color="4F81BD" w:themeColor="accent1"/>
            </w:tcBorders>
            <w:shd w:val="clear" w:color="auto" w:fill="C6D9F1" w:themeFill="text2" w:themeFillTint="33"/>
            <w:noWrap/>
            <w:vAlign w:val="center"/>
          </w:tcPr>
          <w:p w:rsidR="00FF377D" w:rsidRPr="003D1819" w:rsidRDefault="00FF377D" w:rsidP="003E1B94">
            <w:pPr>
              <w:jc w:val="center"/>
              <w:rPr>
                <w:rFonts w:cs="Arial"/>
                <w:b/>
                <w:iCs/>
                <w:color w:val="1F497D" w:themeColor="text2"/>
                <w:sz w:val="20"/>
              </w:rPr>
            </w:pPr>
            <w:r w:rsidRPr="003D1819">
              <w:rPr>
                <w:rFonts w:cs="Arial"/>
                <w:b/>
                <w:iCs/>
                <w:color w:val="1F497D" w:themeColor="text2"/>
                <w:sz w:val="20"/>
              </w:rPr>
              <w:t>218</w:t>
            </w:r>
          </w:p>
        </w:tc>
        <w:tc>
          <w:tcPr>
            <w:tcW w:w="938" w:type="dxa"/>
            <w:tcBorders>
              <w:bottom w:val="single" w:sz="4" w:space="0" w:color="4F81BD" w:themeColor="accent1"/>
              <w:right w:val="single" w:sz="4" w:space="0" w:color="4F81BD"/>
            </w:tcBorders>
            <w:shd w:val="clear" w:color="auto" w:fill="C6D9F1" w:themeFill="text2" w:themeFillTint="33"/>
            <w:noWrap/>
            <w:vAlign w:val="center"/>
          </w:tcPr>
          <w:p w:rsidR="00FF377D" w:rsidRPr="003D1819" w:rsidRDefault="00FF377D" w:rsidP="003E1B94">
            <w:pPr>
              <w:jc w:val="center"/>
              <w:rPr>
                <w:rFonts w:cs="Arial"/>
                <w:b/>
                <w:color w:val="1F497D" w:themeColor="text2"/>
                <w:sz w:val="20"/>
              </w:rPr>
            </w:pPr>
            <w:r w:rsidRPr="003D1819">
              <w:rPr>
                <w:rFonts w:cs="Arial"/>
                <w:b/>
                <w:color w:val="1F497D" w:themeColor="text2"/>
                <w:sz w:val="20"/>
              </w:rPr>
              <w:t>100%</w:t>
            </w:r>
          </w:p>
        </w:tc>
      </w:tr>
      <w:tr w:rsidR="00FF377D" w:rsidRPr="008C3C6D" w:rsidTr="003E1B94">
        <w:trPr>
          <w:trHeight w:val="308"/>
        </w:trPr>
        <w:tc>
          <w:tcPr>
            <w:tcW w:w="3648" w:type="dxa"/>
            <w:tcBorders>
              <w:top w:val="single" w:sz="4" w:space="0" w:color="4F81BD" w:themeColor="accent1"/>
              <w:left w:val="single" w:sz="4" w:space="0" w:color="4F81BD"/>
              <w:bottom w:val="single" w:sz="4" w:space="0" w:color="4F81BD"/>
            </w:tcBorders>
            <w:shd w:val="clear" w:color="auto" w:fill="auto"/>
            <w:vAlign w:val="center"/>
          </w:tcPr>
          <w:p w:rsidR="00FF377D" w:rsidRPr="009762E0" w:rsidRDefault="00FF377D" w:rsidP="003E1B94">
            <w:pPr>
              <w:rPr>
                <w:i/>
                <w:color w:val="1F497D"/>
                <w:sz w:val="20"/>
              </w:rPr>
            </w:pPr>
            <w:r w:rsidRPr="009762E0">
              <w:rPr>
                <w:i/>
                <w:color w:val="1F497D"/>
                <w:sz w:val="20"/>
              </w:rPr>
              <w:t>No Data Available</w:t>
            </w:r>
          </w:p>
        </w:tc>
        <w:tc>
          <w:tcPr>
            <w:tcW w:w="739" w:type="dxa"/>
            <w:tcBorders>
              <w:top w:val="single" w:sz="4" w:space="0" w:color="4F81BD" w:themeColor="accent1"/>
              <w:bottom w:val="single" w:sz="4" w:space="0" w:color="4F81BD"/>
            </w:tcBorders>
            <w:shd w:val="clear" w:color="auto" w:fill="auto"/>
            <w:noWrap/>
            <w:vAlign w:val="center"/>
          </w:tcPr>
          <w:p w:rsidR="00FF377D" w:rsidRPr="003D1819" w:rsidRDefault="009E6CA5" w:rsidP="003E1B94">
            <w:pPr>
              <w:jc w:val="center"/>
              <w:rPr>
                <w:rFonts w:cs="Arial"/>
                <w:color w:val="1F497D" w:themeColor="text2"/>
                <w:sz w:val="20"/>
              </w:rPr>
            </w:pPr>
            <w:r>
              <w:rPr>
                <w:rFonts w:cs="Arial"/>
                <w:color w:val="1F497D" w:themeColor="text2"/>
                <w:sz w:val="20"/>
              </w:rPr>
              <w:t>60</w:t>
            </w:r>
          </w:p>
        </w:tc>
        <w:tc>
          <w:tcPr>
            <w:tcW w:w="938" w:type="dxa"/>
            <w:tcBorders>
              <w:top w:val="single" w:sz="4" w:space="0" w:color="4F81BD" w:themeColor="accent1"/>
              <w:bottom w:val="single" w:sz="4" w:space="0" w:color="4F81BD"/>
              <w:right w:val="single" w:sz="4" w:space="0" w:color="4F81BD"/>
            </w:tcBorders>
            <w:shd w:val="clear" w:color="auto" w:fill="auto"/>
            <w:noWrap/>
            <w:vAlign w:val="center"/>
          </w:tcPr>
          <w:p w:rsidR="00FF377D" w:rsidRPr="003D1819" w:rsidRDefault="00FF377D" w:rsidP="003E1B94">
            <w:pPr>
              <w:jc w:val="center"/>
              <w:rPr>
                <w:rFonts w:cs="Arial"/>
                <w:color w:val="1F497D" w:themeColor="text2"/>
                <w:sz w:val="20"/>
              </w:rPr>
            </w:pPr>
          </w:p>
        </w:tc>
      </w:tr>
    </w:tbl>
    <w:p w:rsidR="00FF377D" w:rsidRDefault="00FF377D" w:rsidP="00FF377D">
      <w:pPr>
        <w:pStyle w:val="KeyFindings"/>
      </w:pPr>
      <w:r>
        <w:t>Of the 278 individuals remaining in care on September 30, 2014, 218 had their race and ethnicity information identified in Avatar. Of those, 18</w:t>
      </w:r>
      <w:r w:rsidR="009E6CA5">
        <w:t>6</w:t>
      </w:r>
      <w:r>
        <w:t xml:space="preserve"> or 85% were </w:t>
      </w:r>
      <w:r w:rsidRPr="0089003D">
        <w:rPr>
          <w:i/>
        </w:rPr>
        <w:t>Non-Hispanic Black</w:t>
      </w:r>
      <w:r>
        <w:t xml:space="preserve"> or </w:t>
      </w:r>
      <w:r w:rsidRPr="0089003D">
        <w:rPr>
          <w:i/>
        </w:rPr>
        <w:t>African-American</w:t>
      </w:r>
      <w:r>
        <w:t xml:space="preserve">, 25 or 11.5% were </w:t>
      </w:r>
      <w:r w:rsidRPr="0089003D">
        <w:rPr>
          <w:i/>
        </w:rPr>
        <w:t>Non-Hispanic White</w:t>
      </w:r>
      <w:r>
        <w:t xml:space="preserve"> or </w:t>
      </w:r>
      <w:r w:rsidRPr="0089003D">
        <w:rPr>
          <w:i/>
        </w:rPr>
        <w:t>Caucasian</w:t>
      </w:r>
      <w:r>
        <w:t xml:space="preserve">, three (3) or 1.4% were </w:t>
      </w:r>
      <w:r w:rsidRPr="0089003D">
        <w:rPr>
          <w:i/>
        </w:rPr>
        <w:t xml:space="preserve">Asian </w:t>
      </w:r>
      <w:r w:rsidRPr="0089003D">
        <w:t xml:space="preserve">or </w:t>
      </w:r>
      <w:r w:rsidRPr="0089003D">
        <w:rPr>
          <w:i/>
        </w:rPr>
        <w:t>Pacific Islander</w:t>
      </w:r>
      <w:r w:rsidR="009E6CA5">
        <w:t>, and two</w:t>
      </w:r>
      <w:r>
        <w:t xml:space="preserve"> (</w:t>
      </w:r>
      <w:r w:rsidR="009E6CA5">
        <w:t>2</w:t>
      </w:r>
      <w:r>
        <w:t>) or 0.</w:t>
      </w:r>
      <w:r w:rsidR="009E6CA5">
        <w:t>9</w:t>
      </w:r>
      <w:r>
        <w:t>% w</w:t>
      </w:r>
      <w:r w:rsidR="009E6CA5">
        <w:t>ere Hispanic</w:t>
      </w:r>
      <w:r>
        <w:t>.  Race and ethnicity information for 60 individuals was not available.</w:t>
      </w:r>
    </w:p>
    <w:p w:rsidR="00FF377D" w:rsidRPr="00A92155" w:rsidRDefault="00FF377D" w:rsidP="00FF377D">
      <w:pPr>
        <w:pStyle w:val="KeyFindings"/>
      </w:pPr>
      <w:r>
        <w:t>Of the 215 individuals whose primary language was identified in Avatar, 207 or 96% indicated English as thei</w:t>
      </w:r>
      <w:r w:rsidR="00CE08A8">
        <w:t xml:space="preserve">r primary language.  The other </w:t>
      </w:r>
      <w:r>
        <w:t>8</w:t>
      </w:r>
      <w:r w:rsidRPr="00264B12">
        <w:t xml:space="preserve"> </w:t>
      </w:r>
      <w:r>
        <w:t>individual</w:t>
      </w:r>
      <w:r w:rsidRPr="00264B12">
        <w:t xml:space="preserve">s </w:t>
      </w:r>
      <w:r>
        <w:t>were</w:t>
      </w:r>
      <w:r w:rsidRPr="00264B12">
        <w:t xml:space="preserve"> identified </w:t>
      </w:r>
      <w:r>
        <w:t>as</w:t>
      </w:r>
      <w:r w:rsidRPr="00264B12">
        <w:t xml:space="preserve"> speak</w:t>
      </w:r>
      <w:r>
        <w:t>ing</w:t>
      </w:r>
      <w:r w:rsidRPr="00264B12">
        <w:t xml:space="preserve"> a language other than English as their primary</w:t>
      </w:r>
      <w:r>
        <w:t xml:space="preserve"> lan</w:t>
      </w:r>
      <w:r w:rsidRPr="00264B12">
        <w:t>guage.</w:t>
      </w:r>
      <w:r>
        <w:t xml:space="preserve">  There were 63 individuals with no primary language information documented in Avatar.</w:t>
      </w:r>
    </w:p>
    <w:tbl>
      <w:tblPr>
        <w:tblpPr w:leftFromText="180" w:rightFromText="180" w:vertAnchor="text" w:horzAnchor="margin" w:tblpXSpec="right" w:tblpY="1274"/>
        <w:tblW w:w="3960" w:type="dxa"/>
        <w:tblCellMar>
          <w:left w:w="29" w:type="dxa"/>
          <w:right w:w="29" w:type="dxa"/>
        </w:tblCellMar>
        <w:tblLook w:val="0000" w:firstRow="0" w:lastRow="0" w:firstColumn="0" w:lastColumn="0" w:noHBand="0" w:noVBand="0"/>
      </w:tblPr>
      <w:tblGrid>
        <w:gridCol w:w="1961"/>
        <w:gridCol w:w="948"/>
        <w:gridCol w:w="1051"/>
      </w:tblGrid>
      <w:tr w:rsidR="00FF377D" w:rsidRPr="00F7115E" w:rsidTr="00A94FBB">
        <w:trPr>
          <w:trHeight w:val="285"/>
        </w:trPr>
        <w:tc>
          <w:tcPr>
            <w:tcW w:w="3960" w:type="dxa"/>
            <w:gridSpan w:val="3"/>
            <w:tcBorders>
              <w:bottom w:val="single" w:sz="4" w:space="0" w:color="4F81BD"/>
            </w:tcBorders>
            <w:shd w:val="clear" w:color="auto" w:fill="FFFFFF" w:themeFill="background1"/>
            <w:vAlign w:val="center"/>
          </w:tcPr>
          <w:p w:rsidR="00FF377D" w:rsidRDefault="00FF377D" w:rsidP="00A94FBB">
            <w:pPr>
              <w:keepNext/>
              <w:spacing w:before="120"/>
              <w:ind w:left="720" w:hanging="720"/>
              <w:rPr>
                <w:b/>
                <w:color w:val="1F497D"/>
                <w:sz w:val="20"/>
              </w:rPr>
            </w:pPr>
            <w:bookmarkStart w:id="130" w:name="_Toc316898031"/>
            <w:bookmarkStart w:id="131" w:name="_Toc416357962"/>
            <w:bookmarkStart w:id="132" w:name="_Toc316897937"/>
            <w:bookmarkStart w:id="133" w:name="_Toc349913402"/>
            <w:bookmarkStart w:id="134" w:name="_Toc384134253"/>
            <w:r w:rsidRPr="00650386">
              <w:rPr>
                <w:rStyle w:val="FigureChar"/>
              </w:rPr>
              <w:t xml:space="preserve">Table </w:t>
            </w:r>
            <w:r w:rsidRPr="00650386">
              <w:rPr>
                <w:rStyle w:val="FigureChar"/>
              </w:rPr>
              <w:fldChar w:fldCharType="begin"/>
            </w:r>
            <w:r w:rsidRPr="00650386">
              <w:rPr>
                <w:rStyle w:val="FigureChar"/>
              </w:rPr>
              <w:instrText xml:space="preserve"> SEQ Table \* ARABIC </w:instrText>
            </w:r>
            <w:r w:rsidRPr="00650386">
              <w:rPr>
                <w:rStyle w:val="FigureChar"/>
              </w:rPr>
              <w:fldChar w:fldCharType="separate"/>
            </w:r>
            <w:r w:rsidR="007E3DB6">
              <w:rPr>
                <w:rStyle w:val="FigureChar"/>
                <w:noProof/>
              </w:rPr>
              <w:t>9</w:t>
            </w:r>
            <w:r w:rsidRPr="00650386">
              <w:rPr>
                <w:rStyle w:val="FigureChar"/>
              </w:rPr>
              <w:fldChar w:fldCharType="end"/>
            </w:r>
            <w:r w:rsidRPr="00650386">
              <w:rPr>
                <w:rStyle w:val="FigureChar"/>
              </w:rPr>
              <w:t xml:space="preserve">. </w:t>
            </w:r>
            <w:r>
              <w:rPr>
                <w:rStyle w:val="FigureChar"/>
              </w:rPr>
              <w:t>Marital Status</w:t>
            </w:r>
            <w:r w:rsidRPr="00650386">
              <w:rPr>
                <w:rStyle w:val="FigureChar"/>
              </w:rPr>
              <w:t xml:space="preserve"> (</w:t>
            </w:r>
            <w:r>
              <w:rPr>
                <w:rStyle w:val="FigureChar"/>
              </w:rPr>
              <w:t>09/30/14</w:t>
            </w:r>
            <w:r w:rsidRPr="00650386">
              <w:rPr>
                <w:rStyle w:val="FigureChar"/>
              </w:rPr>
              <w:t>)</w:t>
            </w:r>
            <w:bookmarkEnd w:id="130"/>
            <w:bookmarkEnd w:id="131"/>
          </w:p>
        </w:tc>
      </w:tr>
      <w:tr w:rsidR="00FF377D" w:rsidRPr="00F7115E" w:rsidTr="00A94FBB">
        <w:trPr>
          <w:trHeight w:val="311"/>
        </w:trPr>
        <w:tc>
          <w:tcPr>
            <w:tcW w:w="1961" w:type="dxa"/>
            <w:tcBorders>
              <w:top w:val="single" w:sz="4" w:space="0" w:color="4F81BD"/>
              <w:left w:val="single" w:sz="4" w:space="0" w:color="4F81BD"/>
              <w:bottom w:val="single" w:sz="4" w:space="0" w:color="4F81BD"/>
            </w:tcBorders>
            <w:shd w:val="clear" w:color="auto" w:fill="C6D9F1"/>
            <w:vAlign w:val="center"/>
          </w:tcPr>
          <w:p w:rsidR="00FF377D" w:rsidRPr="004C6A92" w:rsidRDefault="00FF377D" w:rsidP="00A94FBB">
            <w:pPr>
              <w:rPr>
                <w:b/>
                <w:color w:val="1F497D"/>
                <w:sz w:val="20"/>
              </w:rPr>
            </w:pPr>
            <w:r>
              <w:rPr>
                <w:b/>
                <w:color w:val="1F497D"/>
                <w:sz w:val="20"/>
              </w:rPr>
              <w:t>Marital Status</w:t>
            </w:r>
          </w:p>
        </w:tc>
        <w:tc>
          <w:tcPr>
            <w:tcW w:w="948" w:type="dxa"/>
            <w:tcBorders>
              <w:top w:val="single" w:sz="4" w:space="0" w:color="4F81BD"/>
              <w:bottom w:val="single" w:sz="4" w:space="0" w:color="4F81BD"/>
            </w:tcBorders>
            <w:shd w:val="clear" w:color="auto" w:fill="C6D9F1"/>
            <w:vAlign w:val="center"/>
          </w:tcPr>
          <w:p w:rsidR="00FF377D" w:rsidRPr="004C6A92" w:rsidRDefault="00FF377D" w:rsidP="00A94FBB">
            <w:pPr>
              <w:jc w:val="center"/>
              <w:rPr>
                <w:b/>
                <w:color w:val="1F497D"/>
                <w:sz w:val="20"/>
              </w:rPr>
            </w:pPr>
            <w:r>
              <w:rPr>
                <w:b/>
                <w:color w:val="1F497D"/>
                <w:sz w:val="20"/>
              </w:rPr>
              <w:t>Number</w:t>
            </w:r>
          </w:p>
        </w:tc>
        <w:tc>
          <w:tcPr>
            <w:tcW w:w="1051" w:type="dxa"/>
            <w:tcBorders>
              <w:top w:val="single" w:sz="4" w:space="0" w:color="4F81BD"/>
              <w:bottom w:val="single" w:sz="4" w:space="0" w:color="4F81BD"/>
              <w:right w:val="single" w:sz="4" w:space="0" w:color="4F81BD"/>
            </w:tcBorders>
            <w:shd w:val="clear" w:color="auto" w:fill="C6D9F1"/>
            <w:vAlign w:val="center"/>
          </w:tcPr>
          <w:p w:rsidR="00FF377D" w:rsidRPr="004C6A92" w:rsidRDefault="00FF377D" w:rsidP="00A94FBB">
            <w:pPr>
              <w:jc w:val="center"/>
              <w:rPr>
                <w:b/>
                <w:color w:val="1F497D"/>
                <w:sz w:val="20"/>
              </w:rPr>
            </w:pPr>
            <w:r>
              <w:rPr>
                <w:b/>
                <w:color w:val="1F497D"/>
                <w:sz w:val="20"/>
              </w:rPr>
              <w:t>Percent</w:t>
            </w:r>
          </w:p>
        </w:tc>
      </w:tr>
      <w:tr w:rsidR="00FF377D" w:rsidRPr="008C3C6D" w:rsidTr="00A94FBB">
        <w:trPr>
          <w:trHeight w:val="311"/>
        </w:trPr>
        <w:tc>
          <w:tcPr>
            <w:tcW w:w="1961" w:type="dxa"/>
            <w:tcBorders>
              <w:top w:val="single" w:sz="4" w:space="0" w:color="4F81BD"/>
              <w:left w:val="single" w:sz="4" w:space="0" w:color="4F81BD"/>
            </w:tcBorders>
            <w:shd w:val="clear" w:color="auto" w:fill="auto"/>
            <w:vAlign w:val="center"/>
          </w:tcPr>
          <w:p w:rsidR="00FF377D" w:rsidRPr="00D312FA" w:rsidRDefault="00FF377D" w:rsidP="00A94FBB">
            <w:pPr>
              <w:rPr>
                <w:rFonts w:cs="Arial"/>
                <w:color w:val="1F497D" w:themeColor="text2"/>
                <w:sz w:val="20"/>
              </w:rPr>
            </w:pPr>
            <w:r w:rsidRPr="00D312FA">
              <w:rPr>
                <w:rFonts w:cs="Arial"/>
                <w:color w:val="1F497D" w:themeColor="text2"/>
                <w:sz w:val="20"/>
              </w:rPr>
              <w:t>Single</w:t>
            </w:r>
          </w:p>
        </w:tc>
        <w:tc>
          <w:tcPr>
            <w:tcW w:w="948" w:type="dxa"/>
            <w:tcBorders>
              <w:top w:val="single" w:sz="4" w:space="0" w:color="4F81BD"/>
            </w:tcBorders>
            <w:shd w:val="clear" w:color="auto" w:fill="auto"/>
            <w:noWrap/>
            <w:vAlign w:val="center"/>
          </w:tcPr>
          <w:p w:rsidR="00FF377D" w:rsidRPr="00D312FA" w:rsidRDefault="00FF377D" w:rsidP="00A94FBB">
            <w:pPr>
              <w:jc w:val="center"/>
              <w:rPr>
                <w:rFonts w:cs="Arial"/>
                <w:color w:val="1F497D" w:themeColor="text2"/>
                <w:sz w:val="20"/>
              </w:rPr>
            </w:pPr>
            <w:r w:rsidRPr="00D312FA">
              <w:rPr>
                <w:rFonts w:cs="Arial"/>
                <w:color w:val="1F497D" w:themeColor="text2"/>
                <w:sz w:val="20"/>
              </w:rPr>
              <w:t>144</w:t>
            </w:r>
          </w:p>
        </w:tc>
        <w:tc>
          <w:tcPr>
            <w:tcW w:w="1051" w:type="dxa"/>
            <w:tcBorders>
              <w:top w:val="single" w:sz="4" w:space="0" w:color="4F81BD"/>
              <w:right w:val="single" w:sz="4" w:space="0" w:color="4F81BD"/>
            </w:tcBorders>
            <w:shd w:val="clear" w:color="auto" w:fill="auto"/>
            <w:noWrap/>
            <w:vAlign w:val="center"/>
          </w:tcPr>
          <w:p w:rsidR="00FF377D" w:rsidRPr="00D312FA" w:rsidRDefault="00FF377D" w:rsidP="00A94FBB">
            <w:pPr>
              <w:jc w:val="center"/>
              <w:rPr>
                <w:rFonts w:cs="Arial"/>
                <w:color w:val="1F497D" w:themeColor="text2"/>
                <w:sz w:val="20"/>
              </w:rPr>
            </w:pPr>
            <w:r w:rsidRPr="00D312FA">
              <w:rPr>
                <w:rFonts w:cs="Arial"/>
                <w:color w:val="1F497D" w:themeColor="text2"/>
                <w:sz w:val="20"/>
              </w:rPr>
              <w:t>82%</w:t>
            </w:r>
          </w:p>
        </w:tc>
      </w:tr>
      <w:tr w:rsidR="00FF377D" w:rsidRPr="008C3C6D" w:rsidTr="00A94FBB">
        <w:trPr>
          <w:trHeight w:val="311"/>
        </w:trPr>
        <w:tc>
          <w:tcPr>
            <w:tcW w:w="1961" w:type="dxa"/>
            <w:tcBorders>
              <w:left w:val="single" w:sz="4" w:space="0" w:color="4F81BD"/>
            </w:tcBorders>
            <w:shd w:val="clear" w:color="auto" w:fill="auto"/>
            <w:vAlign w:val="center"/>
          </w:tcPr>
          <w:p w:rsidR="00FF377D" w:rsidRPr="00D312FA" w:rsidRDefault="00FF377D" w:rsidP="00A94FBB">
            <w:pPr>
              <w:rPr>
                <w:rFonts w:cs="Arial"/>
                <w:color w:val="1F497D" w:themeColor="text2"/>
                <w:sz w:val="20"/>
              </w:rPr>
            </w:pPr>
            <w:r w:rsidRPr="00D312FA">
              <w:rPr>
                <w:rFonts w:cs="Arial"/>
                <w:color w:val="1F497D" w:themeColor="text2"/>
                <w:sz w:val="20"/>
              </w:rPr>
              <w:t>Married</w:t>
            </w:r>
            <w:r>
              <w:rPr>
                <w:rFonts w:cs="Arial"/>
                <w:color w:val="1F497D" w:themeColor="text2"/>
                <w:sz w:val="20"/>
              </w:rPr>
              <w:t>/Common Law</w:t>
            </w:r>
          </w:p>
        </w:tc>
        <w:tc>
          <w:tcPr>
            <w:tcW w:w="948" w:type="dxa"/>
            <w:shd w:val="clear" w:color="auto" w:fill="auto"/>
            <w:noWrap/>
            <w:vAlign w:val="center"/>
          </w:tcPr>
          <w:p w:rsidR="00FF377D" w:rsidRPr="00D312FA" w:rsidRDefault="00FF377D" w:rsidP="00A94FBB">
            <w:pPr>
              <w:jc w:val="center"/>
              <w:rPr>
                <w:rFonts w:cs="Arial"/>
                <w:color w:val="1F497D" w:themeColor="text2"/>
                <w:sz w:val="20"/>
              </w:rPr>
            </w:pPr>
            <w:r w:rsidRPr="00D312FA">
              <w:rPr>
                <w:rFonts w:cs="Arial"/>
                <w:color w:val="1F497D" w:themeColor="text2"/>
                <w:sz w:val="20"/>
              </w:rPr>
              <w:t>1</w:t>
            </w:r>
            <w:r>
              <w:rPr>
                <w:rFonts w:cs="Arial"/>
                <w:color w:val="1F497D" w:themeColor="text2"/>
                <w:sz w:val="20"/>
              </w:rPr>
              <w:t>3</w:t>
            </w:r>
          </w:p>
        </w:tc>
        <w:tc>
          <w:tcPr>
            <w:tcW w:w="1051" w:type="dxa"/>
            <w:tcBorders>
              <w:right w:val="single" w:sz="4" w:space="0" w:color="4F81BD"/>
            </w:tcBorders>
            <w:shd w:val="clear" w:color="auto" w:fill="auto"/>
            <w:noWrap/>
            <w:vAlign w:val="center"/>
          </w:tcPr>
          <w:p w:rsidR="00FF377D" w:rsidRPr="00D312FA" w:rsidRDefault="00FF377D" w:rsidP="00A94FBB">
            <w:pPr>
              <w:jc w:val="center"/>
              <w:rPr>
                <w:rFonts w:cs="Arial"/>
                <w:color w:val="1F497D" w:themeColor="text2"/>
                <w:sz w:val="20"/>
              </w:rPr>
            </w:pPr>
            <w:r w:rsidRPr="00D312FA">
              <w:rPr>
                <w:rFonts w:cs="Arial"/>
                <w:color w:val="1F497D" w:themeColor="text2"/>
                <w:sz w:val="20"/>
              </w:rPr>
              <w:t>7%</w:t>
            </w:r>
          </w:p>
        </w:tc>
      </w:tr>
      <w:tr w:rsidR="00FF377D" w:rsidRPr="008C3C6D" w:rsidTr="00A94FBB">
        <w:trPr>
          <w:trHeight w:val="311"/>
        </w:trPr>
        <w:tc>
          <w:tcPr>
            <w:tcW w:w="1961" w:type="dxa"/>
            <w:tcBorders>
              <w:left w:val="single" w:sz="4" w:space="0" w:color="4F81BD"/>
            </w:tcBorders>
            <w:shd w:val="clear" w:color="auto" w:fill="auto"/>
            <w:vAlign w:val="center"/>
          </w:tcPr>
          <w:p w:rsidR="00FF377D" w:rsidRPr="00D312FA" w:rsidRDefault="00FF377D" w:rsidP="00A94FBB">
            <w:pPr>
              <w:rPr>
                <w:rFonts w:cs="Arial"/>
                <w:color w:val="1F497D" w:themeColor="text2"/>
                <w:sz w:val="20"/>
              </w:rPr>
            </w:pPr>
            <w:r w:rsidRPr="00D312FA">
              <w:rPr>
                <w:rFonts w:cs="Arial"/>
                <w:color w:val="1F497D" w:themeColor="text2"/>
                <w:sz w:val="20"/>
              </w:rPr>
              <w:t>Divorced</w:t>
            </w:r>
            <w:r>
              <w:rPr>
                <w:rFonts w:cs="Arial"/>
                <w:color w:val="1F497D" w:themeColor="text2"/>
                <w:sz w:val="20"/>
              </w:rPr>
              <w:t>/Separated</w:t>
            </w:r>
          </w:p>
        </w:tc>
        <w:tc>
          <w:tcPr>
            <w:tcW w:w="948" w:type="dxa"/>
            <w:shd w:val="clear" w:color="auto" w:fill="auto"/>
            <w:noWrap/>
            <w:vAlign w:val="center"/>
          </w:tcPr>
          <w:p w:rsidR="00FF377D" w:rsidRPr="00D312FA" w:rsidRDefault="00FF377D" w:rsidP="00A94FBB">
            <w:pPr>
              <w:jc w:val="center"/>
              <w:rPr>
                <w:rFonts w:cs="Arial"/>
                <w:color w:val="1F497D" w:themeColor="text2"/>
                <w:sz w:val="20"/>
              </w:rPr>
            </w:pPr>
            <w:r w:rsidRPr="00D312FA">
              <w:rPr>
                <w:rFonts w:cs="Arial"/>
                <w:color w:val="1F497D" w:themeColor="text2"/>
                <w:sz w:val="20"/>
              </w:rPr>
              <w:t>15</w:t>
            </w:r>
          </w:p>
        </w:tc>
        <w:tc>
          <w:tcPr>
            <w:tcW w:w="1051" w:type="dxa"/>
            <w:tcBorders>
              <w:right w:val="single" w:sz="4" w:space="0" w:color="4F81BD"/>
            </w:tcBorders>
            <w:shd w:val="clear" w:color="auto" w:fill="auto"/>
            <w:noWrap/>
            <w:vAlign w:val="center"/>
          </w:tcPr>
          <w:p w:rsidR="00FF377D" w:rsidRPr="00D312FA" w:rsidRDefault="00FF377D" w:rsidP="00A94FBB">
            <w:pPr>
              <w:jc w:val="center"/>
              <w:rPr>
                <w:rFonts w:cs="Arial"/>
                <w:color w:val="1F497D" w:themeColor="text2"/>
                <w:sz w:val="20"/>
              </w:rPr>
            </w:pPr>
            <w:r w:rsidRPr="00D312FA">
              <w:rPr>
                <w:rFonts w:cs="Arial"/>
                <w:color w:val="1F497D" w:themeColor="text2"/>
                <w:sz w:val="20"/>
              </w:rPr>
              <w:t>9%</w:t>
            </w:r>
          </w:p>
        </w:tc>
      </w:tr>
      <w:tr w:rsidR="00FF377D" w:rsidRPr="008C3C6D" w:rsidTr="00A94FBB">
        <w:trPr>
          <w:trHeight w:val="311"/>
        </w:trPr>
        <w:tc>
          <w:tcPr>
            <w:tcW w:w="1961" w:type="dxa"/>
            <w:tcBorders>
              <w:left w:val="single" w:sz="4" w:space="0" w:color="4F81BD"/>
            </w:tcBorders>
            <w:shd w:val="clear" w:color="auto" w:fill="auto"/>
            <w:vAlign w:val="center"/>
          </w:tcPr>
          <w:p w:rsidR="00FF377D" w:rsidRPr="00D312FA" w:rsidRDefault="00FF377D" w:rsidP="00A94FBB">
            <w:pPr>
              <w:rPr>
                <w:rFonts w:cs="Arial"/>
                <w:color w:val="1F497D" w:themeColor="text2"/>
                <w:sz w:val="20"/>
              </w:rPr>
            </w:pPr>
            <w:r w:rsidRPr="00D312FA">
              <w:rPr>
                <w:rFonts w:cs="Arial"/>
                <w:color w:val="1F497D" w:themeColor="text2"/>
                <w:sz w:val="20"/>
              </w:rPr>
              <w:t>Widowed</w:t>
            </w:r>
          </w:p>
        </w:tc>
        <w:tc>
          <w:tcPr>
            <w:tcW w:w="948" w:type="dxa"/>
            <w:shd w:val="clear" w:color="auto" w:fill="auto"/>
            <w:noWrap/>
            <w:vAlign w:val="center"/>
          </w:tcPr>
          <w:p w:rsidR="00FF377D" w:rsidRPr="00D312FA" w:rsidRDefault="00FF377D" w:rsidP="00A94FBB">
            <w:pPr>
              <w:jc w:val="center"/>
              <w:rPr>
                <w:rFonts w:cs="Arial"/>
                <w:color w:val="1F497D" w:themeColor="text2"/>
                <w:sz w:val="20"/>
              </w:rPr>
            </w:pPr>
            <w:r w:rsidRPr="00D312FA">
              <w:rPr>
                <w:rFonts w:cs="Arial"/>
                <w:color w:val="1F497D" w:themeColor="text2"/>
                <w:sz w:val="20"/>
              </w:rPr>
              <w:t>4</w:t>
            </w:r>
          </w:p>
        </w:tc>
        <w:tc>
          <w:tcPr>
            <w:tcW w:w="1051" w:type="dxa"/>
            <w:tcBorders>
              <w:right w:val="single" w:sz="4" w:space="0" w:color="4F81BD"/>
            </w:tcBorders>
            <w:shd w:val="clear" w:color="auto" w:fill="auto"/>
            <w:noWrap/>
            <w:vAlign w:val="center"/>
          </w:tcPr>
          <w:p w:rsidR="00FF377D" w:rsidRPr="00D312FA" w:rsidRDefault="00FF377D" w:rsidP="00A94FBB">
            <w:pPr>
              <w:jc w:val="center"/>
              <w:rPr>
                <w:rFonts w:cs="Arial"/>
                <w:color w:val="1F497D" w:themeColor="text2"/>
                <w:sz w:val="20"/>
              </w:rPr>
            </w:pPr>
            <w:r w:rsidRPr="00D312FA">
              <w:rPr>
                <w:rFonts w:cs="Arial"/>
                <w:color w:val="1F497D" w:themeColor="text2"/>
                <w:sz w:val="20"/>
              </w:rPr>
              <w:t>2%</w:t>
            </w:r>
          </w:p>
        </w:tc>
      </w:tr>
      <w:tr w:rsidR="00FF377D" w:rsidRPr="008C3C6D" w:rsidTr="00A94FBB">
        <w:trPr>
          <w:trHeight w:val="311"/>
        </w:trPr>
        <w:tc>
          <w:tcPr>
            <w:tcW w:w="1961" w:type="dxa"/>
            <w:tcBorders>
              <w:left w:val="single" w:sz="4" w:space="0" w:color="4F81BD"/>
              <w:bottom w:val="single" w:sz="4" w:space="0" w:color="4F81BD" w:themeColor="accent1"/>
            </w:tcBorders>
            <w:shd w:val="clear" w:color="auto" w:fill="C6D9F1" w:themeFill="text2" w:themeFillTint="33"/>
            <w:vAlign w:val="center"/>
          </w:tcPr>
          <w:p w:rsidR="00FF377D" w:rsidRPr="00653E7F" w:rsidRDefault="00FF377D" w:rsidP="00A94FBB">
            <w:pPr>
              <w:rPr>
                <w:b/>
                <w:color w:val="1F497D"/>
                <w:sz w:val="20"/>
              </w:rPr>
            </w:pPr>
            <w:r w:rsidRPr="00653E7F">
              <w:rPr>
                <w:b/>
                <w:color w:val="1F497D"/>
                <w:sz w:val="20"/>
              </w:rPr>
              <w:t>Total Identified</w:t>
            </w:r>
          </w:p>
        </w:tc>
        <w:tc>
          <w:tcPr>
            <w:tcW w:w="948" w:type="dxa"/>
            <w:tcBorders>
              <w:bottom w:val="single" w:sz="4" w:space="0" w:color="4F81BD" w:themeColor="accent1"/>
            </w:tcBorders>
            <w:shd w:val="clear" w:color="auto" w:fill="C6D9F1" w:themeFill="text2" w:themeFillTint="33"/>
            <w:noWrap/>
            <w:vAlign w:val="center"/>
          </w:tcPr>
          <w:p w:rsidR="00FF377D" w:rsidRPr="00653E7F" w:rsidRDefault="00FF377D" w:rsidP="00A94FBB">
            <w:pPr>
              <w:jc w:val="center"/>
              <w:rPr>
                <w:b/>
                <w:color w:val="1F497D"/>
                <w:sz w:val="20"/>
              </w:rPr>
            </w:pPr>
            <w:r w:rsidRPr="00653E7F">
              <w:rPr>
                <w:b/>
                <w:color w:val="1F497D"/>
                <w:sz w:val="20"/>
              </w:rPr>
              <w:t>176</w:t>
            </w:r>
          </w:p>
        </w:tc>
        <w:tc>
          <w:tcPr>
            <w:tcW w:w="1051" w:type="dxa"/>
            <w:tcBorders>
              <w:bottom w:val="single" w:sz="4" w:space="0" w:color="4F81BD" w:themeColor="accent1"/>
              <w:right w:val="single" w:sz="4" w:space="0" w:color="4F81BD"/>
            </w:tcBorders>
            <w:shd w:val="clear" w:color="auto" w:fill="C6D9F1" w:themeFill="text2" w:themeFillTint="33"/>
            <w:noWrap/>
            <w:vAlign w:val="center"/>
          </w:tcPr>
          <w:p w:rsidR="00FF377D" w:rsidRPr="00653E7F" w:rsidRDefault="00FF377D" w:rsidP="00A94FBB">
            <w:pPr>
              <w:jc w:val="center"/>
              <w:rPr>
                <w:b/>
                <w:color w:val="1F497D"/>
                <w:sz w:val="20"/>
              </w:rPr>
            </w:pPr>
            <w:r w:rsidRPr="00653E7F">
              <w:rPr>
                <w:b/>
                <w:color w:val="1F497D"/>
                <w:sz w:val="20"/>
              </w:rPr>
              <w:t>100%</w:t>
            </w:r>
          </w:p>
        </w:tc>
      </w:tr>
      <w:tr w:rsidR="00FF377D" w:rsidRPr="008C3C6D" w:rsidTr="00A94FBB">
        <w:trPr>
          <w:trHeight w:val="311"/>
        </w:trPr>
        <w:tc>
          <w:tcPr>
            <w:tcW w:w="1961" w:type="dxa"/>
            <w:tcBorders>
              <w:top w:val="single" w:sz="4" w:space="0" w:color="4F81BD" w:themeColor="accent1"/>
              <w:left w:val="single" w:sz="4" w:space="0" w:color="4F81BD"/>
              <w:bottom w:val="single" w:sz="4" w:space="0" w:color="4F81BD"/>
            </w:tcBorders>
            <w:shd w:val="clear" w:color="auto" w:fill="auto"/>
            <w:vAlign w:val="center"/>
          </w:tcPr>
          <w:p w:rsidR="00FF377D" w:rsidRDefault="00FF377D" w:rsidP="00A94FBB">
            <w:pPr>
              <w:rPr>
                <w:rFonts w:ascii="Arial" w:hAnsi="Arial" w:cs="Arial"/>
                <w:sz w:val="20"/>
              </w:rPr>
            </w:pPr>
            <w:r w:rsidRPr="009762E0">
              <w:rPr>
                <w:i/>
                <w:color w:val="1F497D"/>
                <w:sz w:val="20"/>
              </w:rPr>
              <w:t>No Data Available</w:t>
            </w:r>
          </w:p>
        </w:tc>
        <w:tc>
          <w:tcPr>
            <w:tcW w:w="948" w:type="dxa"/>
            <w:tcBorders>
              <w:top w:val="single" w:sz="4" w:space="0" w:color="4F81BD" w:themeColor="accent1"/>
              <w:bottom w:val="single" w:sz="4" w:space="0" w:color="4F81BD"/>
            </w:tcBorders>
            <w:shd w:val="clear" w:color="auto" w:fill="auto"/>
            <w:noWrap/>
            <w:vAlign w:val="center"/>
          </w:tcPr>
          <w:p w:rsidR="00FF377D" w:rsidRPr="00653E7F" w:rsidRDefault="00781E2E" w:rsidP="00A94FBB">
            <w:pPr>
              <w:jc w:val="center"/>
              <w:rPr>
                <w:rFonts w:cs="Arial"/>
                <w:color w:val="1F497D" w:themeColor="text2"/>
                <w:sz w:val="20"/>
              </w:rPr>
            </w:pPr>
            <w:r>
              <w:rPr>
                <w:rFonts w:cs="Arial"/>
                <w:color w:val="1F497D" w:themeColor="text2"/>
                <w:sz w:val="20"/>
              </w:rPr>
              <w:t>102</w:t>
            </w:r>
          </w:p>
        </w:tc>
        <w:tc>
          <w:tcPr>
            <w:tcW w:w="1051" w:type="dxa"/>
            <w:tcBorders>
              <w:top w:val="single" w:sz="4" w:space="0" w:color="4F81BD" w:themeColor="accent1"/>
              <w:bottom w:val="single" w:sz="4" w:space="0" w:color="4F81BD"/>
              <w:right w:val="single" w:sz="4" w:space="0" w:color="4F81BD"/>
            </w:tcBorders>
            <w:shd w:val="clear" w:color="auto" w:fill="auto"/>
            <w:noWrap/>
            <w:vAlign w:val="center"/>
          </w:tcPr>
          <w:p w:rsidR="00FF377D" w:rsidRPr="00656C9E" w:rsidRDefault="00FF377D" w:rsidP="00A94FBB">
            <w:pPr>
              <w:jc w:val="center"/>
            </w:pPr>
          </w:p>
        </w:tc>
      </w:tr>
    </w:tbl>
    <w:p w:rsidR="00FF377D" w:rsidRPr="00D760F8" w:rsidRDefault="00FF377D" w:rsidP="00FF377D">
      <w:pPr>
        <w:pStyle w:val="Heading2"/>
      </w:pPr>
      <w:r>
        <w:t xml:space="preserve"> </w:t>
      </w:r>
      <w:bookmarkStart w:id="135" w:name="_Toc416357859"/>
      <w:r>
        <w:t>Marital Status</w:t>
      </w:r>
      <w:bookmarkEnd w:id="132"/>
      <w:bookmarkEnd w:id="133"/>
      <w:bookmarkEnd w:id="134"/>
      <w:bookmarkEnd w:id="135"/>
    </w:p>
    <w:p w:rsidR="00FF377D" w:rsidRDefault="00FF377D" w:rsidP="00FF377D">
      <w:pPr>
        <w:pStyle w:val="KeyFindings"/>
      </w:pPr>
      <w:r>
        <w:t>There were 176 individuals whose marital status was identified. Of those, 82% were single, 7% were married, and the other 11% divorced, separated or widowed.  Marital status information for 102 individuals was not available in Avatar.</w:t>
      </w:r>
    </w:p>
    <w:p w:rsidR="00FF377D" w:rsidRPr="00D760F8" w:rsidRDefault="00FF377D" w:rsidP="00FF377D">
      <w:pPr>
        <w:pStyle w:val="Heading2"/>
      </w:pPr>
      <w:bookmarkStart w:id="136" w:name="_Toc316897939"/>
      <w:bookmarkStart w:id="137" w:name="_Toc349913404"/>
      <w:bookmarkStart w:id="138" w:name="_Toc384134255"/>
      <w:bookmarkStart w:id="139" w:name="_Toc416357860"/>
      <w:r>
        <w:t>Religion &amp; Education</w:t>
      </w:r>
      <w:bookmarkEnd w:id="136"/>
      <w:bookmarkEnd w:id="137"/>
      <w:bookmarkEnd w:id="138"/>
      <w:bookmarkEnd w:id="139"/>
    </w:p>
    <w:p w:rsidR="00FF377D" w:rsidRDefault="00FF377D" w:rsidP="00FF377D">
      <w:pPr>
        <w:pStyle w:val="KeyFindings"/>
      </w:pPr>
      <w:r>
        <w:t xml:space="preserve">Of the 144 individuals whose religion information was identified in Avatar, 44% or 64 individuals were </w:t>
      </w:r>
      <w:r w:rsidRPr="001C6CFF">
        <w:rPr>
          <w:i/>
        </w:rPr>
        <w:t>Protestant</w:t>
      </w:r>
      <w:r>
        <w:t>, 2</w:t>
      </w:r>
      <w:r w:rsidR="00077163">
        <w:t>2</w:t>
      </w:r>
      <w:r>
        <w:t xml:space="preserve">% or 31 individuals were </w:t>
      </w:r>
      <w:r w:rsidRPr="001C6CFF">
        <w:rPr>
          <w:i/>
        </w:rPr>
        <w:t>Catholic</w:t>
      </w:r>
      <w:r>
        <w:t xml:space="preserve">, and 6% or 8 individuals were </w:t>
      </w:r>
      <w:r w:rsidRPr="001C6CFF">
        <w:rPr>
          <w:i/>
        </w:rPr>
        <w:t>Baptists</w:t>
      </w:r>
      <w:r>
        <w:t xml:space="preserve">.  </w:t>
      </w:r>
      <w:r w:rsidR="00784C95">
        <w:t xml:space="preserve">There were four (4) identified as </w:t>
      </w:r>
      <w:r w:rsidR="00784C95" w:rsidRPr="00784C95">
        <w:rPr>
          <w:i/>
        </w:rPr>
        <w:t>Jewi</w:t>
      </w:r>
      <w:r w:rsidR="00784C95">
        <w:rPr>
          <w:i/>
        </w:rPr>
        <w:t xml:space="preserve">sh </w:t>
      </w:r>
      <w:r w:rsidR="00784C95">
        <w:t xml:space="preserve">and </w:t>
      </w:r>
      <w:r w:rsidR="00784C95" w:rsidRPr="00784C95">
        <w:t>three (3)</w:t>
      </w:r>
      <w:r w:rsidR="00784C95">
        <w:t xml:space="preserve"> as </w:t>
      </w:r>
      <w:r w:rsidR="00784C95" w:rsidRPr="00784C95">
        <w:rPr>
          <w:i/>
        </w:rPr>
        <w:t>Muslim</w:t>
      </w:r>
      <w:r w:rsidR="00784C95">
        <w:t>, and 20</w:t>
      </w:r>
      <w:r w:rsidR="008C7225">
        <w:t xml:space="preserve"> IICs (14%)</w:t>
      </w:r>
      <w:r w:rsidR="00784C95">
        <w:t xml:space="preserve"> indicated other types of religion.  The remaining </w:t>
      </w:r>
      <w:r>
        <w:t xml:space="preserve">10% indicated that they </w:t>
      </w:r>
      <w:r w:rsidR="00CE08A8">
        <w:t>d</w:t>
      </w:r>
      <w:r w:rsidR="008C7225">
        <w:t>id</w:t>
      </w:r>
      <w:r w:rsidR="00CE08A8">
        <w:t xml:space="preserve"> not have a</w:t>
      </w:r>
      <w:r w:rsidR="00077163">
        <w:t>ny</w:t>
      </w:r>
      <w:r w:rsidR="00CE08A8">
        <w:t xml:space="preserve"> relig</w:t>
      </w:r>
      <w:r w:rsidR="00077163">
        <w:t>i</w:t>
      </w:r>
      <w:r w:rsidR="00CE08A8">
        <w:t>on</w:t>
      </w:r>
      <w:r>
        <w:t>.</w:t>
      </w:r>
    </w:p>
    <w:p w:rsidR="00FF377D" w:rsidRDefault="00FF377D" w:rsidP="00FF377D">
      <w:pPr>
        <w:pStyle w:val="KeyFindings"/>
      </w:pPr>
      <w:r>
        <w:t xml:space="preserve">Of the 134 </w:t>
      </w:r>
      <w:r w:rsidR="00C62398">
        <w:t>IICs</w:t>
      </w:r>
      <w:r>
        <w:t xml:space="preserve"> whose education information was available, </w:t>
      </w:r>
      <w:r w:rsidR="00115583">
        <w:t xml:space="preserve">a little bit </w:t>
      </w:r>
      <w:r>
        <w:t>over half completed at least 10 years of education, including 11% who graduated from high school and about 6% who received some type of college education or a bachelor’s degree.</w:t>
      </w:r>
    </w:p>
    <w:tbl>
      <w:tblPr>
        <w:tblW w:w="10008" w:type="dxa"/>
        <w:tblInd w:w="288" w:type="dxa"/>
        <w:tblLook w:val="04A0" w:firstRow="1" w:lastRow="0" w:firstColumn="1" w:lastColumn="0" w:noHBand="0" w:noVBand="1"/>
      </w:tblPr>
      <w:tblGrid>
        <w:gridCol w:w="4500"/>
        <w:gridCol w:w="5508"/>
      </w:tblGrid>
      <w:tr w:rsidR="00FF377D" w:rsidTr="003E1B94">
        <w:tc>
          <w:tcPr>
            <w:tcW w:w="4500" w:type="dxa"/>
          </w:tcPr>
          <w:p w:rsidR="00FF377D" w:rsidRDefault="00FF377D" w:rsidP="003E1B94">
            <w:pPr>
              <w:pStyle w:val="BodyText"/>
              <w:spacing w:before="120"/>
              <w:ind w:left="900" w:hanging="900"/>
              <w:rPr>
                <w:rStyle w:val="FigureChar"/>
              </w:rPr>
            </w:pPr>
            <w:bookmarkStart w:id="140" w:name="_Toc316898033"/>
            <w:bookmarkStart w:id="141" w:name="_Toc416357963"/>
            <w:r w:rsidRPr="00650386">
              <w:rPr>
                <w:rStyle w:val="FigureChar"/>
              </w:rPr>
              <w:t xml:space="preserve">Table </w:t>
            </w:r>
            <w:r w:rsidRPr="00650386">
              <w:rPr>
                <w:rStyle w:val="FigureChar"/>
              </w:rPr>
              <w:fldChar w:fldCharType="begin"/>
            </w:r>
            <w:r w:rsidRPr="00650386">
              <w:rPr>
                <w:rStyle w:val="FigureChar"/>
              </w:rPr>
              <w:instrText xml:space="preserve"> SEQ Table \* ARABIC </w:instrText>
            </w:r>
            <w:r w:rsidRPr="00650386">
              <w:rPr>
                <w:rStyle w:val="FigureChar"/>
              </w:rPr>
              <w:fldChar w:fldCharType="separate"/>
            </w:r>
            <w:r w:rsidR="007E3DB6">
              <w:rPr>
                <w:rStyle w:val="FigureChar"/>
                <w:noProof/>
              </w:rPr>
              <w:t>10</w:t>
            </w:r>
            <w:r w:rsidRPr="00650386">
              <w:rPr>
                <w:rStyle w:val="FigureChar"/>
              </w:rPr>
              <w:fldChar w:fldCharType="end"/>
            </w:r>
            <w:r w:rsidRPr="00650386">
              <w:rPr>
                <w:rStyle w:val="FigureChar"/>
              </w:rPr>
              <w:t xml:space="preserve">. </w:t>
            </w:r>
            <w:r>
              <w:rPr>
                <w:rStyle w:val="FigureChar"/>
              </w:rPr>
              <w:t>Religion</w:t>
            </w:r>
            <w:r w:rsidRPr="00650386">
              <w:rPr>
                <w:rStyle w:val="FigureChar"/>
              </w:rPr>
              <w:t xml:space="preserve"> (</w:t>
            </w:r>
            <w:r>
              <w:rPr>
                <w:rStyle w:val="FigureChar"/>
              </w:rPr>
              <w:t>09/30/14</w:t>
            </w:r>
            <w:r w:rsidRPr="00650386">
              <w:rPr>
                <w:rStyle w:val="FigureChar"/>
              </w:rPr>
              <w:t>)</w:t>
            </w:r>
            <w:bookmarkEnd w:id="140"/>
            <w:bookmarkEnd w:id="141"/>
          </w:p>
          <w:tbl>
            <w:tblPr>
              <w:tblW w:w="4039" w:type="dxa"/>
              <w:tblCellMar>
                <w:left w:w="29" w:type="dxa"/>
                <w:right w:w="29" w:type="dxa"/>
              </w:tblCellMar>
              <w:tblLook w:val="0000" w:firstRow="0" w:lastRow="0" w:firstColumn="0" w:lastColumn="0" w:noHBand="0" w:noVBand="0"/>
            </w:tblPr>
            <w:tblGrid>
              <w:gridCol w:w="1739"/>
              <w:gridCol w:w="1150"/>
              <w:gridCol w:w="1150"/>
            </w:tblGrid>
            <w:tr w:rsidR="00FF377D" w:rsidRPr="00F7115E" w:rsidTr="00784C95">
              <w:trPr>
                <w:trHeight w:val="285"/>
              </w:trPr>
              <w:tc>
                <w:tcPr>
                  <w:tcW w:w="1739" w:type="dxa"/>
                  <w:tcBorders>
                    <w:top w:val="single" w:sz="4" w:space="0" w:color="4F81BD"/>
                    <w:left w:val="single" w:sz="4" w:space="0" w:color="4F81BD"/>
                    <w:bottom w:val="single" w:sz="4" w:space="0" w:color="4F81BD"/>
                  </w:tcBorders>
                  <w:shd w:val="clear" w:color="auto" w:fill="C6D9F1"/>
                  <w:vAlign w:val="center"/>
                </w:tcPr>
                <w:p w:rsidR="00FF377D" w:rsidRPr="004C6A92" w:rsidRDefault="00FF377D" w:rsidP="003E1B94">
                  <w:pPr>
                    <w:rPr>
                      <w:b/>
                      <w:color w:val="1F497D"/>
                      <w:sz w:val="20"/>
                    </w:rPr>
                  </w:pPr>
                  <w:r>
                    <w:rPr>
                      <w:b/>
                      <w:color w:val="1F497D"/>
                      <w:sz w:val="20"/>
                    </w:rPr>
                    <w:t>Religion</w:t>
                  </w:r>
                </w:p>
              </w:tc>
              <w:tc>
                <w:tcPr>
                  <w:tcW w:w="1150" w:type="dxa"/>
                  <w:tcBorders>
                    <w:top w:val="single" w:sz="4" w:space="0" w:color="4F81BD"/>
                    <w:bottom w:val="single" w:sz="4" w:space="0" w:color="4F81BD"/>
                  </w:tcBorders>
                  <w:shd w:val="clear" w:color="auto" w:fill="C6D9F1"/>
                  <w:vAlign w:val="center"/>
                </w:tcPr>
                <w:p w:rsidR="00FF377D" w:rsidRPr="004C6A92" w:rsidRDefault="00FF377D" w:rsidP="003E1B94">
                  <w:pPr>
                    <w:jc w:val="center"/>
                    <w:rPr>
                      <w:b/>
                      <w:color w:val="1F497D"/>
                      <w:sz w:val="20"/>
                    </w:rPr>
                  </w:pPr>
                  <w:r>
                    <w:rPr>
                      <w:b/>
                      <w:color w:val="1F497D"/>
                      <w:sz w:val="20"/>
                    </w:rPr>
                    <w:t>Number</w:t>
                  </w:r>
                </w:p>
              </w:tc>
              <w:tc>
                <w:tcPr>
                  <w:tcW w:w="1150" w:type="dxa"/>
                  <w:tcBorders>
                    <w:top w:val="single" w:sz="4" w:space="0" w:color="4F81BD"/>
                    <w:bottom w:val="single" w:sz="4" w:space="0" w:color="4F81BD"/>
                    <w:right w:val="single" w:sz="4" w:space="0" w:color="4F81BD"/>
                  </w:tcBorders>
                  <w:shd w:val="clear" w:color="auto" w:fill="C6D9F1"/>
                  <w:vAlign w:val="center"/>
                </w:tcPr>
                <w:p w:rsidR="00FF377D" w:rsidRPr="004C6A92" w:rsidRDefault="00FF377D" w:rsidP="003E1B94">
                  <w:pPr>
                    <w:jc w:val="center"/>
                    <w:rPr>
                      <w:b/>
                      <w:color w:val="1F497D"/>
                      <w:sz w:val="20"/>
                    </w:rPr>
                  </w:pPr>
                  <w:r>
                    <w:rPr>
                      <w:b/>
                      <w:color w:val="1F497D"/>
                      <w:sz w:val="20"/>
                    </w:rPr>
                    <w:t>Percent</w:t>
                  </w:r>
                </w:p>
              </w:tc>
            </w:tr>
            <w:tr w:rsidR="00FF377D" w:rsidRPr="008C3C6D" w:rsidTr="00784C95">
              <w:trPr>
                <w:trHeight w:val="285"/>
              </w:trPr>
              <w:tc>
                <w:tcPr>
                  <w:tcW w:w="1739" w:type="dxa"/>
                  <w:tcBorders>
                    <w:left w:val="single" w:sz="4" w:space="0" w:color="4F81BD"/>
                  </w:tcBorders>
                  <w:shd w:val="clear" w:color="auto" w:fill="auto"/>
                  <w:vAlign w:val="center"/>
                </w:tcPr>
                <w:p w:rsidR="00FF377D" w:rsidRPr="00F31EC3" w:rsidRDefault="00FF377D" w:rsidP="003E1B94">
                  <w:pPr>
                    <w:rPr>
                      <w:color w:val="1F497D"/>
                      <w:sz w:val="20"/>
                    </w:rPr>
                  </w:pPr>
                  <w:r w:rsidRPr="00F31EC3">
                    <w:rPr>
                      <w:color w:val="1F497D"/>
                      <w:sz w:val="20"/>
                    </w:rPr>
                    <w:t>Baptist</w:t>
                  </w:r>
                </w:p>
              </w:tc>
              <w:tc>
                <w:tcPr>
                  <w:tcW w:w="1150" w:type="dxa"/>
                  <w:shd w:val="clear" w:color="auto" w:fill="auto"/>
                  <w:noWrap/>
                  <w:vAlign w:val="center"/>
                </w:tcPr>
                <w:p w:rsidR="00FF377D" w:rsidRPr="00F31EC3" w:rsidRDefault="00FF377D" w:rsidP="003E1B94">
                  <w:pPr>
                    <w:jc w:val="center"/>
                    <w:rPr>
                      <w:color w:val="1F497D"/>
                      <w:sz w:val="20"/>
                    </w:rPr>
                  </w:pPr>
                  <w:r w:rsidRPr="00F31EC3">
                    <w:rPr>
                      <w:color w:val="1F497D"/>
                      <w:sz w:val="20"/>
                    </w:rPr>
                    <w:t>8</w:t>
                  </w:r>
                </w:p>
              </w:tc>
              <w:tc>
                <w:tcPr>
                  <w:tcW w:w="1150" w:type="dxa"/>
                  <w:tcBorders>
                    <w:right w:val="single" w:sz="4" w:space="0" w:color="4F81BD"/>
                  </w:tcBorders>
                  <w:shd w:val="clear" w:color="auto" w:fill="auto"/>
                  <w:noWrap/>
                  <w:vAlign w:val="center"/>
                </w:tcPr>
                <w:p w:rsidR="00FF377D" w:rsidRPr="00F31EC3" w:rsidRDefault="00A94FBB" w:rsidP="00A94FBB">
                  <w:pPr>
                    <w:jc w:val="center"/>
                    <w:rPr>
                      <w:color w:val="1F497D"/>
                      <w:sz w:val="20"/>
                    </w:rPr>
                  </w:pPr>
                  <w:r>
                    <w:rPr>
                      <w:color w:val="1F497D"/>
                      <w:sz w:val="20"/>
                    </w:rPr>
                    <w:t>6</w:t>
                  </w:r>
                  <w:r w:rsidR="00FF377D" w:rsidRPr="00F31EC3">
                    <w:rPr>
                      <w:color w:val="1F497D"/>
                      <w:sz w:val="20"/>
                    </w:rPr>
                    <w:t>%</w:t>
                  </w:r>
                </w:p>
              </w:tc>
            </w:tr>
            <w:tr w:rsidR="00FF377D" w:rsidRPr="008C3C6D" w:rsidTr="00784C95">
              <w:trPr>
                <w:trHeight w:val="285"/>
              </w:trPr>
              <w:tc>
                <w:tcPr>
                  <w:tcW w:w="1739" w:type="dxa"/>
                  <w:tcBorders>
                    <w:left w:val="single" w:sz="4" w:space="0" w:color="4F81BD"/>
                  </w:tcBorders>
                  <w:shd w:val="clear" w:color="auto" w:fill="auto"/>
                  <w:vAlign w:val="center"/>
                </w:tcPr>
                <w:p w:rsidR="00FF377D" w:rsidRPr="00F31EC3" w:rsidRDefault="00FF377D" w:rsidP="003E1B94">
                  <w:pPr>
                    <w:rPr>
                      <w:color w:val="1F497D"/>
                      <w:sz w:val="20"/>
                    </w:rPr>
                  </w:pPr>
                  <w:r w:rsidRPr="00F31EC3">
                    <w:rPr>
                      <w:color w:val="1F497D"/>
                      <w:sz w:val="20"/>
                    </w:rPr>
                    <w:t>Catholic</w:t>
                  </w:r>
                </w:p>
              </w:tc>
              <w:tc>
                <w:tcPr>
                  <w:tcW w:w="1150" w:type="dxa"/>
                  <w:shd w:val="clear" w:color="auto" w:fill="auto"/>
                  <w:noWrap/>
                  <w:vAlign w:val="center"/>
                </w:tcPr>
                <w:p w:rsidR="00FF377D" w:rsidRPr="00F31EC3" w:rsidRDefault="00FF377D" w:rsidP="003E1B94">
                  <w:pPr>
                    <w:jc w:val="center"/>
                    <w:rPr>
                      <w:color w:val="1F497D"/>
                      <w:sz w:val="20"/>
                    </w:rPr>
                  </w:pPr>
                  <w:r w:rsidRPr="00F31EC3">
                    <w:rPr>
                      <w:color w:val="1F497D"/>
                      <w:sz w:val="20"/>
                    </w:rPr>
                    <w:t>31</w:t>
                  </w:r>
                </w:p>
              </w:tc>
              <w:tc>
                <w:tcPr>
                  <w:tcW w:w="1150" w:type="dxa"/>
                  <w:tcBorders>
                    <w:right w:val="single" w:sz="4" w:space="0" w:color="4F81BD"/>
                  </w:tcBorders>
                  <w:shd w:val="clear" w:color="auto" w:fill="auto"/>
                  <w:noWrap/>
                  <w:vAlign w:val="center"/>
                </w:tcPr>
                <w:p w:rsidR="00FF377D" w:rsidRPr="00F31EC3" w:rsidRDefault="00FF377D" w:rsidP="00A94FBB">
                  <w:pPr>
                    <w:jc w:val="center"/>
                    <w:rPr>
                      <w:color w:val="1F497D"/>
                      <w:sz w:val="20"/>
                    </w:rPr>
                  </w:pPr>
                  <w:r w:rsidRPr="00F31EC3">
                    <w:rPr>
                      <w:color w:val="1F497D"/>
                      <w:sz w:val="20"/>
                    </w:rPr>
                    <w:t>2</w:t>
                  </w:r>
                  <w:r w:rsidR="00A94FBB">
                    <w:rPr>
                      <w:color w:val="1F497D"/>
                      <w:sz w:val="20"/>
                    </w:rPr>
                    <w:t>2</w:t>
                  </w:r>
                  <w:r w:rsidRPr="00F31EC3">
                    <w:rPr>
                      <w:color w:val="1F497D"/>
                      <w:sz w:val="20"/>
                    </w:rPr>
                    <w:t>%</w:t>
                  </w:r>
                </w:p>
              </w:tc>
            </w:tr>
            <w:tr w:rsidR="00784C95" w:rsidRPr="008C3C6D" w:rsidTr="00784C95">
              <w:trPr>
                <w:trHeight w:val="285"/>
              </w:trPr>
              <w:tc>
                <w:tcPr>
                  <w:tcW w:w="1739" w:type="dxa"/>
                  <w:tcBorders>
                    <w:left w:val="single" w:sz="4" w:space="0" w:color="4F81BD"/>
                  </w:tcBorders>
                  <w:shd w:val="clear" w:color="auto" w:fill="auto"/>
                  <w:vAlign w:val="center"/>
                </w:tcPr>
                <w:p w:rsidR="00784C95" w:rsidRPr="00F31EC3" w:rsidRDefault="00784C95" w:rsidP="003E1B94">
                  <w:pPr>
                    <w:rPr>
                      <w:color w:val="1F497D"/>
                      <w:sz w:val="20"/>
                    </w:rPr>
                  </w:pPr>
                  <w:r w:rsidRPr="00F31EC3">
                    <w:rPr>
                      <w:color w:val="1F497D"/>
                      <w:sz w:val="20"/>
                    </w:rPr>
                    <w:t>Jewish</w:t>
                  </w:r>
                </w:p>
              </w:tc>
              <w:tc>
                <w:tcPr>
                  <w:tcW w:w="1150" w:type="dxa"/>
                  <w:shd w:val="clear" w:color="auto" w:fill="auto"/>
                  <w:noWrap/>
                  <w:vAlign w:val="center"/>
                </w:tcPr>
                <w:p w:rsidR="00784C95" w:rsidRPr="00F31EC3" w:rsidRDefault="00784C95" w:rsidP="003E1B94">
                  <w:pPr>
                    <w:jc w:val="center"/>
                    <w:rPr>
                      <w:color w:val="1F497D"/>
                      <w:sz w:val="20"/>
                    </w:rPr>
                  </w:pPr>
                  <w:r w:rsidRPr="00F31EC3">
                    <w:rPr>
                      <w:color w:val="1F497D"/>
                      <w:sz w:val="20"/>
                    </w:rPr>
                    <w:t>4</w:t>
                  </w:r>
                </w:p>
              </w:tc>
              <w:tc>
                <w:tcPr>
                  <w:tcW w:w="1150" w:type="dxa"/>
                  <w:tcBorders>
                    <w:right w:val="single" w:sz="4" w:space="0" w:color="4F81BD"/>
                  </w:tcBorders>
                  <w:shd w:val="clear" w:color="auto" w:fill="auto"/>
                  <w:noWrap/>
                  <w:vAlign w:val="center"/>
                </w:tcPr>
                <w:p w:rsidR="00784C95" w:rsidRPr="00F31EC3" w:rsidRDefault="00784C95" w:rsidP="00A94FBB">
                  <w:pPr>
                    <w:jc w:val="center"/>
                    <w:rPr>
                      <w:color w:val="1F497D"/>
                      <w:sz w:val="20"/>
                    </w:rPr>
                  </w:pPr>
                  <w:r>
                    <w:rPr>
                      <w:color w:val="1F497D"/>
                      <w:sz w:val="20"/>
                    </w:rPr>
                    <w:t>3</w:t>
                  </w:r>
                  <w:r w:rsidRPr="00F31EC3">
                    <w:rPr>
                      <w:color w:val="1F497D"/>
                      <w:sz w:val="20"/>
                    </w:rPr>
                    <w:t>%</w:t>
                  </w:r>
                </w:p>
              </w:tc>
            </w:tr>
            <w:tr w:rsidR="00784C95" w:rsidRPr="008C3C6D" w:rsidTr="00784C95">
              <w:trPr>
                <w:trHeight w:val="285"/>
              </w:trPr>
              <w:tc>
                <w:tcPr>
                  <w:tcW w:w="1739" w:type="dxa"/>
                  <w:tcBorders>
                    <w:left w:val="single" w:sz="4" w:space="0" w:color="4F81BD"/>
                  </w:tcBorders>
                  <w:shd w:val="clear" w:color="auto" w:fill="auto"/>
                  <w:vAlign w:val="center"/>
                </w:tcPr>
                <w:p w:rsidR="00784C95" w:rsidRPr="00F31EC3" w:rsidRDefault="00784C95" w:rsidP="003E1B94">
                  <w:pPr>
                    <w:rPr>
                      <w:color w:val="1F497D"/>
                      <w:sz w:val="20"/>
                    </w:rPr>
                  </w:pPr>
                  <w:r w:rsidRPr="00F31EC3">
                    <w:rPr>
                      <w:color w:val="1F497D"/>
                      <w:sz w:val="20"/>
                    </w:rPr>
                    <w:t>Muslim</w:t>
                  </w:r>
                </w:p>
              </w:tc>
              <w:tc>
                <w:tcPr>
                  <w:tcW w:w="1150" w:type="dxa"/>
                  <w:shd w:val="clear" w:color="auto" w:fill="auto"/>
                  <w:noWrap/>
                  <w:vAlign w:val="center"/>
                </w:tcPr>
                <w:p w:rsidR="00784C95" w:rsidRPr="00F31EC3" w:rsidRDefault="00784C95" w:rsidP="003E1B94">
                  <w:pPr>
                    <w:jc w:val="center"/>
                    <w:rPr>
                      <w:color w:val="1F497D"/>
                      <w:sz w:val="20"/>
                    </w:rPr>
                  </w:pPr>
                  <w:r w:rsidRPr="00F31EC3">
                    <w:rPr>
                      <w:color w:val="1F497D"/>
                      <w:sz w:val="20"/>
                    </w:rPr>
                    <w:t>3</w:t>
                  </w:r>
                </w:p>
              </w:tc>
              <w:tc>
                <w:tcPr>
                  <w:tcW w:w="1150" w:type="dxa"/>
                  <w:tcBorders>
                    <w:right w:val="single" w:sz="4" w:space="0" w:color="4F81BD"/>
                  </w:tcBorders>
                  <w:shd w:val="clear" w:color="auto" w:fill="auto"/>
                  <w:noWrap/>
                  <w:vAlign w:val="center"/>
                </w:tcPr>
                <w:p w:rsidR="00784C95" w:rsidRPr="00F31EC3" w:rsidRDefault="00784C95" w:rsidP="00A94FBB">
                  <w:pPr>
                    <w:jc w:val="center"/>
                    <w:rPr>
                      <w:color w:val="1F497D"/>
                      <w:sz w:val="20"/>
                    </w:rPr>
                  </w:pPr>
                  <w:r w:rsidRPr="00F31EC3">
                    <w:rPr>
                      <w:color w:val="1F497D"/>
                      <w:sz w:val="20"/>
                    </w:rPr>
                    <w:t>2%</w:t>
                  </w:r>
                </w:p>
              </w:tc>
            </w:tr>
            <w:tr w:rsidR="00784C95" w:rsidRPr="008C3C6D" w:rsidTr="00784C95">
              <w:trPr>
                <w:trHeight w:val="285"/>
              </w:trPr>
              <w:tc>
                <w:tcPr>
                  <w:tcW w:w="1739" w:type="dxa"/>
                  <w:tcBorders>
                    <w:left w:val="single" w:sz="4" w:space="0" w:color="4F81BD"/>
                  </w:tcBorders>
                  <w:shd w:val="clear" w:color="auto" w:fill="auto"/>
                  <w:vAlign w:val="center"/>
                </w:tcPr>
                <w:p w:rsidR="00784C95" w:rsidRPr="00F31EC3" w:rsidRDefault="00784C95" w:rsidP="003E1B94">
                  <w:pPr>
                    <w:rPr>
                      <w:color w:val="1F497D"/>
                      <w:sz w:val="20"/>
                    </w:rPr>
                  </w:pPr>
                  <w:r w:rsidRPr="00F31EC3">
                    <w:rPr>
                      <w:color w:val="1F497D"/>
                      <w:sz w:val="20"/>
                    </w:rPr>
                    <w:t>Protestant</w:t>
                  </w:r>
                </w:p>
              </w:tc>
              <w:tc>
                <w:tcPr>
                  <w:tcW w:w="1150" w:type="dxa"/>
                  <w:shd w:val="clear" w:color="auto" w:fill="auto"/>
                  <w:noWrap/>
                  <w:vAlign w:val="center"/>
                </w:tcPr>
                <w:p w:rsidR="00784C95" w:rsidRPr="00F31EC3" w:rsidRDefault="00784C95" w:rsidP="003E1B94">
                  <w:pPr>
                    <w:jc w:val="center"/>
                    <w:rPr>
                      <w:color w:val="1F497D"/>
                      <w:sz w:val="20"/>
                    </w:rPr>
                  </w:pPr>
                  <w:r w:rsidRPr="00F31EC3">
                    <w:rPr>
                      <w:color w:val="1F497D"/>
                      <w:sz w:val="20"/>
                    </w:rPr>
                    <w:t>64</w:t>
                  </w:r>
                </w:p>
              </w:tc>
              <w:tc>
                <w:tcPr>
                  <w:tcW w:w="1150" w:type="dxa"/>
                  <w:tcBorders>
                    <w:right w:val="single" w:sz="4" w:space="0" w:color="4F81BD"/>
                  </w:tcBorders>
                  <w:shd w:val="clear" w:color="auto" w:fill="auto"/>
                  <w:noWrap/>
                  <w:vAlign w:val="center"/>
                </w:tcPr>
                <w:p w:rsidR="00784C95" w:rsidRPr="00F31EC3" w:rsidRDefault="00784C95" w:rsidP="00A94FBB">
                  <w:pPr>
                    <w:jc w:val="center"/>
                    <w:rPr>
                      <w:color w:val="1F497D"/>
                      <w:sz w:val="20"/>
                    </w:rPr>
                  </w:pPr>
                  <w:r w:rsidRPr="00F31EC3">
                    <w:rPr>
                      <w:color w:val="1F497D"/>
                      <w:sz w:val="20"/>
                    </w:rPr>
                    <w:t>44%</w:t>
                  </w:r>
                </w:p>
              </w:tc>
            </w:tr>
            <w:tr w:rsidR="00784C95" w:rsidRPr="008C3C6D" w:rsidTr="00784C95">
              <w:trPr>
                <w:trHeight w:val="285"/>
              </w:trPr>
              <w:tc>
                <w:tcPr>
                  <w:tcW w:w="1739" w:type="dxa"/>
                  <w:tcBorders>
                    <w:left w:val="single" w:sz="4" w:space="0" w:color="4F81BD"/>
                  </w:tcBorders>
                  <w:shd w:val="clear" w:color="auto" w:fill="auto"/>
                  <w:vAlign w:val="center"/>
                </w:tcPr>
                <w:p w:rsidR="00784C95" w:rsidRPr="00F31EC3" w:rsidRDefault="00784C95" w:rsidP="003E1B94">
                  <w:pPr>
                    <w:rPr>
                      <w:color w:val="1F497D"/>
                      <w:sz w:val="20"/>
                    </w:rPr>
                  </w:pPr>
                  <w:r w:rsidRPr="00F31EC3">
                    <w:rPr>
                      <w:color w:val="1F497D"/>
                      <w:sz w:val="20"/>
                    </w:rPr>
                    <w:t>Other</w:t>
                  </w:r>
                </w:p>
              </w:tc>
              <w:tc>
                <w:tcPr>
                  <w:tcW w:w="1150" w:type="dxa"/>
                  <w:shd w:val="clear" w:color="auto" w:fill="auto"/>
                  <w:noWrap/>
                  <w:vAlign w:val="center"/>
                </w:tcPr>
                <w:p w:rsidR="00784C95" w:rsidRPr="00F31EC3" w:rsidRDefault="00784C95" w:rsidP="003E1B94">
                  <w:pPr>
                    <w:jc w:val="center"/>
                    <w:rPr>
                      <w:color w:val="1F497D"/>
                      <w:sz w:val="20"/>
                    </w:rPr>
                  </w:pPr>
                  <w:r>
                    <w:rPr>
                      <w:color w:val="1F497D"/>
                      <w:sz w:val="20"/>
                    </w:rPr>
                    <w:t>20</w:t>
                  </w:r>
                </w:p>
              </w:tc>
              <w:tc>
                <w:tcPr>
                  <w:tcW w:w="1150" w:type="dxa"/>
                  <w:tcBorders>
                    <w:right w:val="single" w:sz="4" w:space="0" w:color="4F81BD"/>
                  </w:tcBorders>
                  <w:shd w:val="clear" w:color="auto" w:fill="auto"/>
                  <w:noWrap/>
                  <w:vAlign w:val="center"/>
                </w:tcPr>
                <w:p w:rsidR="00784C95" w:rsidRPr="00F31EC3" w:rsidRDefault="00784C95" w:rsidP="00784C95">
                  <w:pPr>
                    <w:jc w:val="center"/>
                    <w:rPr>
                      <w:color w:val="1F497D"/>
                      <w:sz w:val="20"/>
                    </w:rPr>
                  </w:pPr>
                  <w:r>
                    <w:rPr>
                      <w:color w:val="1F497D"/>
                      <w:sz w:val="20"/>
                    </w:rPr>
                    <w:t>14</w:t>
                  </w:r>
                  <w:r w:rsidRPr="00F31EC3">
                    <w:rPr>
                      <w:color w:val="1F497D"/>
                      <w:sz w:val="20"/>
                    </w:rPr>
                    <w:t>%</w:t>
                  </w:r>
                </w:p>
              </w:tc>
            </w:tr>
            <w:tr w:rsidR="00784C95" w:rsidRPr="008C3C6D" w:rsidTr="00784C95">
              <w:trPr>
                <w:trHeight w:val="285"/>
              </w:trPr>
              <w:tc>
                <w:tcPr>
                  <w:tcW w:w="1739" w:type="dxa"/>
                  <w:tcBorders>
                    <w:left w:val="single" w:sz="4" w:space="0" w:color="4F81BD"/>
                  </w:tcBorders>
                  <w:shd w:val="clear" w:color="auto" w:fill="auto"/>
                  <w:vAlign w:val="center"/>
                </w:tcPr>
                <w:p w:rsidR="00784C95" w:rsidRPr="00F31EC3" w:rsidRDefault="00784C95" w:rsidP="003E1B94">
                  <w:pPr>
                    <w:rPr>
                      <w:color w:val="1F497D"/>
                      <w:sz w:val="20"/>
                    </w:rPr>
                  </w:pPr>
                  <w:r w:rsidRPr="00F31EC3">
                    <w:rPr>
                      <w:color w:val="1F497D"/>
                      <w:sz w:val="20"/>
                    </w:rPr>
                    <w:t>No religion</w:t>
                  </w:r>
                </w:p>
              </w:tc>
              <w:tc>
                <w:tcPr>
                  <w:tcW w:w="1150" w:type="dxa"/>
                  <w:shd w:val="clear" w:color="auto" w:fill="auto"/>
                  <w:noWrap/>
                  <w:vAlign w:val="center"/>
                </w:tcPr>
                <w:p w:rsidR="00784C95" w:rsidRPr="00F31EC3" w:rsidRDefault="00784C95" w:rsidP="00A94FBB">
                  <w:pPr>
                    <w:jc w:val="center"/>
                    <w:rPr>
                      <w:color w:val="1F497D"/>
                      <w:sz w:val="20"/>
                    </w:rPr>
                  </w:pPr>
                  <w:r w:rsidRPr="00F31EC3">
                    <w:rPr>
                      <w:color w:val="1F497D"/>
                      <w:sz w:val="20"/>
                    </w:rPr>
                    <w:t>1</w:t>
                  </w:r>
                  <w:r>
                    <w:rPr>
                      <w:color w:val="1F497D"/>
                      <w:sz w:val="20"/>
                    </w:rPr>
                    <w:t>4</w:t>
                  </w:r>
                </w:p>
              </w:tc>
              <w:tc>
                <w:tcPr>
                  <w:tcW w:w="1150" w:type="dxa"/>
                  <w:tcBorders>
                    <w:right w:val="single" w:sz="4" w:space="0" w:color="4F81BD"/>
                  </w:tcBorders>
                  <w:shd w:val="clear" w:color="auto" w:fill="auto"/>
                  <w:noWrap/>
                  <w:vAlign w:val="center"/>
                </w:tcPr>
                <w:p w:rsidR="00784C95" w:rsidRPr="00F31EC3" w:rsidRDefault="00784C95" w:rsidP="00A94FBB">
                  <w:pPr>
                    <w:jc w:val="center"/>
                    <w:rPr>
                      <w:color w:val="1F497D"/>
                      <w:sz w:val="20"/>
                    </w:rPr>
                  </w:pPr>
                  <w:r w:rsidRPr="00F31EC3">
                    <w:rPr>
                      <w:color w:val="1F497D"/>
                      <w:sz w:val="20"/>
                    </w:rPr>
                    <w:t>10%</w:t>
                  </w:r>
                </w:p>
              </w:tc>
            </w:tr>
            <w:tr w:rsidR="00784C95" w:rsidRPr="008C3C6D" w:rsidTr="00784C95">
              <w:trPr>
                <w:trHeight w:val="285"/>
              </w:trPr>
              <w:tc>
                <w:tcPr>
                  <w:tcW w:w="1739" w:type="dxa"/>
                  <w:tcBorders>
                    <w:left w:val="single" w:sz="4" w:space="0" w:color="4F81BD"/>
                    <w:bottom w:val="single" w:sz="4" w:space="0" w:color="4F81BD" w:themeColor="accent1"/>
                  </w:tcBorders>
                  <w:shd w:val="clear" w:color="auto" w:fill="C6D9F1" w:themeFill="text2" w:themeFillTint="33"/>
                  <w:vAlign w:val="center"/>
                </w:tcPr>
                <w:p w:rsidR="00784C95" w:rsidRPr="00F31EC3" w:rsidRDefault="00784C95" w:rsidP="003E1B94">
                  <w:pPr>
                    <w:rPr>
                      <w:color w:val="1F497D"/>
                      <w:sz w:val="20"/>
                    </w:rPr>
                  </w:pPr>
                  <w:r w:rsidRPr="009762E0">
                    <w:rPr>
                      <w:b/>
                      <w:color w:val="1F497D"/>
                      <w:sz w:val="20"/>
                    </w:rPr>
                    <w:t>Total Identified</w:t>
                  </w:r>
                </w:p>
              </w:tc>
              <w:tc>
                <w:tcPr>
                  <w:tcW w:w="1150" w:type="dxa"/>
                  <w:tcBorders>
                    <w:bottom w:val="single" w:sz="4" w:space="0" w:color="4F81BD" w:themeColor="accent1"/>
                  </w:tcBorders>
                  <w:shd w:val="clear" w:color="auto" w:fill="C6D9F1" w:themeFill="text2" w:themeFillTint="33"/>
                  <w:noWrap/>
                  <w:vAlign w:val="center"/>
                </w:tcPr>
                <w:p w:rsidR="00784C95" w:rsidRPr="00F31EC3" w:rsidRDefault="00784C95" w:rsidP="00784C95">
                  <w:pPr>
                    <w:jc w:val="center"/>
                    <w:rPr>
                      <w:color w:val="1F497D"/>
                      <w:sz w:val="20"/>
                    </w:rPr>
                  </w:pPr>
                  <w:r w:rsidRPr="00F31EC3">
                    <w:rPr>
                      <w:b/>
                      <w:color w:val="1F497D"/>
                      <w:sz w:val="20"/>
                    </w:rPr>
                    <w:t>144</w:t>
                  </w:r>
                </w:p>
              </w:tc>
              <w:tc>
                <w:tcPr>
                  <w:tcW w:w="1150" w:type="dxa"/>
                  <w:tcBorders>
                    <w:bottom w:val="single" w:sz="4" w:space="0" w:color="4F81BD" w:themeColor="accent1"/>
                    <w:right w:val="single" w:sz="4" w:space="0" w:color="4F81BD"/>
                  </w:tcBorders>
                  <w:shd w:val="clear" w:color="auto" w:fill="C6D9F1" w:themeFill="text2" w:themeFillTint="33"/>
                  <w:noWrap/>
                  <w:vAlign w:val="center"/>
                </w:tcPr>
                <w:p w:rsidR="00784C95" w:rsidRPr="00F31EC3" w:rsidRDefault="00784C95" w:rsidP="00A94FBB">
                  <w:pPr>
                    <w:jc w:val="center"/>
                    <w:rPr>
                      <w:color w:val="1F497D"/>
                      <w:sz w:val="20"/>
                    </w:rPr>
                  </w:pPr>
                  <w:r w:rsidRPr="00F31EC3">
                    <w:rPr>
                      <w:b/>
                      <w:color w:val="1F497D"/>
                      <w:sz w:val="20"/>
                    </w:rPr>
                    <w:t>100%</w:t>
                  </w:r>
                </w:p>
              </w:tc>
            </w:tr>
            <w:tr w:rsidR="00784C95" w:rsidRPr="008C3C6D" w:rsidTr="00784C95">
              <w:trPr>
                <w:trHeight w:val="285"/>
              </w:trPr>
              <w:tc>
                <w:tcPr>
                  <w:tcW w:w="1739" w:type="dxa"/>
                  <w:tcBorders>
                    <w:top w:val="single" w:sz="4" w:space="0" w:color="4F81BD" w:themeColor="accent1"/>
                    <w:left w:val="single" w:sz="4" w:space="0" w:color="4F81BD"/>
                    <w:bottom w:val="single" w:sz="4" w:space="0" w:color="4F81BD"/>
                  </w:tcBorders>
                  <w:shd w:val="clear" w:color="auto" w:fill="auto"/>
                  <w:vAlign w:val="center"/>
                </w:tcPr>
                <w:p w:rsidR="00784C95" w:rsidRPr="009762E0" w:rsidRDefault="00784C95" w:rsidP="003E1B94">
                  <w:pPr>
                    <w:rPr>
                      <w:b/>
                      <w:color w:val="1F497D"/>
                      <w:sz w:val="20"/>
                    </w:rPr>
                  </w:pPr>
                  <w:r w:rsidRPr="000F1507">
                    <w:rPr>
                      <w:i/>
                      <w:color w:val="1F497D"/>
                      <w:sz w:val="20"/>
                    </w:rPr>
                    <w:t>No Data Available</w:t>
                  </w:r>
                </w:p>
              </w:tc>
              <w:tc>
                <w:tcPr>
                  <w:tcW w:w="1150" w:type="dxa"/>
                  <w:tcBorders>
                    <w:top w:val="single" w:sz="4" w:space="0" w:color="4F81BD" w:themeColor="accent1"/>
                    <w:bottom w:val="single" w:sz="4" w:space="0" w:color="4F81BD"/>
                  </w:tcBorders>
                  <w:shd w:val="clear" w:color="auto" w:fill="auto"/>
                  <w:noWrap/>
                  <w:vAlign w:val="center"/>
                </w:tcPr>
                <w:p w:rsidR="00784C95" w:rsidRPr="00F31EC3" w:rsidRDefault="00784C95" w:rsidP="003E1B94">
                  <w:pPr>
                    <w:jc w:val="center"/>
                    <w:rPr>
                      <w:b/>
                      <w:color w:val="1F497D"/>
                      <w:sz w:val="20"/>
                    </w:rPr>
                  </w:pPr>
                  <w:r w:rsidRPr="00F31EC3">
                    <w:rPr>
                      <w:color w:val="1F497D"/>
                      <w:sz w:val="20"/>
                    </w:rPr>
                    <w:t>13</w:t>
                  </w:r>
                  <w:r>
                    <w:rPr>
                      <w:color w:val="1F497D"/>
                      <w:sz w:val="20"/>
                    </w:rPr>
                    <w:t>4</w:t>
                  </w:r>
                </w:p>
              </w:tc>
              <w:tc>
                <w:tcPr>
                  <w:tcW w:w="1150" w:type="dxa"/>
                  <w:tcBorders>
                    <w:top w:val="single" w:sz="4" w:space="0" w:color="4F81BD" w:themeColor="accent1"/>
                    <w:bottom w:val="single" w:sz="4" w:space="0" w:color="4F81BD"/>
                    <w:right w:val="single" w:sz="4" w:space="0" w:color="4F81BD"/>
                  </w:tcBorders>
                  <w:shd w:val="clear" w:color="auto" w:fill="auto"/>
                  <w:noWrap/>
                  <w:vAlign w:val="center"/>
                </w:tcPr>
                <w:p w:rsidR="00784C95" w:rsidRPr="00F31EC3" w:rsidRDefault="00784C95" w:rsidP="00A94FBB">
                  <w:pPr>
                    <w:jc w:val="center"/>
                    <w:rPr>
                      <w:b/>
                      <w:color w:val="1F497D"/>
                      <w:sz w:val="20"/>
                    </w:rPr>
                  </w:pPr>
                </w:p>
              </w:tc>
            </w:tr>
          </w:tbl>
          <w:p w:rsidR="00FF377D" w:rsidRPr="000F1507" w:rsidRDefault="00FF377D" w:rsidP="003E1B94"/>
        </w:tc>
        <w:tc>
          <w:tcPr>
            <w:tcW w:w="5508" w:type="dxa"/>
          </w:tcPr>
          <w:p w:rsidR="00FF377D" w:rsidRDefault="00FF377D" w:rsidP="003E1B94">
            <w:pPr>
              <w:pStyle w:val="BodyText"/>
              <w:spacing w:before="120"/>
              <w:ind w:left="900" w:hanging="900"/>
              <w:rPr>
                <w:rStyle w:val="FigureChar"/>
              </w:rPr>
            </w:pPr>
            <w:bookmarkStart w:id="142" w:name="_Toc316898034"/>
            <w:bookmarkStart w:id="143" w:name="_Toc416357964"/>
            <w:r w:rsidRPr="00650386">
              <w:rPr>
                <w:rStyle w:val="FigureChar"/>
              </w:rPr>
              <w:t xml:space="preserve">Table </w:t>
            </w:r>
            <w:r w:rsidRPr="00650386">
              <w:rPr>
                <w:rStyle w:val="FigureChar"/>
              </w:rPr>
              <w:fldChar w:fldCharType="begin"/>
            </w:r>
            <w:r w:rsidRPr="00650386">
              <w:rPr>
                <w:rStyle w:val="FigureChar"/>
              </w:rPr>
              <w:instrText xml:space="preserve"> SEQ Table \* ARABIC </w:instrText>
            </w:r>
            <w:r w:rsidRPr="00650386">
              <w:rPr>
                <w:rStyle w:val="FigureChar"/>
              </w:rPr>
              <w:fldChar w:fldCharType="separate"/>
            </w:r>
            <w:r w:rsidR="007E3DB6">
              <w:rPr>
                <w:rStyle w:val="FigureChar"/>
                <w:noProof/>
              </w:rPr>
              <w:t>11</w:t>
            </w:r>
            <w:r w:rsidRPr="00650386">
              <w:rPr>
                <w:rStyle w:val="FigureChar"/>
              </w:rPr>
              <w:fldChar w:fldCharType="end"/>
            </w:r>
            <w:r w:rsidRPr="00650386">
              <w:rPr>
                <w:rStyle w:val="FigureChar"/>
              </w:rPr>
              <w:t xml:space="preserve">. </w:t>
            </w:r>
            <w:r>
              <w:rPr>
                <w:rStyle w:val="FigureChar"/>
              </w:rPr>
              <w:t>Education</w:t>
            </w:r>
            <w:r w:rsidRPr="00650386">
              <w:rPr>
                <w:rStyle w:val="FigureChar"/>
              </w:rPr>
              <w:t xml:space="preserve"> (</w:t>
            </w:r>
            <w:r>
              <w:rPr>
                <w:rStyle w:val="FigureChar"/>
              </w:rPr>
              <w:t>09/30/14</w:t>
            </w:r>
            <w:r w:rsidRPr="00650386">
              <w:rPr>
                <w:rStyle w:val="FigureChar"/>
              </w:rPr>
              <w:t>)</w:t>
            </w:r>
            <w:bookmarkEnd w:id="142"/>
            <w:bookmarkEnd w:id="143"/>
          </w:p>
          <w:tbl>
            <w:tblPr>
              <w:tblW w:w="5107" w:type="dxa"/>
              <w:tblCellMar>
                <w:left w:w="29" w:type="dxa"/>
                <w:right w:w="29" w:type="dxa"/>
              </w:tblCellMar>
              <w:tblLook w:val="0000" w:firstRow="0" w:lastRow="0" w:firstColumn="0" w:lastColumn="0" w:noHBand="0" w:noVBand="0"/>
            </w:tblPr>
            <w:tblGrid>
              <w:gridCol w:w="3108"/>
              <w:gridCol w:w="739"/>
              <w:gridCol w:w="1260"/>
            </w:tblGrid>
            <w:tr w:rsidR="00FF377D" w:rsidRPr="00F7115E" w:rsidTr="003E1B94">
              <w:trPr>
                <w:trHeight w:val="285"/>
              </w:trPr>
              <w:tc>
                <w:tcPr>
                  <w:tcW w:w="3108" w:type="dxa"/>
                  <w:tcBorders>
                    <w:top w:val="single" w:sz="4" w:space="0" w:color="4F81BD"/>
                    <w:left w:val="single" w:sz="4" w:space="0" w:color="4F81BD"/>
                    <w:bottom w:val="single" w:sz="4" w:space="0" w:color="4F81BD"/>
                  </w:tcBorders>
                  <w:shd w:val="clear" w:color="auto" w:fill="C6D9F1"/>
                  <w:vAlign w:val="center"/>
                </w:tcPr>
                <w:p w:rsidR="00FF377D" w:rsidRPr="004C6A92" w:rsidRDefault="00FF377D" w:rsidP="003E1B94">
                  <w:pPr>
                    <w:rPr>
                      <w:b/>
                      <w:color w:val="1F497D"/>
                      <w:sz w:val="20"/>
                    </w:rPr>
                  </w:pPr>
                  <w:r>
                    <w:rPr>
                      <w:b/>
                      <w:color w:val="1F497D"/>
                      <w:sz w:val="20"/>
                    </w:rPr>
                    <w:t>Education Level</w:t>
                  </w:r>
                </w:p>
              </w:tc>
              <w:tc>
                <w:tcPr>
                  <w:tcW w:w="739" w:type="dxa"/>
                  <w:tcBorders>
                    <w:top w:val="single" w:sz="4" w:space="0" w:color="4F81BD"/>
                    <w:bottom w:val="single" w:sz="4" w:space="0" w:color="4F81BD"/>
                  </w:tcBorders>
                  <w:shd w:val="clear" w:color="auto" w:fill="C6D9F1"/>
                  <w:vAlign w:val="center"/>
                </w:tcPr>
                <w:p w:rsidR="00FF377D" w:rsidRPr="004C6A92" w:rsidRDefault="00FF377D" w:rsidP="003E1B94">
                  <w:pPr>
                    <w:jc w:val="center"/>
                    <w:rPr>
                      <w:b/>
                      <w:color w:val="1F497D"/>
                      <w:sz w:val="20"/>
                    </w:rPr>
                  </w:pPr>
                  <w:r>
                    <w:rPr>
                      <w:b/>
                      <w:color w:val="1F497D"/>
                      <w:sz w:val="20"/>
                    </w:rPr>
                    <w:t>Number</w:t>
                  </w:r>
                </w:p>
              </w:tc>
              <w:tc>
                <w:tcPr>
                  <w:tcW w:w="1260" w:type="dxa"/>
                  <w:tcBorders>
                    <w:top w:val="single" w:sz="4" w:space="0" w:color="4F81BD"/>
                    <w:bottom w:val="single" w:sz="4" w:space="0" w:color="4F81BD"/>
                    <w:right w:val="single" w:sz="4" w:space="0" w:color="4F81BD"/>
                  </w:tcBorders>
                  <w:shd w:val="clear" w:color="auto" w:fill="C6D9F1"/>
                  <w:vAlign w:val="center"/>
                </w:tcPr>
                <w:p w:rsidR="00FF377D" w:rsidRPr="004C6A92" w:rsidRDefault="00FF377D" w:rsidP="003E1B94">
                  <w:pPr>
                    <w:jc w:val="center"/>
                    <w:rPr>
                      <w:b/>
                      <w:color w:val="1F497D"/>
                      <w:sz w:val="20"/>
                    </w:rPr>
                  </w:pPr>
                  <w:r>
                    <w:rPr>
                      <w:b/>
                      <w:color w:val="1F497D"/>
                      <w:sz w:val="20"/>
                    </w:rPr>
                    <w:t>Percent</w:t>
                  </w:r>
                </w:p>
              </w:tc>
            </w:tr>
            <w:tr w:rsidR="00FF377D" w:rsidRPr="008C3C6D" w:rsidTr="003E1B94">
              <w:trPr>
                <w:trHeight w:val="285"/>
              </w:trPr>
              <w:tc>
                <w:tcPr>
                  <w:tcW w:w="3108" w:type="dxa"/>
                  <w:tcBorders>
                    <w:top w:val="single" w:sz="4" w:space="0" w:color="4F81BD"/>
                    <w:left w:val="single" w:sz="4" w:space="0" w:color="4F81BD"/>
                  </w:tcBorders>
                  <w:shd w:val="clear" w:color="auto" w:fill="auto"/>
                  <w:vAlign w:val="center"/>
                </w:tcPr>
                <w:p w:rsidR="00FF377D" w:rsidRPr="000F1507" w:rsidRDefault="00FF377D" w:rsidP="003E1B94">
                  <w:pPr>
                    <w:rPr>
                      <w:color w:val="1F497D"/>
                      <w:sz w:val="20"/>
                    </w:rPr>
                  </w:pPr>
                  <w:r w:rsidRPr="000F1507">
                    <w:rPr>
                      <w:color w:val="1F497D"/>
                      <w:sz w:val="20"/>
                    </w:rPr>
                    <w:t>None</w:t>
                  </w:r>
                </w:p>
              </w:tc>
              <w:tc>
                <w:tcPr>
                  <w:tcW w:w="739" w:type="dxa"/>
                  <w:tcBorders>
                    <w:top w:val="single" w:sz="4" w:space="0" w:color="4F81BD"/>
                  </w:tcBorders>
                  <w:shd w:val="clear" w:color="auto" w:fill="auto"/>
                  <w:noWrap/>
                  <w:vAlign w:val="center"/>
                </w:tcPr>
                <w:p w:rsidR="00FF377D" w:rsidRPr="001B0224" w:rsidRDefault="00FF377D" w:rsidP="003E1B94">
                  <w:pPr>
                    <w:jc w:val="center"/>
                    <w:rPr>
                      <w:rFonts w:cs="Arial"/>
                      <w:color w:val="1F497D" w:themeColor="text2"/>
                      <w:sz w:val="20"/>
                    </w:rPr>
                  </w:pPr>
                  <w:r w:rsidRPr="001B0224">
                    <w:rPr>
                      <w:rFonts w:cs="Arial"/>
                      <w:color w:val="1F497D" w:themeColor="text2"/>
                      <w:sz w:val="20"/>
                    </w:rPr>
                    <w:t>2</w:t>
                  </w:r>
                </w:p>
              </w:tc>
              <w:tc>
                <w:tcPr>
                  <w:tcW w:w="1260" w:type="dxa"/>
                  <w:tcBorders>
                    <w:top w:val="single" w:sz="4" w:space="0" w:color="4F81BD"/>
                    <w:right w:val="single" w:sz="4" w:space="0" w:color="4F81BD"/>
                  </w:tcBorders>
                  <w:shd w:val="clear" w:color="auto" w:fill="auto"/>
                  <w:noWrap/>
                  <w:vAlign w:val="center"/>
                </w:tcPr>
                <w:p w:rsidR="00FF377D" w:rsidRPr="001B0224" w:rsidRDefault="00FF377D" w:rsidP="003E1B94">
                  <w:pPr>
                    <w:jc w:val="center"/>
                    <w:rPr>
                      <w:rFonts w:cs="Arial"/>
                      <w:color w:val="1F497D" w:themeColor="text2"/>
                      <w:sz w:val="20"/>
                    </w:rPr>
                  </w:pPr>
                  <w:r w:rsidRPr="001B0224">
                    <w:rPr>
                      <w:rFonts w:cs="Arial"/>
                      <w:color w:val="1F497D" w:themeColor="text2"/>
                      <w:sz w:val="20"/>
                    </w:rPr>
                    <w:t>1.5%</w:t>
                  </w:r>
                </w:p>
              </w:tc>
            </w:tr>
            <w:tr w:rsidR="00FF377D" w:rsidRPr="008C3C6D" w:rsidTr="003E1B94">
              <w:trPr>
                <w:trHeight w:val="285"/>
              </w:trPr>
              <w:tc>
                <w:tcPr>
                  <w:tcW w:w="3108" w:type="dxa"/>
                  <w:tcBorders>
                    <w:left w:val="single" w:sz="4" w:space="0" w:color="4F81BD"/>
                  </w:tcBorders>
                  <w:shd w:val="clear" w:color="auto" w:fill="auto"/>
                  <w:vAlign w:val="center"/>
                </w:tcPr>
                <w:p w:rsidR="00FF377D" w:rsidRPr="000F1507" w:rsidRDefault="00FF377D" w:rsidP="003E1B94">
                  <w:pPr>
                    <w:rPr>
                      <w:color w:val="1F497D"/>
                      <w:sz w:val="20"/>
                    </w:rPr>
                  </w:pPr>
                  <w:r w:rsidRPr="000F1507">
                    <w:rPr>
                      <w:color w:val="1F497D"/>
                      <w:sz w:val="20"/>
                    </w:rPr>
                    <w:t>01-03 Years</w:t>
                  </w:r>
                </w:p>
              </w:tc>
              <w:tc>
                <w:tcPr>
                  <w:tcW w:w="739" w:type="dxa"/>
                  <w:shd w:val="clear" w:color="auto" w:fill="auto"/>
                  <w:noWrap/>
                  <w:vAlign w:val="center"/>
                </w:tcPr>
                <w:p w:rsidR="00FF377D" w:rsidRPr="001B0224" w:rsidRDefault="00FF377D" w:rsidP="003E1B94">
                  <w:pPr>
                    <w:jc w:val="center"/>
                    <w:rPr>
                      <w:rFonts w:cs="Arial"/>
                      <w:color w:val="1F497D" w:themeColor="text2"/>
                      <w:sz w:val="20"/>
                    </w:rPr>
                  </w:pPr>
                  <w:r w:rsidRPr="001B0224">
                    <w:rPr>
                      <w:rFonts w:cs="Arial"/>
                      <w:color w:val="1F497D" w:themeColor="text2"/>
                      <w:sz w:val="20"/>
                    </w:rPr>
                    <w:t>1</w:t>
                  </w:r>
                </w:p>
              </w:tc>
              <w:tc>
                <w:tcPr>
                  <w:tcW w:w="1260" w:type="dxa"/>
                  <w:tcBorders>
                    <w:right w:val="single" w:sz="4" w:space="0" w:color="4F81BD"/>
                  </w:tcBorders>
                  <w:shd w:val="clear" w:color="auto" w:fill="auto"/>
                  <w:noWrap/>
                  <w:vAlign w:val="center"/>
                </w:tcPr>
                <w:p w:rsidR="00FF377D" w:rsidRPr="001B0224" w:rsidRDefault="00FF377D" w:rsidP="003E1B94">
                  <w:pPr>
                    <w:jc w:val="center"/>
                    <w:rPr>
                      <w:rFonts w:cs="Arial"/>
                      <w:color w:val="1F497D" w:themeColor="text2"/>
                      <w:sz w:val="20"/>
                    </w:rPr>
                  </w:pPr>
                  <w:r w:rsidRPr="001B0224">
                    <w:rPr>
                      <w:rFonts w:cs="Arial"/>
                      <w:color w:val="1F497D" w:themeColor="text2"/>
                      <w:sz w:val="20"/>
                    </w:rPr>
                    <w:t>0.7%</w:t>
                  </w:r>
                </w:p>
              </w:tc>
            </w:tr>
            <w:tr w:rsidR="00FF377D" w:rsidRPr="008C3C6D" w:rsidTr="003E1B94">
              <w:trPr>
                <w:trHeight w:val="285"/>
              </w:trPr>
              <w:tc>
                <w:tcPr>
                  <w:tcW w:w="3108" w:type="dxa"/>
                  <w:tcBorders>
                    <w:left w:val="single" w:sz="4" w:space="0" w:color="4F81BD"/>
                  </w:tcBorders>
                  <w:shd w:val="clear" w:color="auto" w:fill="auto"/>
                  <w:vAlign w:val="center"/>
                </w:tcPr>
                <w:p w:rsidR="00FF377D" w:rsidRPr="000F1507" w:rsidRDefault="00FF377D" w:rsidP="003E1B94">
                  <w:pPr>
                    <w:rPr>
                      <w:color w:val="1F497D"/>
                      <w:sz w:val="20"/>
                    </w:rPr>
                  </w:pPr>
                  <w:r w:rsidRPr="000F1507">
                    <w:rPr>
                      <w:color w:val="1F497D"/>
                      <w:sz w:val="20"/>
                    </w:rPr>
                    <w:t>04-06 Years</w:t>
                  </w:r>
                </w:p>
              </w:tc>
              <w:tc>
                <w:tcPr>
                  <w:tcW w:w="739" w:type="dxa"/>
                  <w:shd w:val="clear" w:color="auto" w:fill="auto"/>
                  <w:noWrap/>
                  <w:vAlign w:val="center"/>
                </w:tcPr>
                <w:p w:rsidR="00FF377D" w:rsidRPr="001B0224" w:rsidRDefault="00FF377D" w:rsidP="003E1B94">
                  <w:pPr>
                    <w:jc w:val="center"/>
                    <w:rPr>
                      <w:rFonts w:cs="Arial"/>
                      <w:color w:val="1F497D" w:themeColor="text2"/>
                      <w:sz w:val="20"/>
                    </w:rPr>
                  </w:pPr>
                  <w:r w:rsidRPr="001B0224">
                    <w:rPr>
                      <w:rFonts w:cs="Arial"/>
                      <w:color w:val="1F497D" w:themeColor="text2"/>
                      <w:sz w:val="20"/>
                    </w:rPr>
                    <w:t>9</w:t>
                  </w:r>
                </w:p>
              </w:tc>
              <w:tc>
                <w:tcPr>
                  <w:tcW w:w="1260" w:type="dxa"/>
                  <w:tcBorders>
                    <w:right w:val="single" w:sz="4" w:space="0" w:color="4F81BD"/>
                  </w:tcBorders>
                  <w:shd w:val="clear" w:color="auto" w:fill="auto"/>
                  <w:noWrap/>
                  <w:vAlign w:val="center"/>
                </w:tcPr>
                <w:p w:rsidR="00FF377D" w:rsidRPr="001B0224" w:rsidRDefault="00215561" w:rsidP="00215561">
                  <w:pPr>
                    <w:jc w:val="center"/>
                    <w:rPr>
                      <w:rFonts w:cs="Arial"/>
                      <w:color w:val="1F497D" w:themeColor="text2"/>
                      <w:sz w:val="20"/>
                    </w:rPr>
                  </w:pPr>
                  <w:r>
                    <w:rPr>
                      <w:rFonts w:cs="Arial"/>
                      <w:color w:val="1F497D" w:themeColor="text2"/>
                      <w:sz w:val="20"/>
                    </w:rPr>
                    <w:t>7</w:t>
                  </w:r>
                  <w:r w:rsidR="00FF377D" w:rsidRPr="001B0224">
                    <w:rPr>
                      <w:rFonts w:cs="Arial"/>
                      <w:color w:val="1F497D" w:themeColor="text2"/>
                      <w:sz w:val="20"/>
                    </w:rPr>
                    <w:t>%</w:t>
                  </w:r>
                </w:p>
              </w:tc>
            </w:tr>
            <w:tr w:rsidR="00FF377D" w:rsidRPr="008C3C6D" w:rsidTr="003E1B94">
              <w:trPr>
                <w:trHeight w:val="285"/>
              </w:trPr>
              <w:tc>
                <w:tcPr>
                  <w:tcW w:w="3108" w:type="dxa"/>
                  <w:tcBorders>
                    <w:left w:val="single" w:sz="4" w:space="0" w:color="4F81BD"/>
                  </w:tcBorders>
                  <w:shd w:val="clear" w:color="auto" w:fill="auto"/>
                  <w:vAlign w:val="center"/>
                </w:tcPr>
                <w:p w:rsidR="00FF377D" w:rsidRPr="000F1507" w:rsidRDefault="00FF377D" w:rsidP="003E1B94">
                  <w:pPr>
                    <w:rPr>
                      <w:color w:val="1F497D"/>
                      <w:sz w:val="20"/>
                    </w:rPr>
                  </w:pPr>
                  <w:r w:rsidRPr="000F1507">
                    <w:rPr>
                      <w:color w:val="1F497D"/>
                      <w:sz w:val="20"/>
                    </w:rPr>
                    <w:t>07-09 Years</w:t>
                  </w:r>
                </w:p>
              </w:tc>
              <w:tc>
                <w:tcPr>
                  <w:tcW w:w="739" w:type="dxa"/>
                  <w:shd w:val="clear" w:color="auto" w:fill="auto"/>
                  <w:noWrap/>
                  <w:vAlign w:val="center"/>
                </w:tcPr>
                <w:p w:rsidR="00FF377D" w:rsidRPr="001B0224" w:rsidRDefault="00FF377D" w:rsidP="003E1B94">
                  <w:pPr>
                    <w:jc w:val="center"/>
                    <w:rPr>
                      <w:rFonts w:cs="Arial"/>
                      <w:color w:val="1F497D" w:themeColor="text2"/>
                      <w:sz w:val="20"/>
                    </w:rPr>
                  </w:pPr>
                  <w:r w:rsidRPr="001B0224">
                    <w:rPr>
                      <w:rFonts w:cs="Arial"/>
                      <w:color w:val="1F497D" w:themeColor="text2"/>
                      <w:sz w:val="20"/>
                    </w:rPr>
                    <w:t>53</w:t>
                  </w:r>
                </w:p>
              </w:tc>
              <w:tc>
                <w:tcPr>
                  <w:tcW w:w="1260" w:type="dxa"/>
                  <w:tcBorders>
                    <w:right w:val="single" w:sz="4" w:space="0" w:color="4F81BD"/>
                  </w:tcBorders>
                  <w:shd w:val="clear" w:color="auto" w:fill="auto"/>
                  <w:noWrap/>
                  <w:vAlign w:val="center"/>
                </w:tcPr>
                <w:p w:rsidR="00FF377D" w:rsidRPr="001B0224" w:rsidRDefault="00215561" w:rsidP="00215561">
                  <w:pPr>
                    <w:jc w:val="center"/>
                    <w:rPr>
                      <w:rFonts w:cs="Arial"/>
                      <w:color w:val="1F497D" w:themeColor="text2"/>
                      <w:sz w:val="20"/>
                    </w:rPr>
                  </w:pPr>
                  <w:r>
                    <w:rPr>
                      <w:rFonts w:cs="Arial"/>
                      <w:color w:val="1F497D" w:themeColor="text2"/>
                      <w:sz w:val="20"/>
                    </w:rPr>
                    <w:t>40</w:t>
                  </w:r>
                  <w:r w:rsidR="00FF377D" w:rsidRPr="001B0224">
                    <w:rPr>
                      <w:rFonts w:cs="Arial"/>
                      <w:color w:val="1F497D" w:themeColor="text2"/>
                      <w:sz w:val="20"/>
                    </w:rPr>
                    <w:t>%</w:t>
                  </w:r>
                </w:p>
              </w:tc>
            </w:tr>
            <w:tr w:rsidR="00FF377D" w:rsidRPr="008C3C6D" w:rsidTr="003E1B94">
              <w:trPr>
                <w:trHeight w:val="285"/>
              </w:trPr>
              <w:tc>
                <w:tcPr>
                  <w:tcW w:w="3108" w:type="dxa"/>
                  <w:tcBorders>
                    <w:left w:val="single" w:sz="4" w:space="0" w:color="4F81BD"/>
                  </w:tcBorders>
                  <w:shd w:val="clear" w:color="auto" w:fill="auto"/>
                  <w:vAlign w:val="center"/>
                </w:tcPr>
                <w:p w:rsidR="00FF377D" w:rsidRPr="000F1507" w:rsidRDefault="00FF377D" w:rsidP="003E1B94">
                  <w:pPr>
                    <w:rPr>
                      <w:color w:val="1F497D"/>
                      <w:sz w:val="20"/>
                    </w:rPr>
                  </w:pPr>
                  <w:r w:rsidRPr="000F1507">
                    <w:rPr>
                      <w:color w:val="1F497D"/>
                      <w:sz w:val="20"/>
                    </w:rPr>
                    <w:t>10-11 Years</w:t>
                  </w:r>
                </w:p>
              </w:tc>
              <w:tc>
                <w:tcPr>
                  <w:tcW w:w="739" w:type="dxa"/>
                  <w:shd w:val="clear" w:color="auto" w:fill="auto"/>
                  <w:noWrap/>
                  <w:vAlign w:val="center"/>
                </w:tcPr>
                <w:p w:rsidR="00FF377D" w:rsidRPr="001B0224" w:rsidRDefault="00FF377D" w:rsidP="003E1B94">
                  <w:pPr>
                    <w:jc w:val="center"/>
                    <w:rPr>
                      <w:rFonts w:cs="Arial"/>
                      <w:color w:val="1F497D" w:themeColor="text2"/>
                      <w:sz w:val="20"/>
                    </w:rPr>
                  </w:pPr>
                  <w:r w:rsidRPr="001B0224">
                    <w:rPr>
                      <w:rFonts w:cs="Arial"/>
                      <w:color w:val="1F497D" w:themeColor="text2"/>
                      <w:sz w:val="20"/>
                    </w:rPr>
                    <w:t>46</w:t>
                  </w:r>
                </w:p>
              </w:tc>
              <w:tc>
                <w:tcPr>
                  <w:tcW w:w="1260" w:type="dxa"/>
                  <w:tcBorders>
                    <w:right w:val="single" w:sz="4" w:space="0" w:color="4F81BD"/>
                  </w:tcBorders>
                  <w:shd w:val="clear" w:color="auto" w:fill="auto"/>
                  <w:noWrap/>
                  <w:vAlign w:val="center"/>
                </w:tcPr>
                <w:p w:rsidR="00FF377D" w:rsidRPr="001B0224" w:rsidRDefault="00FF377D" w:rsidP="00215561">
                  <w:pPr>
                    <w:jc w:val="center"/>
                    <w:rPr>
                      <w:rFonts w:cs="Arial"/>
                      <w:color w:val="1F497D" w:themeColor="text2"/>
                      <w:sz w:val="20"/>
                    </w:rPr>
                  </w:pPr>
                  <w:r w:rsidRPr="001B0224">
                    <w:rPr>
                      <w:rFonts w:cs="Arial"/>
                      <w:color w:val="1F497D" w:themeColor="text2"/>
                      <w:sz w:val="20"/>
                    </w:rPr>
                    <w:t>34%</w:t>
                  </w:r>
                </w:p>
              </w:tc>
            </w:tr>
            <w:tr w:rsidR="00FF377D" w:rsidRPr="008C3C6D" w:rsidTr="003E1B94">
              <w:trPr>
                <w:trHeight w:val="285"/>
              </w:trPr>
              <w:tc>
                <w:tcPr>
                  <w:tcW w:w="3108" w:type="dxa"/>
                  <w:tcBorders>
                    <w:left w:val="single" w:sz="4" w:space="0" w:color="4F81BD"/>
                  </w:tcBorders>
                  <w:shd w:val="clear" w:color="auto" w:fill="auto"/>
                  <w:vAlign w:val="center"/>
                </w:tcPr>
                <w:p w:rsidR="00FF377D" w:rsidRPr="000F1507" w:rsidRDefault="00FF377D" w:rsidP="003E1B94">
                  <w:pPr>
                    <w:rPr>
                      <w:color w:val="1F497D"/>
                      <w:sz w:val="20"/>
                    </w:rPr>
                  </w:pPr>
                  <w:r w:rsidRPr="000F1507">
                    <w:rPr>
                      <w:color w:val="1F497D"/>
                      <w:sz w:val="20"/>
                    </w:rPr>
                    <w:t>High School Graduate</w:t>
                  </w:r>
                </w:p>
              </w:tc>
              <w:tc>
                <w:tcPr>
                  <w:tcW w:w="739" w:type="dxa"/>
                  <w:shd w:val="clear" w:color="auto" w:fill="auto"/>
                  <w:noWrap/>
                  <w:vAlign w:val="center"/>
                </w:tcPr>
                <w:p w:rsidR="00FF377D" w:rsidRPr="001B0224" w:rsidRDefault="00FF377D" w:rsidP="003E1B94">
                  <w:pPr>
                    <w:jc w:val="center"/>
                    <w:rPr>
                      <w:rFonts w:cs="Arial"/>
                      <w:color w:val="1F497D" w:themeColor="text2"/>
                      <w:sz w:val="20"/>
                    </w:rPr>
                  </w:pPr>
                  <w:r w:rsidRPr="001B0224">
                    <w:rPr>
                      <w:rFonts w:cs="Arial"/>
                      <w:color w:val="1F497D" w:themeColor="text2"/>
                      <w:sz w:val="20"/>
                    </w:rPr>
                    <w:t>15</w:t>
                  </w:r>
                </w:p>
              </w:tc>
              <w:tc>
                <w:tcPr>
                  <w:tcW w:w="1260" w:type="dxa"/>
                  <w:tcBorders>
                    <w:right w:val="single" w:sz="4" w:space="0" w:color="4F81BD"/>
                  </w:tcBorders>
                  <w:shd w:val="clear" w:color="auto" w:fill="auto"/>
                  <w:noWrap/>
                  <w:vAlign w:val="center"/>
                </w:tcPr>
                <w:p w:rsidR="00FF377D" w:rsidRPr="001B0224" w:rsidRDefault="00FF377D" w:rsidP="00215561">
                  <w:pPr>
                    <w:jc w:val="center"/>
                    <w:rPr>
                      <w:rFonts w:cs="Arial"/>
                      <w:color w:val="1F497D" w:themeColor="text2"/>
                      <w:sz w:val="20"/>
                    </w:rPr>
                  </w:pPr>
                  <w:r w:rsidRPr="001B0224">
                    <w:rPr>
                      <w:rFonts w:cs="Arial"/>
                      <w:color w:val="1F497D" w:themeColor="text2"/>
                      <w:sz w:val="20"/>
                    </w:rPr>
                    <w:t>11%</w:t>
                  </w:r>
                </w:p>
              </w:tc>
            </w:tr>
            <w:tr w:rsidR="00FF377D" w:rsidRPr="008C3C6D" w:rsidTr="003E1B94">
              <w:trPr>
                <w:trHeight w:val="285"/>
              </w:trPr>
              <w:tc>
                <w:tcPr>
                  <w:tcW w:w="3108" w:type="dxa"/>
                  <w:tcBorders>
                    <w:left w:val="single" w:sz="4" w:space="0" w:color="4F81BD"/>
                  </w:tcBorders>
                  <w:shd w:val="clear" w:color="auto" w:fill="auto"/>
                  <w:vAlign w:val="center"/>
                </w:tcPr>
                <w:p w:rsidR="00FF377D" w:rsidRPr="000F1507" w:rsidRDefault="00FF377D" w:rsidP="003E1B94">
                  <w:pPr>
                    <w:rPr>
                      <w:color w:val="1F497D"/>
                      <w:sz w:val="20"/>
                    </w:rPr>
                  </w:pPr>
                  <w:r w:rsidRPr="000F1507">
                    <w:rPr>
                      <w:color w:val="1F497D"/>
                      <w:sz w:val="20"/>
                    </w:rPr>
                    <w:t>Some College/Technical Training</w:t>
                  </w:r>
                </w:p>
              </w:tc>
              <w:tc>
                <w:tcPr>
                  <w:tcW w:w="739" w:type="dxa"/>
                  <w:shd w:val="clear" w:color="auto" w:fill="auto"/>
                  <w:noWrap/>
                  <w:vAlign w:val="center"/>
                </w:tcPr>
                <w:p w:rsidR="00FF377D" w:rsidRPr="001B0224" w:rsidRDefault="00FF377D" w:rsidP="003E1B94">
                  <w:pPr>
                    <w:jc w:val="center"/>
                    <w:rPr>
                      <w:rFonts w:cs="Arial"/>
                      <w:color w:val="1F497D" w:themeColor="text2"/>
                      <w:sz w:val="20"/>
                    </w:rPr>
                  </w:pPr>
                  <w:r w:rsidRPr="001B0224">
                    <w:rPr>
                      <w:rFonts w:cs="Arial"/>
                      <w:color w:val="1F497D" w:themeColor="text2"/>
                      <w:sz w:val="20"/>
                    </w:rPr>
                    <w:t>4</w:t>
                  </w:r>
                </w:p>
              </w:tc>
              <w:tc>
                <w:tcPr>
                  <w:tcW w:w="1260" w:type="dxa"/>
                  <w:tcBorders>
                    <w:right w:val="single" w:sz="4" w:space="0" w:color="4F81BD"/>
                  </w:tcBorders>
                  <w:shd w:val="clear" w:color="auto" w:fill="auto"/>
                  <w:noWrap/>
                  <w:vAlign w:val="center"/>
                </w:tcPr>
                <w:p w:rsidR="00FF377D" w:rsidRPr="001B0224" w:rsidRDefault="00FF377D" w:rsidP="00215561">
                  <w:pPr>
                    <w:jc w:val="center"/>
                    <w:rPr>
                      <w:rFonts w:cs="Arial"/>
                      <w:color w:val="1F497D" w:themeColor="text2"/>
                      <w:sz w:val="20"/>
                    </w:rPr>
                  </w:pPr>
                  <w:r w:rsidRPr="001B0224">
                    <w:rPr>
                      <w:rFonts w:cs="Arial"/>
                      <w:color w:val="1F497D" w:themeColor="text2"/>
                      <w:sz w:val="20"/>
                    </w:rPr>
                    <w:t>3%</w:t>
                  </w:r>
                </w:p>
              </w:tc>
            </w:tr>
            <w:tr w:rsidR="00FF377D" w:rsidRPr="008C3C6D" w:rsidTr="003E1B94">
              <w:trPr>
                <w:trHeight w:val="285"/>
              </w:trPr>
              <w:tc>
                <w:tcPr>
                  <w:tcW w:w="3108" w:type="dxa"/>
                  <w:tcBorders>
                    <w:left w:val="single" w:sz="4" w:space="0" w:color="4F81BD"/>
                  </w:tcBorders>
                  <w:shd w:val="clear" w:color="auto" w:fill="auto"/>
                  <w:vAlign w:val="center"/>
                </w:tcPr>
                <w:p w:rsidR="00FF377D" w:rsidRPr="000F1507" w:rsidRDefault="00FF377D" w:rsidP="003E1B94">
                  <w:pPr>
                    <w:rPr>
                      <w:color w:val="1F497D"/>
                      <w:sz w:val="20"/>
                    </w:rPr>
                  </w:pPr>
                  <w:r w:rsidRPr="000F1507">
                    <w:rPr>
                      <w:color w:val="1F497D"/>
                      <w:sz w:val="20"/>
                    </w:rPr>
                    <w:t>Associate's Degree</w:t>
                  </w:r>
                </w:p>
              </w:tc>
              <w:tc>
                <w:tcPr>
                  <w:tcW w:w="739" w:type="dxa"/>
                  <w:shd w:val="clear" w:color="auto" w:fill="auto"/>
                  <w:noWrap/>
                  <w:vAlign w:val="center"/>
                </w:tcPr>
                <w:p w:rsidR="00FF377D" w:rsidRPr="001B0224" w:rsidRDefault="00FF377D" w:rsidP="003E1B94">
                  <w:pPr>
                    <w:jc w:val="center"/>
                    <w:rPr>
                      <w:rFonts w:cs="Arial"/>
                      <w:color w:val="1F497D" w:themeColor="text2"/>
                      <w:sz w:val="20"/>
                    </w:rPr>
                  </w:pPr>
                  <w:r w:rsidRPr="001B0224">
                    <w:rPr>
                      <w:rFonts w:cs="Arial"/>
                      <w:color w:val="1F497D" w:themeColor="text2"/>
                      <w:sz w:val="20"/>
                    </w:rPr>
                    <w:t>0</w:t>
                  </w:r>
                </w:p>
              </w:tc>
              <w:tc>
                <w:tcPr>
                  <w:tcW w:w="1260" w:type="dxa"/>
                  <w:tcBorders>
                    <w:right w:val="single" w:sz="4" w:space="0" w:color="4F81BD"/>
                  </w:tcBorders>
                  <w:shd w:val="clear" w:color="auto" w:fill="auto"/>
                  <w:noWrap/>
                  <w:vAlign w:val="center"/>
                </w:tcPr>
                <w:p w:rsidR="00FF377D" w:rsidRPr="001B0224" w:rsidRDefault="00FF377D" w:rsidP="00215561">
                  <w:pPr>
                    <w:jc w:val="center"/>
                    <w:rPr>
                      <w:rFonts w:cs="Arial"/>
                      <w:color w:val="1F497D" w:themeColor="text2"/>
                      <w:sz w:val="20"/>
                    </w:rPr>
                  </w:pPr>
                  <w:r w:rsidRPr="001B0224">
                    <w:rPr>
                      <w:rFonts w:cs="Arial"/>
                      <w:color w:val="1F497D" w:themeColor="text2"/>
                      <w:sz w:val="20"/>
                    </w:rPr>
                    <w:t>0%</w:t>
                  </w:r>
                </w:p>
              </w:tc>
            </w:tr>
            <w:tr w:rsidR="00FF377D" w:rsidRPr="008C3C6D" w:rsidTr="003E1B94">
              <w:trPr>
                <w:trHeight w:val="285"/>
              </w:trPr>
              <w:tc>
                <w:tcPr>
                  <w:tcW w:w="3108" w:type="dxa"/>
                  <w:tcBorders>
                    <w:left w:val="single" w:sz="4" w:space="0" w:color="4F81BD"/>
                  </w:tcBorders>
                  <w:shd w:val="clear" w:color="auto" w:fill="auto"/>
                  <w:vAlign w:val="center"/>
                </w:tcPr>
                <w:p w:rsidR="00FF377D" w:rsidRPr="000F1507" w:rsidRDefault="00FF377D" w:rsidP="003E1B94">
                  <w:pPr>
                    <w:rPr>
                      <w:color w:val="1F497D"/>
                      <w:sz w:val="20"/>
                    </w:rPr>
                  </w:pPr>
                  <w:r w:rsidRPr="000F1507">
                    <w:rPr>
                      <w:color w:val="1F497D"/>
                      <w:sz w:val="20"/>
                    </w:rPr>
                    <w:t>Bachelor's Degree</w:t>
                  </w:r>
                </w:p>
              </w:tc>
              <w:tc>
                <w:tcPr>
                  <w:tcW w:w="739" w:type="dxa"/>
                  <w:shd w:val="clear" w:color="auto" w:fill="auto"/>
                  <w:noWrap/>
                  <w:vAlign w:val="center"/>
                </w:tcPr>
                <w:p w:rsidR="00FF377D" w:rsidRPr="001B0224" w:rsidRDefault="00FF377D" w:rsidP="003E1B94">
                  <w:pPr>
                    <w:jc w:val="center"/>
                    <w:rPr>
                      <w:rFonts w:cs="Arial"/>
                      <w:color w:val="1F497D" w:themeColor="text2"/>
                      <w:sz w:val="20"/>
                    </w:rPr>
                  </w:pPr>
                  <w:r w:rsidRPr="001B0224">
                    <w:rPr>
                      <w:rFonts w:cs="Arial"/>
                      <w:color w:val="1F497D" w:themeColor="text2"/>
                      <w:sz w:val="20"/>
                    </w:rPr>
                    <w:t>4</w:t>
                  </w:r>
                </w:p>
              </w:tc>
              <w:tc>
                <w:tcPr>
                  <w:tcW w:w="1260" w:type="dxa"/>
                  <w:tcBorders>
                    <w:right w:val="single" w:sz="4" w:space="0" w:color="4F81BD"/>
                  </w:tcBorders>
                  <w:shd w:val="clear" w:color="auto" w:fill="auto"/>
                  <w:noWrap/>
                  <w:vAlign w:val="center"/>
                </w:tcPr>
                <w:p w:rsidR="00FF377D" w:rsidRPr="001B0224" w:rsidRDefault="00FF377D" w:rsidP="00215561">
                  <w:pPr>
                    <w:jc w:val="center"/>
                    <w:rPr>
                      <w:rFonts w:cs="Arial"/>
                      <w:color w:val="1F497D" w:themeColor="text2"/>
                      <w:sz w:val="20"/>
                    </w:rPr>
                  </w:pPr>
                  <w:r w:rsidRPr="001B0224">
                    <w:rPr>
                      <w:rFonts w:cs="Arial"/>
                      <w:color w:val="1F497D" w:themeColor="text2"/>
                      <w:sz w:val="20"/>
                    </w:rPr>
                    <w:t>3%</w:t>
                  </w:r>
                </w:p>
              </w:tc>
            </w:tr>
            <w:tr w:rsidR="00FF377D" w:rsidRPr="008C3C6D" w:rsidTr="003E1B94">
              <w:trPr>
                <w:trHeight w:val="285"/>
              </w:trPr>
              <w:tc>
                <w:tcPr>
                  <w:tcW w:w="3108" w:type="dxa"/>
                  <w:tcBorders>
                    <w:left w:val="single" w:sz="4" w:space="0" w:color="4F81BD"/>
                    <w:bottom w:val="single" w:sz="4" w:space="0" w:color="4F81BD" w:themeColor="accent1"/>
                  </w:tcBorders>
                  <w:shd w:val="clear" w:color="auto" w:fill="C6D9F1" w:themeFill="text2" w:themeFillTint="33"/>
                  <w:vAlign w:val="center"/>
                </w:tcPr>
                <w:p w:rsidR="00FF377D" w:rsidRPr="009762E0" w:rsidRDefault="00FF377D" w:rsidP="003E1B94">
                  <w:pPr>
                    <w:rPr>
                      <w:b/>
                      <w:color w:val="1F497D"/>
                      <w:sz w:val="20"/>
                    </w:rPr>
                  </w:pPr>
                  <w:r w:rsidRPr="009762E0">
                    <w:rPr>
                      <w:b/>
                      <w:color w:val="1F497D"/>
                      <w:sz w:val="20"/>
                    </w:rPr>
                    <w:t>Total Identified</w:t>
                  </w:r>
                </w:p>
              </w:tc>
              <w:tc>
                <w:tcPr>
                  <w:tcW w:w="739" w:type="dxa"/>
                  <w:tcBorders>
                    <w:bottom w:val="single" w:sz="4" w:space="0" w:color="4F81BD" w:themeColor="accent1"/>
                  </w:tcBorders>
                  <w:shd w:val="clear" w:color="auto" w:fill="C6D9F1" w:themeFill="text2" w:themeFillTint="33"/>
                  <w:noWrap/>
                  <w:vAlign w:val="center"/>
                </w:tcPr>
                <w:p w:rsidR="00FF377D" w:rsidRPr="001B0224" w:rsidRDefault="00FF377D" w:rsidP="003E1B94">
                  <w:pPr>
                    <w:jc w:val="center"/>
                    <w:rPr>
                      <w:rFonts w:cs="Arial"/>
                      <w:b/>
                      <w:color w:val="1F497D" w:themeColor="text2"/>
                      <w:sz w:val="20"/>
                    </w:rPr>
                  </w:pPr>
                  <w:r w:rsidRPr="001B0224">
                    <w:rPr>
                      <w:rFonts w:cs="Arial"/>
                      <w:b/>
                      <w:color w:val="1F497D" w:themeColor="text2"/>
                      <w:sz w:val="20"/>
                    </w:rPr>
                    <w:t>134</w:t>
                  </w:r>
                </w:p>
              </w:tc>
              <w:tc>
                <w:tcPr>
                  <w:tcW w:w="1260" w:type="dxa"/>
                  <w:tcBorders>
                    <w:bottom w:val="single" w:sz="4" w:space="0" w:color="4F81BD" w:themeColor="accent1"/>
                    <w:right w:val="single" w:sz="4" w:space="0" w:color="4F81BD"/>
                  </w:tcBorders>
                  <w:shd w:val="clear" w:color="auto" w:fill="C6D9F1" w:themeFill="text2" w:themeFillTint="33"/>
                  <w:noWrap/>
                  <w:vAlign w:val="center"/>
                </w:tcPr>
                <w:p w:rsidR="00FF377D" w:rsidRPr="001B0224" w:rsidRDefault="00FF377D" w:rsidP="003E1B94">
                  <w:pPr>
                    <w:jc w:val="center"/>
                    <w:rPr>
                      <w:rFonts w:cs="Arial"/>
                      <w:b/>
                      <w:color w:val="1F497D" w:themeColor="text2"/>
                      <w:sz w:val="20"/>
                    </w:rPr>
                  </w:pPr>
                  <w:r w:rsidRPr="001B0224">
                    <w:rPr>
                      <w:rFonts w:cs="Arial"/>
                      <w:b/>
                      <w:color w:val="1F497D" w:themeColor="text2"/>
                      <w:sz w:val="20"/>
                    </w:rPr>
                    <w:t>100.0%</w:t>
                  </w:r>
                </w:p>
              </w:tc>
            </w:tr>
            <w:tr w:rsidR="00FF377D" w:rsidRPr="008C3C6D" w:rsidTr="003E1B94">
              <w:trPr>
                <w:trHeight w:val="285"/>
              </w:trPr>
              <w:tc>
                <w:tcPr>
                  <w:tcW w:w="3108" w:type="dxa"/>
                  <w:tcBorders>
                    <w:top w:val="single" w:sz="4" w:space="0" w:color="4F81BD" w:themeColor="accent1"/>
                    <w:left w:val="single" w:sz="4" w:space="0" w:color="4F81BD"/>
                    <w:bottom w:val="single" w:sz="4" w:space="0" w:color="4F81BD"/>
                  </w:tcBorders>
                  <w:shd w:val="clear" w:color="auto" w:fill="auto"/>
                  <w:vAlign w:val="center"/>
                </w:tcPr>
                <w:p w:rsidR="00FF377D" w:rsidRPr="000F1507" w:rsidRDefault="00FF377D" w:rsidP="003E1B94">
                  <w:pPr>
                    <w:rPr>
                      <w:i/>
                      <w:color w:val="1F497D"/>
                      <w:sz w:val="20"/>
                    </w:rPr>
                  </w:pPr>
                  <w:r w:rsidRPr="000F1507">
                    <w:rPr>
                      <w:i/>
                      <w:color w:val="1F497D"/>
                      <w:sz w:val="20"/>
                    </w:rPr>
                    <w:t>No Data Available</w:t>
                  </w:r>
                </w:p>
              </w:tc>
              <w:tc>
                <w:tcPr>
                  <w:tcW w:w="739" w:type="dxa"/>
                  <w:tcBorders>
                    <w:top w:val="single" w:sz="4" w:space="0" w:color="4F81BD" w:themeColor="accent1"/>
                    <w:bottom w:val="single" w:sz="4" w:space="0" w:color="4F81BD"/>
                  </w:tcBorders>
                  <w:shd w:val="clear" w:color="auto" w:fill="auto"/>
                  <w:noWrap/>
                  <w:vAlign w:val="center"/>
                </w:tcPr>
                <w:p w:rsidR="00FF377D" w:rsidRPr="001B0224" w:rsidRDefault="00FF377D" w:rsidP="003E1B94">
                  <w:pPr>
                    <w:jc w:val="center"/>
                    <w:rPr>
                      <w:rFonts w:cs="Arial"/>
                      <w:i/>
                      <w:iCs/>
                      <w:color w:val="1F497D" w:themeColor="text2"/>
                      <w:sz w:val="20"/>
                    </w:rPr>
                  </w:pPr>
                  <w:r w:rsidRPr="001B0224">
                    <w:rPr>
                      <w:rFonts w:cs="Arial"/>
                      <w:i/>
                      <w:iCs/>
                      <w:color w:val="1F497D" w:themeColor="text2"/>
                      <w:sz w:val="20"/>
                    </w:rPr>
                    <w:t>144</w:t>
                  </w:r>
                </w:p>
              </w:tc>
              <w:tc>
                <w:tcPr>
                  <w:tcW w:w="1260" w:type="dxa"/>
                  <w:tcBorders>
                    <w:top w:val="single" w:sz="4" w:space="0" w:color="4F81BD" w:themeColor="accent1"/>
                    <w:bottom w:val="single" w:sz="4" w:space="0" w:color="4F81BD"/>
                    <w:right w:val="single" w:sz="4" w:space="0" w:color="4F81BD"/>
                  </w:tcBorders>
                  <w:shd w:val="clear" w:color="auto" w:fill="auto"/>
                  <w:noWrap/>
                  <w:vAlign w:val="center"/>
                </w:tcPr>
                <w:p w:rsidR="00FF377D" w:rsidRPr="001B0224" w:rsidRDefault="00FF377D" w:rsidP="003E1B94">
                  <w:pPr>
                    <w:rPr>
                      <w:rFonts w:cs="Arial"/>
                      <w:i/>
                      <w:iCs/>
                      <w:color w:val="1F497D" w:themeColor="text2"/>
                      <w:sz w:val="20"/>
                    </w:rPr>
                  </w:pPr>
                </w:p>
              </w:tc>
            </w:tr>
          </w:tbl>
          <w:p w:rsidR="00FF377D" w:rsidRPr="000F1507" w:rsidRDefault="00FF377D" w:rsidP="003E1B94"/>
        </w:tc>
      </w:tr>
      <w:tr w:rsidR="00FF377D" w:rsidTr="003E1B94">
        <w:tc>
          <w:tcPr>
            <w:tcW w:w="4500" w:type="dxa"/>
          </w:tcPr>
          <w:p w:rsidR="00FF377D" w:rsidRPr="000F1507" w:rsidRDefault="00FF377D" w:rsidP="003E1B94"/>
        </w:tc>
        <w:tc>
          <w:tcPr>
            <w:tcW w:w="5508" w:type="dxa"/>
          </w:tcPr>
          <w:p w:rsidR="00FF377D" w:rsidRPr="000F1507" w:rsidRDefault="00FF377D" w:rsidP="003E1B94"/>
        </w:tc>
      </w:tr>
    </w:tbl>
    <w:p w:rsidR="00FF377D" w:rsidRPr="00B429F9" w:rsidRDefault="00FF377D" w:rsidP="00FF377D"/>
    <w:p w:rsidR="00B429F9" w:rsidRPr="00B429F9" w:rsidRDefault="00B429F9" w:rsidP="00B429F9"/>
    <w:p w:rsidR="00B429F9" w:rsidRDefault="00B429F9" w:rsidP="00B429F9">
      <w:pPr>
        <w:rPr>
          <w:noProof/>
          <w:color w:val="1F497D"/>
          <w:sz w:val="32"/>
          <w:szCs w:val="36"/>
        </w:rPr>
      </w:pPr>
      <w:r>
        <w:br w:type="page"/>
      </w:r>
    </w:p>
    <w:bookmarkStart w:id="144" w:name="_Toc384134256"/>
    <w:bookmarkStart w:id="145" w:name="_Toc416357861"/>
    <w:p w:rsidR="00DA7796" w:rsidRPr="00650386" w:rsidRDefault="002E4C3B" w:rsidP="00BE0948">
      <w:pPr>
        <w:pStyle w:val="Heading1"/>
      </w:pPr>
      <w:r>
        <w:rPr>
          <w14:shadow w14:blurRad="0" w14:dist="0" w14:dir="0" w14:sx="0" w14:sy="0" w14:kx="0" w14:ky="0" w14:algn="none">
            <w14:srgbClr w14:val="000000"/>
          </w14:shadow>
        </w:rPr>
        <mc:AlternateContent>
          <mc:Choice Requires="wps">
            <w:drawing>
              <wp:anchor distT="0" distB="91440" distL="114300" distR="114300" simplePos="0" relativeHeight="251663872" behindDoc="0" locked="0" layoutInCell="1" allowOverlap="0" wp14:anchorId="73366B94" wp14:editId="09CA0D6C">
                <wp:simplePos x="0" y="0"/>
                <wp:positionH relativeFrom="column">
                  <wp:posOffset>-82550</wp:posOffset>
                </wp:positionH>
                <wp:positionV relativeFrom="paragraph">
                  <wp:posOffset>525145</wp:posOffset>
                </wp:positionV>
                <wp:extent cx="6619875" cy="2181860"/>
                <wp:effectExtent l="19050" t="19050" r="85725" b="85725"/>
                <wp:wrapTopAndBottom/>
                <wp:docPr id="50" name="AutoShap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9875" cy="2181860"/>
                        </a:xfrm>
                        <a:prstGeom prst="roundRect">
                          <a:avLst>
                            <a:gd name="adj" fmla="val 6634"/>
                          </a:avLst>
                        </a:prstGeom>
                        <a:solidFill>
                          <a:schemeClr val="accent1">
                            <a:lumMod val="20000"/>
                            <a:lumOff val="80000"/>
                            <a:alpha val="25000"/>
                          </a:schemeClr>
                        </a:solidFill>
                        <a:ln w="50800" cmpd="thickThin">
                          <a:solidFill>
                            <a:schemeClr val="tx2">
                              <a:lumMod val="100000"/>
                              <a:lumOff val="0"/>
                            </a:schemeClr>
                          </a:solidFill>
                          <a:round/>
                          <a:headEnd/>
                          <a:tailEnd/>
                        </a:ln>
                        <a:effectLst>
                          <a:outerShdw dist="35921" dir="2700000" algn="ctr" rotWithShape="0">
                            <a:schemeClr val="accent1">
                              <a:lumMod val="20000"/>
                              <a:lumOff val="80000"/>
                            </a:schemeClr>
                          </a:outerShdw>
                        </a:effectLst>
                      </wps:spPr>
                      <wps:txbx>
                        <w:txbxContent>
                          <w:p w:rsidR="005B4E16" w:rsidRDefault="005B4E16" w:rsidP="0087573E">
                            <w:pPr>
                              <w:pStyle w:val="IntenseQuote"/>
                              <w:ind w:left="360"/>
                            </w:pPr>
                            <w:r w:rsidRPr="001A5573">
                              <w:rPr>
                                <w:b/>
                              </w:rPr>
                              <w:t>Length of stay (LOS) for individuals remaining in care</w:t>
                            </w:r>
                            <w:r>
                              <w:t xml:space="preserve"> had </w:t>
                            </w:r>
                            <w:r w:rsidRPr="00264B12">
                              <w:t xml:space="preserve">increased </w:t>
                            </w:r>
                            <w:r>
                              <w:t xml:space="preserve">for several years but started to decline in FY13; the median LOS reached its highest level at 946 days (31 months) in September 2012 and dropped to its </w:t>
                            </w:r>
                            <w:r w:rsidRPr="001A5573">
                              <w:rPr>
                                <w:b/>
                              </w:rPr>
                              <w:t>lowest level at 394 days (13 months) as of September 30, 2014</w:t>
                            </w:r>
                            <w:r>
                              <w:t xml:space="preserve">.  </w:t>
                            </w:r>
                          </w:p>
                          <w:p w:rsidR="005B4E16" w:rsidRDefault="005B4E16" w:rsidP="0087573E">
                            <w:pPr>
                              <w:pStyle w:val="IntenseQuote"/>
                              <w:ind w:left="360"/>
                            </w:pPr>
                            <w:r>
                              <w:t xml:space="preserve">The percentage of IICs with </w:t>
                            </w:r>
                            <w:r>
                              <w:rPr>
                                <w:b/>
                              </w:rPr>
                              <w:t>LOS of 1</w:t>
                            </w:r>
                            <w:r w:rsidRPr="001A5573">
                              <w:rPr>
                                <w:b/>
                              </w:rPr>
                              <w:t>0 year</w:t>
                            </w:r>
                            <w:r>
                              <w:rPr>
                                <w:b/>
                              </w:rPr>
                              <w:t>s</w:t>
                            </w:r>
                            <w:r w:rsidRPr="001A5573">
                              <w:rPr>
                                <w:b/>
                              </w:rPr>
                              <w:t xml:space="preserve"> or longer noticeably decreased </w:t>
                            </w:r>
                            <w:r>
                              <w:t xml:space="preserve">due in part to the Hospital’s efforts to discharge long-term residents as well as an </w:t>
                            </w:r>
                            <w:r w:rsidRPr="001A5573">
                              <w:rPr>
                                <w:b/>
                              </w:rPr>
                              <w:t>increase of admissions</w:t>
                            </w:r>
                            <w:r>
                              <w:t xml:space="preserve"> in FY13 and FY14, which increased the percentage of individuals with </w:t>
                            </w:r>
                            <w:r w:rsidRPr="001A5573">
                              <w:rPr>
                                <w:b/>
                              </w:rPr>
                              <w:t>shorter LOS</w:t>
                            </w:r>
                            <w:r>
                              <w:t>.</w:t>
                            </w:r>
                          </w:p>
                          <w:p w:rsidR="005B4E16" w:rsidRDefault="005B4E16" w:rsidP="0087573E">
                            <w:pPr>
                              <w:pStyle w:val="IntenseQuote"/>
                              <w:ind w:left="360"/>
                            </w:pPr>
                            <w:r>
                              <w:t xml:space="preserve">The shortened LOS in FY14 was largely driven by the </w:t>
                            </w:r>
                            <w:r w:rsidRPr="004B0247">
                              <w:rPr>
                                <w:i/>
                              </w:rPr>
                              <w:t>Civil</w:t>
                            </w:r>
                            <w:r>
                              <w:t xml:space="preserve"> and </w:t>
                            </w:r>
                            <w:r w:rsidRPr="004B0247">
                              <w:rPr>
                                <w:i/>
                              </w:rPr>
                              <w:t>Forensic Post-trial</w:t>
                            </w:r>
                            <w:r>
                              <w:t xml:space="preserve"> population. Also, an increased number and proportion of </w:t>
                            </w:r>
                            <w:r>
                              <w:rPr>
                                <w:i/>
                              </w:rPr>
                              <w:t>Forensic P</w:t>
                            </w:r>
                            <w:r w:rsidRPr="004B0247">
                              <w:rPr>
                                <w:i/>
                              </w:rPr>
                              <w:t>re-trial</w:t>
                            </w:r>
                            <w:r>
                              <w:t xml:space="preserve"> population who tend to have much shorter LOS contributed to the overall reduction of LOS.</w:t>
                            </w:r>
                          </w:p>
                          <w:p w:rsidR="005B4E16" w:rsidRDefault="005B4E16" w:rsidP="0087573E">
                            <w:pPr>
                              <w:pStyle w:val="IntenseQuote"/>
                              <w:ind w:left="360"/>
                            </w:pPr>
                            <w:r>
                              <w:t xml:space="preserve">About </w:t>
                            </w:r>
                            <w:r w:rsidRPr="001A5573">
                              <w:rPr>
                                <w:b/>
                              </w:rPr>
                              <w:t>two out of three</w:t>
                            </w:r>
                            <w:r>
                              <w:t xml:space="preserve"> individuals admitted to the Hospital in FY14 were </w:t>
                            </w:r>
                            <w:r w:rsidRPr="001A5573">
                              <w:rPr>
                                <w:b/>
                              </w:rPr>
                              <w:t>discharged within 90 days</w:t>
                            </w:r>
                            <w:r>
                              <w:t xml:space="preserve"> from admission and half of admissions were discharged within 60 days from admission. </w:t>
                            </w:r>
                          </w:p>
                          <w:p w:rsidR="005B4E16" w:rsidRDefault="005B4E16" w:rsidP="0087573E">
                            <w:pPr>
                              <w:pStyle w:val="IntenseQuote"/>
                              <w:ind w:left="360"/>
                            </w:pPr>
                            <w:r>
                              <w:t xml:space="preserve">LOS of </w:t>
                            </w:r>
                            <w:r w:rsidRPr="00070660">
                              <w:rPr>
                                <w:i/>
                              </w:rPr>
                              <w:t>Civil</w:t>
                            </w:r>
                            <w:r>
                              <w:t xml:space="preserve"> admissions made in FY14 prolonged overall while that of </w:t>
                            </w:r>
                            <w:r w:rsidRPr="00070660">
                              <w:rPr>
                                <w:i/>
                              </w:rPr>
                              <w:t>Pre-trial</w:t>
                            </w:r>
                            <w:r>
                              <w:t xml:space="preserve"> admissions shortened. </w:t>
                            </w:r>
                          </w:p>
                        </w:txbxContent>
                      </wps:txbx>
                      <wps:bodyPr rot="0" vert="horz" wrap="square" lIns="91440" tIns="18288" rIns="91440" bIns="18288" anchor="ctr" anchorCtr="0" upright="1">
                        <a:spAutoFit/>
                      </wps:bodyPr>
                    </wps:wsp>
                  </a:graphicData>
                </a:graphic>
                <wp14:sizeRelH relativeFrom="page">
                  <wp14:pctWidth>0</wp14:pctWidth>
                </wp14:sizeRelH>
                <wp14:sizeRelV relativeFrom="page">
                  <wp14:pctHeight>0</wp14:pctHeight>
                </wp14:sizeRelV>
              </wp:anchor>
            </w:drawing>
          </mc:Choice>
          <mc:Fallback>
            <w:pict>
              <v:roundrect id="AutoShape 227" o:spid="_x0000_s1028" style="position:absolute;left:0;text-align:left;margin-left:-6.5pt;margin-top:41.35pt;width:521.25pt;height:171.8pt;z-index:251663872;visibility:visible;mso-wrap-style:square;mso-width-percent:0;mso-height-percent:0;mso-wrap-distance-left:9pt;mso-wrap-distance-top:0;mso-wrap-distance-right:9pt;mso-wrap-distance-bottom:7.2pt;mso-position-horizontal:absolute;mso-position-horizontal-relative:text;mso-position-vertical:absolute;mso-position-vertical-relative:text;mso-width-percent:0;mso-height-percent:0;mso-width-relative:page;mso-height-relative:page;v-text-anchor:middle" arcsize="43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" o:allowoverlap="f" fillcolor="#dbe5f1 [660]" strokecolor="#1f497d [3215]" strokeweight="4pt">
                <v:fill opacity="16448f"/>
                <v:stroke linestyle="thickThin"/>
                <v:shadow on="t" color="#dbe5f1 [660]"/>
                <v:textbox style="mso-fit-shape-to-text:t" inset=",1.44pt,,1.44pt">
                  <w:txbxContent>
                    <w:p w:rsidR="005B4E16" w:rsidRDefault="005B4E16" w:rsidP="0087573E">
                      <w:pPr>
                        <w:pStyle w:val="IntenseQuote"/>
                        <w:ind w:left="360"/>
                      </w:pPr>
                      <w:r w:rsidRPr="001A5573">
                        <w:rPr>
                          <w:b/>
                        </w:rPr>
                        <w:t>Length of stay (LOS) for individuals remaining in care</w:t>
                      </w:r>
                      <w:r>
                        <w:t xml:space="preserve"> had </w:t>
                      </w:r>
                      <w:r w:rsidRPr="00264B12">
                        <w:t xml:space="preserve">increased </w:t>
                      </w:r>
                      <w:r>
                        <w:t xml:space="preserve">for several years but started to decline in FY13; the median LOS reached its highest level at 946 days (31 months) in September 2012 and dropped to its </w:t>
                      </w:r>
                      <w:r w:rsidRPr="001A5573">
                        <w:rPr>
                          <w:b/>
                        </w:rPr>
                        <w:t>lowest level at 394 days (13 months) as of September 30, 2014</w:t>
                      </w:r>
                      <w:r>
                        <w:t xml:space="preserve">.  </w:t>
                      </w:r>
                    </w:p>
                    <w:p w:rsidR="005B4E16" w:rsidRDefault="005B4E16" w:rsidP="0087573E">
                      <w:pPr>
                        <w:pStyle w:val="IntenseQuote"/>
                        <w:ind w:left="360"/>
                      </w:pPr>
                      <w:r>
                        <w:t xml:space="preserve">The percentage of IICs with </w:t>
                      </w:r>
                      <w:r>
                        <w:rPr>
                          <w:b/>
                        </w:rPr>
                        <w:t>LOS of 1</w:t>
                      </w:r>
                      <w:r w:rsidRPr="001A5573">
                        <w:rPr>
                          <w:b/>
                        </w:rPr>
                        <w:t>0 year</w:t>
                      </w:r>
                      <w:r>
                        <w:rPr>
                          <w:b/>
                        </w:rPr>
                        <w:t>s</w:t>
                      </w:r>
                      <w:r w:rsidRPr="001A5573">
                        <w:rPr>
                          <w:b/>
                        </w:rPr>
                        <w:t xml:space="preserve"> or longer noticeably decreased </w:t>
                      </w:r>
                      <w:r>
                        <w:t xml:space="preserve">due in part to the Hospital’s efforts to discharge long-term residents as well as an </w:t>
                      </w:r>
                      <w:r w:rsidRPr="001A5573">
                        <w:rPr>
                          <w:b/>
                        </w:rPr>
                        <w:t>increase of admissions</w:t>
                      </w:r>
                      <w:r>
                        <w:t xml:space="preserve"> in FY13 and FY14, which increased the percentage of individuals with </w:t>
                      </w:r>
                      <w:r w:rsidRPr="001A5573">
                        <w:rPr>
                          <w:b/>
                        </w:rPr>
                        <w:t>shorter LOS</w:t>
                      </w:r>
                      <w:r>
                        <w:t>.</w:t>
                      </w:r>
                    </w:p>
                    <w:p w:rsidR="005B4E16" w:rsidRDefault="005B4E16" w:rsidP="0087573E">
                      <w:pPr>
                        <w:pStyle w:val="IntenseQuote"/>
                        <w:ind w:left="360"/>
                      </w:pPr>
                      <w:r>
                        <w:t xml:space="preserve">The shortened LOS in FY14 was largely driven by the </w:t>
                      </w:r>
                      <w:r w:rsidRPr="004B0247">
                        <w:rPr>
                          <w:i/>
                        </w:rPr>
                        <w:t>Civil</w:t>
                      </w:r>
                      <w:r>
                        <w:t xml:space="preserve"> and </w:t>
                      </w:r>
                      <w:r w:rsidRPr="004B0247">
                        <w:rPr>
                          <w:i/>
                        </w:rPr>
                        <w:t>Forensic Post-trial</w:t>
                      </w:r>
                      <w:r>
                        <w:t xml:space="preserve"> population. Also, an increased number and proportion of </w:t>
                      </w:r>
                      <w:r>
                        <w:rPr>
                          <w:i/>
                        </w:rPr>
                        <w:t>Forensic P</w:t>
                      </w:r>
                      <w:r w:rsidRPr="004B0247">
                        <w:rPr>
                          <w:i/>
                        </w:rPr>
                        <w:t>re-trial</w:t>
                      </w:r>
                      <w:r>
                        <w:t xml:space="preserve"> population who tend to have much shorter LOS contributed to the overall reduction of LOS.</w:t>
                      </w:r>
                    </w:p>
                    <w:p w:rsidR="005B4E16" w:rsidRDefault="005B4E16" w:rsidP="0087573E">
                      <w:pPr>
                        <w:pStyle w:val="IntenseQuote"/>
                        <w:ind w:left="360"/>
                      </w:pPr>
                      <w:r>
                        <w:t xml:space="preserve">About </w:t>
                      </w:r>
                      <w:r w:rsidRPr="001A5573">
                        <w:rPr>
                          <w:b/>
                        </w:rPr>
                        <w:t>two out of three</w:t>
                      </w:r>
                      <w:r>
                        <w:t xml:space="preserve"> individuals admitted to the Hospital in FY14 were </w:t>
                      </w:r>
                      <w:r w:rsidRPr="001A5573">
                        <w:rPr>
                          <w:b/>
                        </w:rPr>
                        <w:t>discharged within 90 days</w:t>
                      </w:r>
                      <w:r>
                        <w:t xml:space="preserve"> from admission and half of admissions were discharged within 60 days from admission. </w:t>
                      </w:r>
                    </w:p>
                    <w:p w:rsidR="005B4E16" w:rsidRDefault="005B4E16" w:rsidP="0087573E">
                      <w:pPr>
                        <w:pStyle w:val="IntenseQuote"/>
                        <w:ind w:left="360"/>
                      </w:pPr>
                      <w:r>
                        <w:t xml:space="preserve">LOS of </w:t>
                      </w:r>
                      <w:r w:rsidRPr="00070660">
                        <w:rPr>
                          <w:i/>
                        </w:rPr>
                        <w:t>Civil</w:t>
                      </w:r>
                      <w:r>
                        <w:t xml:space="preserve"> admissions made in FY14 prolonged overall while that of </w:t>
                      </w:r>
                      <w:r w:rsidRPr="00070660">
                        <w:rPr>
                          <w:i/>
                        </w:rPr>
                        <w:t>Pre-trial</w:t>
                      </w:r>
                      <w:r>
                        <w:t xml:space="preserve"> admissions shortened. </w:t>
                      </w:r>
                    </w:p>
                  </w:txbxContent>
                </v:textbox>
                <w10:wrap type="topAndBottom"/>
              </v:roundrect>
            </w:pict>
          </mc:Fallback>
        </mc:AlternateContent>
      </w:r>
      <w:r w:rsidR="00DA7796" w:rsidRPr="00650386">
        <w:t>Len</w:t>
      </w:r>
      <w:r w:rsidR="00CB1692">
        <w:t>g</w:t>
      </w:r>
      <w:r w:rsidR="00DA7796" w:rsidRPr="00650386">
        <w:t>th of Stay</w:t>
      </w:r>
      <w:bookmarkEnd w:id="144"/>
      <w:bookmarkEnd w:id="145"/>
    </w:p>
    <w:p w:rsidR="00DA7796" w:rsidRPr="00D760F8" w:rsidRDefault="00DA7796" w:rsidP="003F18B1">
      <w:pPr>
        <w:pStyle w:val="Heading2"/>
      </w:pPr>
      <w:bookmarkStart w:id="146" w:name="_Toc195935740"/>
      <w:bookmarkStart w:id="147" w:name="_Toc384134257"/>
      <w:bookmarkStart w:id="148" w:name="_Toc416357862"/>
      <w:r w:rsidRPr="00D760F8">
        <w:t>Length of Stay</w:t>
      </w:r>
      <w:bookmarkEnd w:id="146"/>
      <w:r w:rsidR="00D903BE" w:rsidRPr="00D760F8">
        <w:t xml:space="preserve"> of Current Population</w:t>
      </w:r>
      <w:bookmarkEnd w:id="147"/>
      <w:bookmarkEnd w:id="148"/>
    </w:p>
    <w:p w:rsidR="00030569" w:rsidRDefault="00030569" w:rsidP="00A80446">
      <w:pPr>
        <w:pStyle w:val="KeyFindings"/>
      </w:pPr>
      <w:bookmarkStart w:id="149" w:name="_Toc384134258"/>
      <w:r w:rsidRPr="00172440">
        <w:t xml:space="preserve">The median length of stay (LOS) for </w:t>
      </w:r>
      <w:r>
        <w:t xml:space="preserve">individuals remaining in care </w:t>
      </w:r>
      <w:r w:rsidRPr="00172440">
        <w:t>on September</w:t>
      </w:r>
      <w:r>
        <w:t xml:space="preserve"> 30, 2014 was 394 days (approximately 13 months), </w:t>
      </w:r>
      <w:r w:rsidRPr="00172440">
        <w:t xml:space="preserve">which means that 50% of the individuals in our care have been residing at the Hospital for more than </w:t>
      </w:r>
      <w:r>
        <w:t>13</w:t>
      </w:r>
      <w:r w:rsidRPr="00172440">
        <w:t xml:space="preserve"> months. </w:t>
      </w:r>
      <w:r>
        <w:t xml:space="preserve">This is a significant drop from </w:t>
      </w:r>
      <w:r w:rsidRPr="00172440">
        <w:t>857 days (approximately 28 months)</w:t>
      </w:r>
      <w:r>
        <w:t xml:space="preserve"> a year ago, on September </w:t>
      </w:r>
      <w:r w:rsidRPr="00172440">
        <w:t>30, 2013</w:t>
      </w:r>
      <w:r>
        <w:t>.</w:t>
      </w:r>
    </w:p>
    <w:p w:rsidR="00BD2838" w:rsidRDefault="00BD2838" w:rsidP="00A80446">
      <w:pPr>
        <w:pStyle w:val="KeyFindings"/>
      </w:pPr>
      <w:r w:rsidRPr="00172440">
        <w:t>The average LOS is much longer than the median LOS</w:t>
      </w:r>
      <w:r w:rsidRPr="009762E0">
        <w:rPr>
          <w:vertAlign w:val="superscript"/>
        </w:rPr>
        <w:footnoteReference w:id="7"/>
      </w:r>
      <w:r w:rsidRPr="00172440">
        <w:t xml:space="preserve"> because the few individuals who have been at the Hospital for an extremely long period of time disproportionately affect the a</w:t>
      </w:r>
      <w:r>
        <w:t>verage LOS.  The average LOS as of September 30, 2014</w:t>
      </w:r>
      <w:r w:rsidRPr="00172440">
        <w:t xml:space="preserve"> was 2</w:t>
      </w:r>
      <w:r w:rsidR="002A452A">
        <w:t>,</w:t>
      </w:r>
      <w:r>
        <w:t>516</w:t>
      </w:r>
      <w:r w:rsidRPr="00172440">
        <w:t xml:space="preserve"> days, </w:t>
      </w:r>
      <w:r>
        <w:t xml:space="preserve">nearly seven </w:t>
      </w:r>
      <w:r w:rsidRPr="00172440">
        <w:t>years.</w:t>
      </w:r>
    </w:p>
    <w:p w:rsidR="00163964" w:rsidRPr="00172440" w:rsidRDefault="00163964" w:rsidP="00BA3C8B">
      <w:pPr>
        <w:pStyle w:val="BodyText"/>
        <w:keepNext/>
        <w:spacing w:before="120"/>
        <w:ind w:left="900" w:hanging="900"/>
        <w:rPr>
          <w:rStyle w:val="FigureChar"/>
        </w:rPr>
      </w:pPr>
      <w:bookmarkStart w:id="150" w:name="_Toc384134260"/>
      <w:bookmarkStart w:id="151" w:name="_Toc416357902"/>
      <w:bookmarkEnd w:id="149"/>
      <w:r w:rsidRPr="00172440">
        <w:rPr>
          <w:rStyle w:val="FigureChar"/>
        </w:rPr>
        <w:t xml:space="preserve">Figure </w:t>
      </w:r>
      <w:r w:rsidRPr="00172440">
        <w:rPr>
          <w:rStyle w:val="FigureChar"/>
        </w:rPr>
        <w:fldChar w:fldCharType="begin"/>
      </w:r>
      <w:r w:rsidRPr="00172440">
        <w:rPr>
          <w:rStyle w:val="FigureChar"/>
        </w:rPr>
        <w:instrText xml:space="preserve"> SEQ Figure \* ARABIC </w:instrText>
      </w:r>
      <w:r w:rsidRPr="00172440">
        <w:rPr>
          <w:rStyle w:val="FigureChar"/>
        </w:rPr>
        <w:fldChar w:fldCharType="separate"/>
      </w:r>
      <w:r w:rsidR="007E3DB6">
        <w:rPr>
          <w:rStyle w:val="FigureChar"/>
          <w:noProof/>
        </w:rPr>
        <w:t>17</w:t>
      </w:r>
      <w:r w:rsidRPr="00172440">
        <w:rPr>
          <w:rStyle w:val="FigureChar"/>
        </w:rPr>
        <w:fldChar w:fldCharType="end"/>
      </w:r>
      <w:r w:rsidRPr="00172440">
        <w:rPr>
          <w:rStyle w:val="FigureChar"/>
        </w:rPr>
        <w:t xml:space="preserve">. Trend in Median </w:t>
      </w:r>
      <w:r w:rsidR="00E264DB">
        <w:rPr>
          <w:rStyle w:val="FigureChar"/>
        </w:rPr>
        <w:t>LOS of Individuals Remaining in Care</w:t>
      </w:r>
      <w:r w:rsidRPr="00172440">
        <w:rPr>
          <w:rStyle w:val="FigureChar"/>
        </w:rPr>
        <w:t xml:space="preserve"> (</w:t>
      </w:r>
      <w:r w:rsidR="00E264DB">
        <w:rPr>
          <w:rStyle w:val="FigureChar"/>
        </w:rPr>
        <w:t>11/07/07 ~ 09/30/1</w:t>
      </w:r>
      <w:r w:rsidR="00B22E89">
        <w:rPr>
          <w:rStyle w:val="FigureChar"/>
        </w:rPr>
        <w:t>4</w:t>
      </w:r>
      <w:r w:rsidRPr="00172440">
        <w:rPr>
          <w:rStyle w:val="FigureChar"/>
        </w:rPr>
        <w:t>)</w:t>
      </w:r>
      <w:bookmarkEnd w:id="150"/>
      <w:bookmarkEnd w:id="151"/>
    </w:p>
    <w:p w:rsidR="00163964" w:rsidRDefault="006E3444" w:rsidP="00A80446">
      <w:pPr>
        <w:pStyle w:val="KeyFindings"/>
        <w:numPr>
          <w:ilvl w:val="0"/>
          <w:numId w:val="0"/>
        </w:numPr>
        <w:ind w:left="288"/>
      </w:pPr>
      <w:r>
        <w:rPr>
          <w:noProof/>
          <w:lang w:eastAsia="en-US"/>
        </w:rPr>
        <w:drawing>
          <wp:inline distT="0" distB="0" distL="0" distR="0" wp14:anchorId="27719711" wp14:editId="4BBD2ECF">
            <wp:extent cx="6349041" cy="1958196"/>
            <wp:effectExtent l="0" t="0" r="0" b="444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5315E" w:rsidRDefault="00BD2838" w:rsidP="00A80446">
      <w:pPr>
        <w:pStyle w:val="KeyFindings"/>
      </w:pPr>
      <w:bookmarkStart w:id="152" w:name="_Toc384134262"/>
      <w:r w:rsidRPr="00172440">
        <w:t>Both the median and average</w:t>
      </w:r>
      <w:r>
        <w:t xml:space="preserve"> </w:t>
      </w:r>
      <w:r w:rsidRPr="00172440">
        <w:t xml:space="preserve">LOS </w:t>
      </w:r>
      <w:r>
        <w:t>for</w:t>
      </w:r>
      <w:r w:rsidRPr="00172440">
        <w:t xml:space="preserve"> individuals remaining in care consistently increased </w:t>
      </w:r>
      <w:r>
        <w:t>between FY07 and FY12</w:t>
      </w:r>
      <w:r w:rsidRPr="00172440">
        <w:t xml:space="preserve"> </w:t>
      </w:r>
      <w:r>
        <w:t xml:space="preserve">but started </w:t>
      </w:r>
      <w:r w:rsidRPr="00172440">
        <w:t>declin</w:t>
      </w:r>
      <w:r>
        <w:t>ing</w:t>
      </w:r>
      <w:r w:rsidRPr="00172440">
        <w:t xml:space="preserve"> </w:t>
      </w:r>
      <w:bookmarkStart w:id="153" w:name="_Toc384134259"/>
      <w:r w:rsidR="002A452A">
        <w:t>in</w:t>
      </w:r>
      <w:r w:rsidR="00800F06">
        <w:t xml:space="preserve"> FY13</w:t>
      </w:r>
      <w:r w:rsidR="002A452A">
        <w:t>.</w:t>
      </w:r>
      <w:r w:rsidR="00800F06">
        <w:t xml:space="preserve"> </w:t>
      </w:r>
      <w:r w:rsidR="002A452A">
        <w:t xml:space="preserve"> T</w:t>
      </w:r>
      <w:r w:rsidR="00800F06">
        <w:t xml:space="preserve">he </w:t>
      </w:r>
      <w:r w:rsidR="00544C4B">
        <w:t>extent</w:t>
      </w:r>
      <w:r w:rsidR="00800F06">
        <w:t xml:space="preserve"> of decline was </w:t>
      </w:r>
      <w:r w:rsidR="008B2193">
        <w:t xml:space="preserve">much </w:t>
      </w:r>
      <w:r w:rsidR="00800F06">
        <w:t xml:space="preserve">more </w:t>
      </w:r>
      <w:r w:rsidR="008B2193">
        <w:t>significant</w:t>
      </w:r>
      <w:r w:rsidR="00800F06">
        <w:t xml:space="preserve"> in FY14.</w:t>
      </w:r>
      <w:bookmarkEnd w:id="153"/>
      <w:r w:rsidR="00A65E6E">
        <w:t xml:space="preserve"> </w:t>
      </w:r>
      <w:r w:rsidR="00F75B70">
        <w:t>Th</w:t>
      </w:r>
      <w:r w:rsidR="00A65E6E">
        <w:t>is</w:t>
      </w:r>
      <w:r w:rsidR="00F75B70">
        <w:t xml:space="preserve"> recent declin</w:t>
      </w:r>
      <w:r w:rsidR="009762E0">
        <w:t>ing trend</w:t>
      </w:r>
      <w:r w:rsidR="00F75B70">
        <w:t xml:space="preserve"> of LOS </w:t>
      </w:r>
      <w:r w:rsidR="009762E0">
        <w:t>can be</w:t>
      </w:r>
      <w:r w:rsidR="00F75B70">
        <w:t xml:space="preserve"> </w:t>
      </w:r>
      <w:r w:rsidR="009762E0">
        <w:t xml:space="preserve">better </w:t>
      </w:r>
      <w:r w:rsidR="00F75B70">
        <w:t xml:space="preserve">explained </w:t>
      </w:r>
      <w:r w:rsidR="009762E0">
        <w:t xml:space="preserve">from the break-down by </w:t>
      </w:r>
      <w:r w:rsidR="007941D9">
        <w:t xml:space="preserve">cohort </w:t>
      </w:r>
      <w:r w:rsidR="00F6253E">
        <w:t>with</w:t>
      </w:r>
      <w:r w:rsidR="007941D9">
        <w:t xml:space="preserve"> different ranges of LOS</w:t>
      </w:r>
      <w:r w:rsidR="00CC7C0B">
        <w:t>.  T</w:t>
      </w:r>
      <w:r w:rsidR="001D2646">
        <w:t>h</w:t>
      </w:r>
      <w:r w:rsidR="006A511F">
        <w:t xml:space="preserve">e percentage of </w:t>
      </w:r>
      <w:r w:rsidR="00FC431D">
        <w:t>individuals</w:t>
      </w:r>
      <w:r w:rsidR="001D2646">
        <w:t xml:space="preserve"> </w:t>
      </w:r>
      <w:r w:rsidR="006A511F">
        <w:t xml:space="preserve">hospitalized </w:t>
      </w:r>
      <w:r w:rsidR="001D2646">
        <w:t xml:space="preserve">for </w:t>
      </w:r>
      <w:r w:rsidR="00857612">
        <w:t>less</w:t>
      </w:r>
      <w:r w:rsidR="00D945C2">
        <w:t xml:space="preserve"> than </w:t>
      </w:r>
      <w:r w:rsidR="00F75B70">
        <w:t>one year</w:t>
      </w:r>
      <w:r w:rsidR="00D945C2">
        <w:t xml:space="preserve"> </w:t>
      </w:r>
      <w:r w:rsidR="00CC7C0B">
        <w:t>cons</w:t>
      </w:r>
      <w:r w:rsidR="00EC26DA">
        <w:t xml:space="preserve">istently and </w:t>
      </w:r>
      <w:r w:rsidR="002A452A">
        <w:t>substantially</w:t>
      </w:r>
      <w:r w:rsidR="00FC431D">
        <w:t xml:space="preserve"> increased over the last</w:t>
      </w:r>
      <w:r w:rsidR="00F75B70">
        <w:t xml:space="preserve"> </w:t>
      </w:r>
      <w:r w:rsidR="00AE3315">
        <w:t xml:space="preserve">several </w:t>
      </w:r>
      <w:r w:rsidR="00F75B70">
        <w:t>years</w:t>
      </w:r>
      <w:r w:rsidR="00F62993">
        <w:t>,</w:t>
      </w:r>
      <w:r w:rsidR="00F75B70">
        <w:t xml:space="preserve"> from 3</w:t>
      </w:r>
      <w:r w:rsidR="00FC431D">
        <w:t>5</w:t>
      </w:r>
      <w:r w:rsidR="00F75B70">
        <w:t xml:space="preserve">% in FY10 to </w:t>
      </w:r>
      <w:r w:rsidR="00FC431D">
        <w:t xml:space="preserve">44% </w:t>
      </w:r>
      <w:r w:rsidR="001C7E6E">
        <w:t xml:space="preserve">by the end of </w:t>
      </w:r>
      <w:r w:rsidR="00773EC7">
        <w:t>FY</w:t>
      </w:r>
      <w:r w:rsidR="001C7E6E">
        <w:t>13</w:t>
      </w:r>
      <w:r w:rsidR="003A66B3">
        <w:t xml:space="preserve"> and 49% by the end of FY14.  </w:t>
      </w:r>
      <w:r w:rsidR="00CD66CA">
        <w:t>In addition, t</w:t>
      </w:r>
      <w:r w:rsidR="00CD549E">
        <w:t xml:space="preserve">hose </w:t>
      </w:r>
      <w:r w:rsidR="00AE3315">
        <w:t xml:space="preserve">who had been </w:t>
      </w:r>
      <w:r w:rsidR="00CD549E">
        <w:t xml:space="preserve">staying </w:t>
      </w:r>
      <w:r w:rsidR="003A66B3">
        <w:t xml:space="preserve">between one year and two years noticeably increased </w:t>
      </w:r>
      <w:r w:rsidR="00857612">
        <w:t xml:space="preserve">in FY14 </w:t>
      </w:r>
      <w:r w:rsidR="00843C32">
        <w:t>while t</w:t>
      </w:r>
      <w:r w:rsidR="00065CA1">
        <w:t xml:space="preserve">hose </w:t>
      </w:r>
      <w:r w:rsidR="00AE3315">
        <w:t xml:space="preserve">with LOS of </w:t>
      </w:r>
      <w:r w:rsidR="00065CA1">
        <w:t>between 2 years and 4 years decrease</w:t>
      </w:r>
      <w:r w:rsidR="00CE0BD3">
        <w:t>d</w:t>
      </w:r>
      <w:r w:rsidR="001C7E6E">
        <w:t xml:space="preserve">.  </w:t>
      </w:r>
      <w:r w:rsidR="00313CEC">
        <w:t xml:space="preserve">This change </w:t>
      </w:r>
      <w:r w:rsidR="00CD66CA">
        <w:t xml:space="preserve">shortened </w:t>
      </w:r>
      <w:r w:rsidR="00065CA1">
        <w:t xml:space="preserve">the median LOS </w:t>
      </w:r>
      <w:r w:rsidR="00843C32">
        <w:t>(middle point)</w:t>
      </w:r>
      <w:r w:rsidR="002A452A">
        <w:t xml:space="preserve"> by more than a year (463 days)</w:t>
      </w:r>
      <w:r w:rsidR="00843C32">
        <w:t xml:space="preserve"> </w:t>
      </w:r>
      <w:r w:rsidR="00065CA1">
        <w:t xml:space="preserve">from </w:t>
      </w:r>
      <w:r w:rsidR="002A452A">
        <w:t>FY13 to FY14</w:t>
      </w:r>
      <w:r w:rsidR="00065CA1">
        <w:t>.</w:t>
      </w:r>
    </w:p>
    <w:p w:rsidR="00222728" w:rsidRDefault="00C5315E" w:rsidP="00A80446">
      <w:pPr>
        <w:pStyle w:val="KeyFindings"/>
      </w:pPr>
      <w:r>
        <w:t xml:space="preserve">The percentage of individuals who had been </w:t>
      </w:r>
      <w:r w:rsidR="001C7E6E">
        <w:t xml:space="preserve">staying </w:t>
      </w:r>
      <w:r>
        <w:t xml:space="preserve">for </w:t>
      </w:r>
      <w:r w:rsidR="001139D4">
        <w:t>10</w:t>
      </w:r>
      <w:r w:rsidR="001C7E6E">
        <w:t xml:space="preserve"> years or longer also</w:t>
      </w:r>
      <w:r w:rsidR="00213CB1">
        <w:t xml:space="preserve"> significantly</w:t>
      </w:r>
      <w:r w:rsidR="001C7E6E">
        <w:t xml:space="preserve"> d</w:t>
      </w:r>
      <w:r w:rsidR="002D27DF">
        <w:t>ecreased</w:t>
      </w:r>
      <w:r w:rsidR="001C7E6E">
        <w:t xml:space="preserve"> from 31% </w:t>
      </w:r>
      <w:r w:rsidR="001139D4">
        <w:t>in September 2011</w:t>
      </w:r>
      <w:r w:rsidR="001C7E6E">
        <w:t xml:space="preserve"> to 2</w:t>
      </w:r>
      <w:r w:rsidR="00065CA1">
        <w:t>3</w:t>
      </w:r>
      <w:r w:rsidR="001C7E6E">
        <w:t xml:space="preserve">% </w:t>
      </w:r>
      <w:r w:rsidR="001139D4">
        <w:t>in September 201</w:t>
      </w:r>
      <w:r w:rsidR="00065CA1">
        <w:t>4</w:t>
      </w:r>
      <w:r w:rsidR="001C7E6E">
        <w:t xml:space="preserve">.  </w:t>
      </w:r>
      <w:r w:rsidR="00193641">
        <w:t xml:space="preserve">This </w:t>
      </w:r>
      <w:r w:rsidR="003C2B7E">
        <w:t>reflects</w:t>
      </w:r>
      <w:r w:rsidR="001139D4">
        <w:t xml:space="preserve"> </w:t>
      </w:r>
      <w:r w:rsidR="002E0ED4">
        <w:t xml:space="preserve">the Hospital’s </w:t>
      </w:r>
      <w:r w:rsidR="00213CB1">
        <w:t>ongoing e</w:t>
      </w:r>
      <w:r w:rsidR="002E0ED4">
        <w:t>fforts to discharge long-term residents</w:t>
      </w:r>
      <w:r w:rsidR="001139D4">
        <w:t xml:space="preserve"> </w:t>
      </w:r>
      <w:r w:rsidR="002D27DF">
        <w:t>to the community</w:t>
      </w:r>
      <w:r w:rsidR="00065CA1">
        <w:t>.</w:t>
      </w:r>
      <w:bookmarkEnd w:id="152"/>
    </w:p>
    <w:p w:rsidR="003F5F5C" w:rsidRDefault="003F5F5C" w:rsidP="00BA3C8B">
      <w:pPr>
        <w:pStyle w:val="BodyText"/>
        <w:keepNext/>
        <w:spacing w:before="120"/>
        <w:ind w:left="900" w:hanging="900"/>
      </w:pPr>
      <w:bookmarkStart w:id="154" w:name="_Toc384134263"/>
      <w:bookmarkStart w:id="155" w:name="_Toc416357903"/>
      <w:r w:rsidRPr="00650386">
        <w:rPr>
          <w:rStyle w:val="FigureChar"/>
        </w:rPr>
        <w:t xml:space="preserve">Figure </w:t>
      </w:r>
      <w:r w:rsidRPr="00650386">
        <w:rPr>
          <w:rStyle w:val="FigureChar"/>
        </w:rPr>
        <w:fldChar w:fldCharType="begin"/>
      </w:r>
      <w:r w:rsidRPr="00650386">
        <w:rPr>
          <w:rStyle w:val="FigureChar"/>
        </w:rPr>
        <w:instrText xml:space="preserve"> SEQ Figure \* ARABIC </w:instrText>
      </w:r>
      <w:r w:rsidRPr="00650386">
        <w:rPr>
          <w:rStyle w:val="FigureChar"/>
        </w:rPr>
        <w:fldChar w:fldCharType="separate"/>
      </w:r>
      <w:r w:rsidR="007E3DB6">
        <w:rPr>
          <w:rStyle w:val="FigureChar"/>
          <w:noProof/>
        </w:rPr>
        <w:t>18</w:t>
      </w:r>
      <w:r w:rsidRPr="00650386">
        <w:rPr>
          <w:rStyle w:val="FigureChar"/>
        </w:rPr>
        <w:fldChar w:fldCharType="end"/>
      </w:r>
      <w:r>
        <w:rPr>
          <w:rStyle w:val="FigureChar"/>
        </w:rPr>
        <w:t xml:space="preserve">. </w:t>
      </w:r>
      <w:r w:rsidR="00E264DB">
        <w:rPr>
          <w:rStyle w:val="FigureChar"/>
        </w:rPr>
        <w:t xml:space="preserve">Percentage of </w:t>
      </w:r>
      <w:r>
        <w:rPr>
          <w:rStyle w:val="FigureChar"/>
        </w:rPr>
        <w:t>Individuals in Care</w:t>
      </w:r>
      <w:r w:rsidRPr="00F52DB1">
        <w:rPr>
          <w:rStyle w:val="FigureChar"/>
        </w:rPr>
        <w:t xml:space="preserve"> by Length of Stay (</w:t>
      </w:r>
      <w:r w:rsidR="00E264DB">
        <w:rPr>
          <w:rStyle w:val="FigureChar"/>
        </w:rPr>
        <w:t>0</w:t>
      </w:r>
      <w:r w:rsidR="00581DF2">
        <w:rPr>
          <w:rStyle w:val="FigureChar"/>
        </w:rPr>
        <w:t xml:space="preserve">9/30/10 ~ </w:t>
      </w:r>
      <w:r w:rsidR="00E264DB">
        <w:rPr>
          <w:rStyle w:val="FigureChar"/>
        </w:rPr>
        <w:t>0</w:t>
      </w:r>
      <w:r w:rsidR="00581DF2">
        <w:rPr>
          <w:rStyle w:val="FigureChar"/>
        </w:rPr>
        <w:t>9/30/1</w:t>
      </w:r>
      <w:r w:rsidR="0029019F">
        <w:rPr>
          <w:rStyle w:val="FigureChar"/>
        </w:rPr>
        <w:t>4</w:t>
      </w:r>
      <w:r w:rsidRPr="00F52DB1">
        <w:rPr>
          <w:rStyle w:val="FigureChar"/>
        </w:rPr>
        <w:t>)</w:t>
      </w:r>
      <w:bookmarkEnd w:id="154"/>
      <w:bookmarkEnd w:id="155"/>
    </w:p>
    <w:p w:rsidR="003F5F5C" w:rsidRPr="002A452A" w:rsidRDefault="00B319BB" w:rsidP="002A452A">
      <w:r>
        <w:rPr>
          <w:noProof/>
        </w:rPr>
        <w:drawing>
          <wp:inline distT="0" distB="0" distL="0" distR="0" wp14:anchorId="33B9878D" wp14:editId="6F920995">
            <wp:extent cx="6677025" cy="2790825"/>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bl>
      <w:tblPr>
        <w:tblpPr w:leftFromText="187" w:rightFromText="187" w:vertAnchor="text" w:horzAnchor="margin" w:tblpXSpec="right" w:tblpY="277"/>
        <w:tblOverlap w:val="never"/>
        <w:tblW w:w="5418" w:type="dxa"/>
        <w:tblLayout w:type="fixed"/>
        <w:tblLook w:val="04A0" w:firstRow="1" w:lastRow="0" w:firstColumn="1" w:lastColumn="0" w:noHBand="0" w:noVBand="1"/>
      </w:tblPr>
      <w:tblGrid>
        <w:gridCol w:w="5418"/>
      </w:tblGrid>
      <w:tr w:rsidR="003A3A85" w:rsidTr="00475878">
        <w:tc>
          <w:tcPr>
            <w:tcW w:w="5418" w:type="dxa"/>
          </w:tcPr>
          <w:p w:rsidR="003A3A85" w:rsidRDefault="003A3A85" w:rsidP="00D857C1">
            <w:pPr>
              <w:keepNext/>
              <w:spacing w:before="120"/>
              <w:ind w:left="900" w:hanging="900"/>
              <w:rPr>
                <w:rStyle w:val="FigureChar"/>
              </w:rPr>
            </w:pPr>
            <w:bookmarkStart w:id="156" w:name="_Toc416357904"/>
            <w:bookmarkStart w:id="157" w:name="_Toc384134265"/>
            <w:r w:rsidRPr="00650386">
              <w:rPr>
                <w:rStyle w:val="FigureChar"/>
              </w:rPr>
              <w:t xml:space="preserve">Figure </w:t>
            </w:r>
            <w:r w:rsidRPr="00650386">
              <w:rPr>
                <w:rStyle w:val="FigureChar"/>
              </w:rPr>
              <w:fldChar w:fldCharType="begin"/>
            </w:r>
            <w:r w:rsidRPr="00650386">
              <w:rPr>
                <w:rStyle w:val="FigureChar"/>
              </w:rPr>
              <w:instrText xml:space="preserve"> SEQ Figure \* ARABIC </w:instrText>
            </w:r>
            <w:r w:rsidRPr="00650386">
              <w:rPr>
                <w:rStyle w:val="FigureChar"/>
              </w:rPr>
              <w:fldChar w:fldCharType="separate"/>
            </w:r>
            <w:r w:rsidR="007E3DB6">
              <w:rPr>
                <w:rStyle w:val="FigureChar"/>
                <w:noProof/>
              </w:rPr>
              <w:t>19</w:t>
            </w:r>
            <w:r w:rsidRPr="00650386">
              <w:rPr>
                <w:rStyle w:val="FigureChar"/>
              </w:rPr>
              <w:fldChar w:fldCharType="end"/>
            </w:r>
            <w:r w:rsidRPr="00650386">
              <w:rPr>
                <w:rStyle w:val="FigureChar"/>
              </w:rPr>
              <w:t xml:space="preserve">. </w:t>
            </w:r>
            <w:r>
              <w:rPr>
                <w:rStyle w:val="FigureChar"/>
              </w:rPr>
              <w:t>Median LOS by Legal Status (09/30/14)</w:t>
            </w:r>
            <w:bookmarkEnd w:id="156"/>
            <w:r>
              <w:rPr>
                <w:rStyle w:val="FigureChar"/>
              </w:rPr>
              <w:t xml:space="preserve"> </w:t>
            </w:r>
          </w:p>
          <w:p w:rsidR="003A3A85" w:rsidRDefault="00475878" w:rsidP="00D857C1">
            <w:r>
              <w:rPr>
                <w:noProof/>
              </w:rPr>
              <w:drawing>
                <wp:inline distT="0" distB="0" distL="0" distR="0" wp14:anchorId="50867F68" wp14:editId="52D2905F">
                  <wp:extent cx="3581400" cy="32766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A3A85" w:rsidRPr="00D73C77" w:rsidRDefault="003A3A85" w:rsidP="00D857C1"/>
        </w:tc>
      </w:tr>
    </w:tbl>
    <w:p w:rsidR="00B90EE9" w:rsidRDefault="00424D06" w:rsidP="003F18B1">
      <w:pPr>
        <w:pStyle w:val="Heading2"/>
      </w:pPr>
      <w:bookmarkStart w:id="158" w:name="_Toc416357863"/>
      <w:r w:rsidRPr="00D760F8">
        <w:t xml:space="preserve">Length of Stay </w:t>
      </w:r>
      <w:r>
        <w:t>by Legal Status</w:t>
      </w:r>
      <w:bookmarkEnd w:id="157"/>
      <w:bookmarkEnd w:id="158"/>
    </w:p>
    <w:p w:rsidR="003A3A85" w:rsidRDefault="00F62993" w:rsidP="00A80446">
      <w:pPr>
        <w:pStyle w:val="KeyFindings"/>
      </w:pPr>
      <w:bookmarkStart w:id="159" w:name="_Toc384134266"/>
      <w:r>
        <w:t xml:space="preserve">The shortened </w:t>
      </w:r>
      <w:r w:rsidR="003A3A85">
        <w:t>LOS</w:t>
      </w:r>
      <w:r>
        <w:t xml:space="preserve"> for individuals remaining in care in FY1</w:t>
      </w:r>
      <w:r w:rsidR="00C54455">
        <w:t>4</w:t>
      </w:r>
      <w:r>
        <w:t xml:space="preserve"> was driven by </w:t>
      </w:r>
      <w:r w:rsidR="00A60F11">
        <w:t>the</w:t>
      </w:r>
      <w:r>
        <w:t xml:space="preserve"> </w:t>
      </w:r>
      <w:r w:rsidRPr="00A23AA2">
        <w:rPr>
          <w:i/>
        </w:rPr>
        <w:t>Civil</w:t>
      </w:r>
      <w:r>
        <w:t xml:space="preserve"> and </w:t>
      </w:r>
      <w:r w:rsidRPr="00A23AA2">
        <w:rPr>
          <w:i/>
        </w:rPr>
        <w:t>Forensic P</w:t>
      </w:r>
      <w:r w:rsidR="00C54455" w:rsidRPr="00A23AA2">
        <w:rPr>
          <w:i/>
        </w:rPr>
        <w:t>ost</w:t>
      </w:r>
      <w:r w:rsidRPr="00A23AA2">
        <w:rPr>
          <w:i/>
        </w:rPr>
        <w:t>-trial</w:t>
      </w:r>
      <w:r>
        <w:t xml:space="preserve"> population</w:t>
      </w:r>
      <w:r w:rsidR="00D857C1">
        <w:t xml:space="preserve">.  </w:t>
      </w:r>
      <w:r>
        <w:t>As of September 30, 2013, the median LOS of</w:t>
      </w:r>
      <w:r w:rsidR="0069227F">
        <w:t xml:space="preserve"> the</w:t>
      </w:r>
      <w:r>
        <w:t xml:space="preserve"> </w:t>
      </w:r>
      <w:r w:rsidRPr="00A23AA2">
        <w:rPr>
          <w:i/>
        </w:rPr>
        <w:t>Civil</w:t>
      </w:r>
      <w:r>
        <w:t xml:space="preserve"> population (112) and</w:t>
      </w:r>
      <w:r w:rsidR="006E60A9">
        <w:t xml:space="preserve"> the</w:t>
      </w:r>
      <w:r>
        <w:t xml:space="preserve"> </w:t>
      </w:r>
      <w:r w:rsidRPr="00A23AA2">
        <w:rPr>
          <w:i/>
        </w:rPr>
        <w:t>P</w:t>
      </w:r>
      <w:r w:rsidR="00A52B2A" w:rsidRPr="00A23AA2">
        <w:rPr>
          <w:i/>
        </w:rPr>
        <w:t>ost</w:t>
      </w:r>
      <w:r w:rsidRPr="00A23AA2">
        <w:rPr>
          <w:i/>
        </w:rPr>
        <w:t>-trial</w:t>
      </w:r>
      <w:r>
        <w:t xml:space="preserve"> population (57) was</w:t>
      </w:r>
      <w:r w:rsidR="00A52B2A">
        <w:t xml:space="preserve"> 779 days (approximately 25 months) and</w:t>
      </w:r>
      <w:r>
        <w:t xml:space="preserve"> </w:t>
      </w:r>
      <w:r w:rsidR="00A52B2A">
        <w:t>5</w:t>
      </w:r>
      <w:r w:rsidR="00C460D3">
        <w:t>,</w:t>
      </w:r>
      <w:r w:rsidR="00A52B2A">
        <w:t>081</w:t>
      </w:r>
      <w:r w:rsidR="00C460D3">
        <w:t xml:space="preserve"> </w:t>
      </w:r>
      <w:r>
        <w:t>days (</w:t>
      </w:r>
      <w:r w:rsidR="00A52B2A">
        <w:t>13 years and 11 month</w:t>
      </w:r>
      <w:r>
        <w:t>s), respectively.</w:t>
      </w:r>
      <w:r w:rsidR="00A52B2A">
        <w:t xml:space="preserve">  The median LOS on September 2014 decreased to 462 days (15 months) </w:t>
      </w:r>
      <w:r w:rsidR="009F639A">
        <w:t xml:space="preserve">for </w:t>
      </w:r>
      <w:r w:rsidR="0069227F">
        <w:t xml:space="preserve">the </w:t>
      </w:r>
      <w:r w:rsidR="009F639A" w:rsidRPr="009F639A">
        <w:rPr>
          <w:i/>
        </w:rPr>
        <w:t>Civil</w:t>
      </w:r>
      <w:r w:rsidR="009F639A">
        <w:t xml:space="preserve"> population </w:t>
      </w:r>
      <w:r w:rsidR="00A52B2A">
        <w:t xml:space="preserve">and </w:t>
      </w:r>
      <w:r w:rsidR="00C460D3">
        <w:t xml:space="preserve">to </w:t>
      </w:r>
      <w:r w:rsidR="00A52B2A">
        <w:t>4</w:t>
      </w:r>
      <w:r w:rsidR="00C460D3">
        <w:t>,</w:t>
      </w:r>
      <w:r w:rsidR="00A52B2A">
        <w:t>441 days (12 years and 2 months)</w:t>
      </w:r>
      <w:r w:rsidR="009F639A">
        <w:t xml:space="preserve"> for</w:t>
      </w:r>
      <w:r w:rsidR="006E60A9">
        <w:t xml:space="preserve"> the</w:t>
      </w:r>
      <w:r w:rsidR="009F639A">
        <w:t xml:space="preserve"> </w:t>
      </w:r>
      <w:r w:rsidR="009F639A" w:rsidRPr="009F639A">
        <w:rPr>
          <w:i/>
        </w:rPr>
        <w:t>Post-trial</w:t>
      </w:r>
      <w:r w:rsidR="009F639A">
        <w:t xml:space="preserve"> population</w:t>
      </w:r>
      <w:r w:rsidR="00A52B2A">
        <w:t>.</w:t>
      </w:r>
    </w:p>
    <w:p w:rsidR="00450D83" w:rsidRDefault="00273CD6" w:rsidP="00A80446">
      <w:pPr>
        <w:pStyle w:val="KeyFindings"/>
      </w:pPr>
      <w:r>
        <w:t>T</w:t>
      </w:r>
      <w:r w:rsidR="00A52B2A">
        <w:t xml:space="preserve">he median LOS for </w:t>
      </w:r>
      <w:r w:rsidR="00D33426">
        <w:t xml:space="preserve">the </w:t>
      </w:r>
      <w:r w:rsidR="009F639A" w:rsidRPr="009F639A">
        <w:rPr>
          <w:i/>
        </w:rPr>
        <w:t>P</w:t>
      </w:r>
      <w:r w:rsidR="00A52B2A" w:rsidRPr="009F639A">
        <w:rPr>
          <w:i/>
        </w:rPr>
        <w:t>re-trial</w:t>
      </w:r>
      <w:r w:rsidR="00A52B2A">
        <w:t xml:space="preserve"> </w:t>
      </w:r>
      <w:r w:rsidR="00C460D3">
        <w:t>population</w:t>
      </w:r>
      <w:r w:rsidR="00A52B2A">
        <w:t xml:space="preserve"> slightly increased from 46 days in September 2013 to 50 days </w:t>
      </w:r>
      <w:r w:rsidR="009F639A">
        <w:t>in</w:t>
      </w:r>
      <w:r w:rsidR="00A52B2A">
        <w:t xml:space="preserve"> September 2014.</w:t>
      </w:r>
      <w:bookmarkEnd w:id="159"/>
      <w:r>
        <w:t xml:space="preserve"> It should be noted</w:t>
      </w:r>
      <w:r w:rsidR="00C460D3">
        <w:t xml:space="preserve"> that</w:t>
      </w:r>
      <w:r>
        <w:t xml:space="preserve"> </w:t>
      </w:r>
      <w:r w:rsidR="00360CBF">
        <w:t>the number</w:t>
      </w:r>
      <w:r>
        <w:t xml:space="preserve"> and proportion</w:t>
      </w:r>
      <w:r w:rsidR="00360CBF">
        <w:t xml:space="preserve"> of </w:t>
      </w:r>
      <w:r w:rsidR="00C460D3">
        <w:t xml:space="preserve">the </w:t>
      </w:r>
      <w:r w:rsidR="009C150E" w:rsidRPr="009C150E">
        <w:rPr>
          <w:i/>
        </w:rPr>
        <w:t>P</w:t>
      </w:r>
      <w:r w:rsidR="00360CBF" w:rsidRPr="009C150E">
        <w:rPr>
          <w:i/>
        </w:rPr>
        <w:t>re-trial</w:t>
      </w:r>
      <w:r w:rsidR="00360CBF">
        <w:t xml:space="preserve"> population </w:t>
      </w:r>
      <w:r>
        <w:t>noticeably increased</w:t>
      </w:r>
      <w:r w:rsidR="002A3790">
        <w:t xml:space="preserve"> in FY14</w:t>
      </w:r>
      <w:r>
        <w:t xml:space="preserve">, contributing to a lower median LOS </w:t>
      </w:r>
      <w:r w:rsidR="002A3790">
        <w:t xml:space="preserve">of the overall population </w:t>
      </w:r>
      <w:r w:rsidR="00C460D3">
        <w:t xml:space="preserve">because </w:t>
      </w:r>
      <w:r w:rsidR="009C150E">
        <w:t xml:space="preserve">the </w:t>
      </w:r>
      <w:r w:rsidR="009C150E" w:rsidRPr="009C150E">
        <w:rPr>
          <w:i/>
        </w:rPr>
        <w:t>P</w:t>
      </w:r>
      <w:r w:rsidRPr="009C150E">
        <w:rPr>
          <w:i/>
        </w:rPr>
        <w:t>re-trial</w:t>
      </w:r>
      <w:r>
        <w:t xml:space="preserve"> population </w:t>
      </w:r>
      <w:r w:rsidR="00360CBF">
        <w:t>tend</w:t>
      </w:r>
      <w:r w:rsidR="00C460D3">
        <w:t>s</w:t>
      </w:r>
      <w:r w:rsidR="00360CBF">
        <w:t xml:space="preserve"> to have much shorter </w:t>
      </w:r>
      <w:r w:rsidR="00C05301">
        <w:t>LOS</w:t>
      </w:r>
      <w:r w:rsidR="00360CBF">
        <w:t xml:space="preserve"> than </w:t>
      </w:r>
      <w:r w:rsidR="00C460D3">
        <w:t xml:space="preserve">the </w:t>
      </w:r>
      <w:r w:rsidR="00C460D3" w:rsidRPr="00C460D3">
        <w:rPr>
          <w:i/>
        </w:rPr>
        <w:t>Civil</w:t>
      </w:r>
      <w:r w:rsidR="00C460D3">
        <w:t xml:space="preserve"> and </w:t>
      </w:r>
      <w:r w:rsidR="00C460D3" w:rsidRPr="00C460D3">
        <w:rPr>
          <w:i/>
        </w:rPr>
        <w:t>Post-trial</w:t>
      </w:r>
      <w:r w:rsidR="00C460D3">
        <w:t xml:space="preserve"> population</w:t>
      </w:r>
      <w:r w:rsidR="00360CBF">
        <w:t xml:space="preserve">.  </w:t>
      </w:r>
      <w:r w:rsidR="00C460D3">
        <w:t xml:space="preserve">Particularly, </w:t>
      </w:r>
      <w:r w:rsidR="00FD5521">
        <w:t>the number and percentage of</w:t>
      </w:r>
      <w:r>
        <w:t xml:space="preserve"> </w:t>
      </w:r>
      <w:r w:rsidR="00C460D3">
        <w:t xml:space="preserve">the </w:t>
      </w:r>
      <w:r w:rsidR="009C150E" w:rsidRPr="009C150E">
        <w:rPr>
          <w:i/>
        </w:rPr>
        <w:t>P</w:t>
      </w:r>
      <w:r w:rsidRPr="009C150E">
        <w:rPr>
          <w:i/>
        </w:rPr>
        <w:t>ost-trial</w:t>
      </w:r>
      <w:r>
        <w:t xml:space="preserve"> </w:t>
      </w:r>
      <w:r w:rsidR="00C460D3">
        <w:t>population</w:t>
      </w:r>
      <w:r w:rsidR="00C05301">
        <w:t>,</w:t>
      </w:r>
      <w:r>
        <w:t xml:space="preserve"> who tend</w:t>
      </w:r>
      <w:r w:rsidR="00C460D3">
        <w:t>s</w:t>
      </w:r>
      <w:r>
        <w:t xml:space="preserve"> to have much longer LOS</w:t>
      </w:r>
      <w:r w:rsidR="00FD5521">
        <w:t>,</w:t>
      </w:r>
      <w:r>
        <w:t xml:space="preserve"> noticeably decreased, also contributing to the reduced median LOS.</w:t>
      </w:r>
      <w:r w:rsidR="00450D83" w:rsidRPr="00707C14">
        <w:t xml:space="preserve"> </w:t>
      </w:r>
    </w:p>
    <w:tbl>
      <w:tblPr>
        <w:tblpPr w:leftFromText="180" w:rightFromText="180" w:vertAnchor="text" w:horzAnchor="page" w:tblpX="5383" w:tblpY="211"/>
        <w:tblW w:w="0" w:type="auto"/>
        <w:tblLayout w:type="fixed"/>
        <w:tblLook w:val="04A0" w:firstRow="1" w:lastRow="0" w:firstColumn="1" w:lastColumn="0" w:noHBand="0" w:noVBand="1"/>
      </w:tblPr>
      <w:tblGrid>
        <w:gridCol w:w="6318"/>
      </w:tblGrid>
      <w:tr w:rsidR="009224CF" w:rsidTr="009224CF">
        <w:tc>
          <w:tcPr>
            <w:tcW w:w="6318" w:type="dxa"/>
          </w:tcPr>
          <w:p w:rsidR="009224CF" w:rsidRDefault="009224CF" w:rsidP="009224CF">
            <w:pPr>
              <w:spacing w:before="120"/>
              <w:ind w:left="900" w:hanging="900"/>
            </w:pPr>
            <w:bookmarkStart w:id="160" w:name="_Toc416357905"/>
            <w:bookmarkStart w:id="161" w:name="_Toc384134269"/>
            <w:bookmarkStart w:id="162" w:name="_Ref349632418"/>
            <w:bookmarkStart w:id="163" w:name="_Ref349632430"/>
            <w:r w:rsidRPr="00650386">
              <w:rPr>
                <w:rStyle w:val="FigureChar"/>
              </w:rPr>
              <w:t xml:space="preserve">Figure </w:t>
            </w:r>
            <w:r w:rsidRPr="00650386">
              <w:rPr>
                <w:rStyle w:val="FigureChar"/>
              </w:rPr>
              <w:fldChar w:fldCharType="begin"/>
            </w:r>
            <w:r w:rsidRPr="00650386">
              <w:rPr>
                <w:rStyle w:val="FigureChar"/>
              </w:rPr>
              <w:instrText xml:space="preserve"> SEQ Figure \* ARABIC </w:instrText>
            </w:r>
            <w:r w:rsidRPr="00650386">
              <w:rPr>
                <w:rStyle w:val="FigureChar"/>
              </w:rPr>
              <w:fldChar w:fldCharType="separate"/>
            </w:r>
            <w:r w:rsidR="007E3DB6">
              <w:rPr>
                <w:rStyle w:val="FigureChar"/>
                <w:noProof/>
              </w:rPr>
              <w:t>20</w:t>
            </w:r>
            <w:r w:rsidRPr="00650386">
              <w:rPr>
                <w:rStyle w:val="FigureChar"/>
              </w:rPr>
              <w:fldChar w:fldCharType="end"/>
            </w:r>
            <w:r w:rsidRPr="00650386">
              <w:rPr>
                <w:rStyle w:val="FigureChar"/>
              </w:rPr>
              <w:t xml:space="preserve">. </w:t>
            </w:r>
            <w:r>
              <w:rPr>
                <w:rStyle w:val="FigureChar"/>
              </w:rPr>
              <w:t>LOS by Gender and Legal Status (09/30/14</w:t>
            </w:r>
            <w:r w:rsidRPr="00650386">
              <w:rPr>
                <w:rStyle w:val="FigureChar"/>
              </w:rPr>
              <w:t>)</w:t>
            </w:r>
            <w:bookmarkEnd w:id="160"/>
          </w:p>
          <w:p w:rsidR="009224CF" w:rsidRDefault="009224CF" w:rsidP="009224CF">
            <w:r>
              <w:rPr>
                <w:noProof/>
              </w:rPr>
              <w:drawing>
                <wp:inline distT="0" distB="0" distL="0" distR="0" wp14:anchorId="72F97350" wp14:editId="66C9A5FE">
                  <wp:extent cx="3781425" cy="2390775"/>
                  <wp:effectExtent l="0" t="0" r="0" b="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bl>
    <w:p w:rsidR="00F07A9F" w:rsidRDefault="00F07A9F" w:rsidP="003F18B1">
      <w:pPr>
        <w:pStyle w:val="Heading2"/>
      </w:pPr>
      <w:bookmarkStart w:id="164" w:name="_Toc416357864"/>
      <w:r w:rsidRPr="00D760F8">
        <w:t xml:space="preserve">Length of Stay </w:t>
      </w:r>
      <w:r>
        <w:t>by Gender</w:t>
      </w:r>
      <w:bookmarkEnd w:id="161"/>
      <w:bookmarkEnd w:id="164"/>
    </w:p>
    <w:p w:rsidR="00F07A9F" w:rsidRDefault="00B61C61" w:rsidP="00A80446">
      <w:pPr>
        <w:pStyle w:val="KeyFindings"/>
      </w:pPr>
      <w:bookmarkStart w:id="165" w:name="_Toc384134270"/>
      <w:r>
        <w:t>Overall</w:t>
      </w:r>
      <w:r w:rsidR="002D27DF">
        <w:t>,</w:t>
      </w:r>
      <w:r>
        <w:t xml:space="preserve"> m</w:t>
      </w:r>
      <w:r w:rsidR="00F07A9F" w:rsidRPr="00264B12">
        <w:t>ale</w:t>
      </w:r>
      <w:r w:rsidR="00F07A9F">
        <w:t>s are likely to stay at</w:t>
      </w:r>
      <w:r w:rsidR="00F07A9F" w:rsidRPr="00264B12">
        <w:t xml:space="preserve"> the Hospital </w:t>
      </w:r>
      <w:r w:rsidR="00F07A9F">
        <w:t>much</w:t>
      </w:r>
      <w:r w:rsidR="00F07A9F" w:rsidRPr="00264B12">
        <w:t xml:space="preserve"> longer</w:t>
      </w:r>
      <w:r w:rsidR="00F07A9F">
        <w:t xml:space="preserve"> </w:t>
      </w:r>
      <w:r w:rsidR="00F07A9F" w:rsidRPr="00264B12">
        <w:t>than female</w:t>
      </w:r>
      <w:r w:rsidR="00F07A9F">
        <w:t>s</w:t>
      </w:r>
      <w:r w:rsidR="00F07A9F" w:rsidRPr="00264B12">
        <w:t xml:space="preserve">.  </w:t>
      </w:r>
      <w:r w:rsidR="00F07A9F">
        <w:t>The median LOS of male</w:t>
      </w:r>
      <w:r w:rsidR="00D56A28">
        <w:t xml:space="preserve"> individual</w:t>
      </w:r>
      <w:r w:rsidR="00F07A9F">
        <w:t>s in care on September 30, 201</w:t>
      </w:r>
      <w:r w:rsidR="00CD3F32">
        <w:t>4</w:t>
      </w:r>
      <w:r w:rsidR="00F07A9F">
        <w:t xml:space="preserve"> was </w:t>
      </w:r>
      <w:r w:rsidR="00CD3F32">
        <w:t>542</w:t>
      </w:r>
      <w:r w:rsidR="00F07A9F">
        <w:t xml:space="preserve"> days (</w:t>
      </w:r>
      <w:r w:rsidR="00CD3F32">
        <w:t>18 months</w:t>
      </w:r>
      <w:r w:rsidR="00F07A9F">
        <w:t>)</w:t>
      </w:r>
      <w:r w:rsidR="00D56A28">
        <w:t>,</w:t>
      </w:r>
      <w:r w:rsidR="00F07A9F">
        <w:t xml:space="preserve"> whereas that of females was </w:t>
      </w:r>
      <w:r w:rsidR="00CD3F32">
        <w:t>238</w:t>
      </w:r>
      <w:r w:rsidR="00F07A9F">
        <w:t xml:space="preserve"> days (</w:t>
      </w:r>
      <w:r w:rsidR="00CD3F32">
        <w:t>8</w:t>
      </w:r>
      <w:r w:rsidR="007A585A">
        <w:t xml:space="preserve"> months</w:t>
      </w:r>
      <w:r w:rsidR="00F07A9F">
        <w:t>).  The large gap</w:t>
      </w:r>
      <w:r w:rsidR="00C460D3">
        <w:t xml:space="preserve"> of LOS</w:t>
      </w:r>
      <w:r w:rsidR="00F07A9F">
        <w:t xml:space="preserve"> between female</w:t>
      </w:r>
      <w:r w:rsidR="0018359E">
        <w:t>s</w:t>
      </w:r>
      <w:r w:rsidR="00F07A9F">
        <w:t xml:space="preserve"> and male</w:t>
      </w:r>
      <w:r w:rsidR="0018359E">
        <w:t>s</w:t>
      </w:r>
      <w:r w:rsidR="00C406EF">
        <w:t xml:space="preserve"> </w:t>
      </w:r>
      <w:r w:rsidR="00D56A28">
        <w:t>i</w:t>
      </w:r>
      <w:r w:rsidR="00C406EF">
        <w:t xml:space="preserve">s more </w:t>
      </w:r>
      <w:r w:rsidR="00C460D3">
        <w:t>evident</w:t>
      </w:r>
      <w:r w:rsidR="00C406EF">
        <w:t xml:space="preserve"> among </w:t>
      </w:r>
      <w:r w:rsidR="00A2708A">
        <w:t>the</w:t>
      </w:r>
      <w:r w:rsidR="00833254">
        <w:t xml:space="preserve"> </w:t>
      </w:r>
      <w:r w:rsidR="009A0093">
        <w:rPr>
          <w:i/>
        </w:rPr>
        <w:t>P</w:t>
      </w:r>
      <w:r w:rsidR="00833254" w:rsidRPr="009A0093">
        <w:rPr>
          <w:i/>
        </w:rPr>
        <w:t>ost-trial</w:t>
      </w:r>
      <w:r w:rsidR="00833254">
        <w:t xml:space="preserve"> population,</w:t>
      </w:r>
      <w:r w:rsidR="00BC77C0">
        <w:t xml:space="preserve"> which </w:t>
      </w:r>
      <w:r w:rsidR="00F6253E">
        <w:t>ha</w:t>
      </w:r>
      <w:r w:rsidR="00D56A28">
        <w:t>s</w:t>
      </w:r>
      <w:r w:rsidR="00F6253E">
        <w:t xml:space="preserve"> a</w:t>
      </w:r>
      <w:r w:rsidR="001E63B5">
        <w:t xml:space="preserve"> much longer LOS</w:t>
      </w:r>
      <w:r w:rsidR="00465B41">
        <w:t xml:space="preserve"> </w:t>
      </w:r>
      <w:r w:rsidR="0002346F">
        <w:t xml:space="preserve">than </w:t>
      </w:r>
      <w:r w:rsidR="00F868B9">
        <w:t xml:space="preserve">any </w:t>
      </w:r>
      <w:r w:rsidR="0002346F">
        <w:t>other legal status group</w:t>
      </w:r>
      <w:r w:rsidR="00C460D3">
        <w:t>s</w:t>
      </w:r>
      <w:r w:rsidR="00D56A28">
        <w:t>,</w:t>
      </w:r>
      <w:r w:rsidR="0002346F">
        <w:t xml:space="preserve"> </w:t>
      </w:r>
      <w:r w:rsidR="00465B41">
        <w:t>and 9</w:t>
      </w:r>
      <w:r w:rsidR="0002346F">
        <w:t>3</w:t>
      </w:r>
      <w:r w:rsidR="00465B41">
        <w:t>%</w:t>
      </w:r>
      <w:r w:rsidR="001E63B5">
        <w:t xml:space="preserve"> of the</w:t>
      </w:r>
      <w:r w:rsidR="00D56A28">
        <w:t xml:space="preserve"> </w:t>
      </w:r>
      <w:r w:rsidR="00D56A28" w:rsidRPr="00D56A28">
        <w:rPr>
          <w:i/>
        </w:rPr>
        <w:t>Pos</w:t>
      </w:r>
      <w:r w:rsidR="00D56A28">
        <w:rPr>
          <w:i/>
        </w:rPr>
        <w:t>t-</w:t>
      </w:r>
      <w:r w:rsidR="00D56A28" w:rsidRPr="00D56A28">
        <w:rPr>
          <w:i/>
        </w:rPr>
        <w:t>trial</w:t>
      </w:r>
      <w:r w:rsidR="00D56A28">
        <w:t xml:space="preserve"> population</w:t>
      </w:r>
      <w:r w:rsidR="00465B41">
        <w:t xml:space="preserve"> </w:t>
      </w:r>
      <w:r w:rsidR="00D56A28">
        <w:t>is</w:t>
      </w:r>
      <w:r w:rsidR="00465B41">
        <w:t xml:space="preserve"> </w:t>
      </w:r>
      <w:r w:rsidR="009C47CA">
        <w:t>mal</w:t>
      </w:r>
      <w:r w:rsidR="001E63B5">
        <w:t>e</w:t>
      </w:r>
      <w:r w:rsidR="009C47CA">
        <w:t>.</w:t>
      </w:r>
      <w:r w:rsidR="00D5466C">
        <w:t xml:space="preserve"> </w:t>
      </w:r>
      <w:r w:rsidR="009C47CA">
        <w:t xml:space="preserve"> </w:t>
      </w:r>
      <w:r w:rsidR="00C460D3">
        <w:t>E</w:t>
      </w:r>
      <w:r w:rsidR="00F6253E">
        <w:t>ven among the</w:t>
      </w:r>
      <w:r w:rsidR="00F07A9F">
        <w:t xml:space="preserve"> </w:t>
      </w:r>
      <w:r w:rsidR="001E63B5" w:rsidRPr="001E63B5">
        <w:rPr>
          <w:i/>
        </w:rPr>
        <w:t>C</w:t>
      </w:r>
      <w:r w:rsidR="00586CC5" w:rsidRPr="001E63B5">
        <w:rPr>
          <w:i/>
        </w:rPr>
        <w:t>ivil</w:t>
      </w:r>
      <w:r w:rsidR="00586CC5">
        <w:t xml:space="preserve"> population, </w:t>
      </w:r>
      <w:r w:rsidR="001E63B5">
        <w:t>where</w:t>
      </w:r>
      <w:r w:rsidR="00586CC5">
        <w:t xml:space="preserve"> </w:t>
      </w:r>
      <w:r w:rsidR="001310F1">
        <w:t>women constitute more than half (55%)</w:t>
      </w:r>
      <w:r w:rsidR="002D27DF">
        <w:t>,</w:t>
      </w:r>
      <w:r w:rsidR="00F07A9F">
        <w:t xml:space="preserve"> males tend to </w:t>
      </w:r>
      <w:r w:rsidR="00586CC5">
        <w:t xml:space="preserve">have been in care </w:t>
      </w:r>
      <w:r w:rsidR="00D5466C">
        <w:t xml:space="preserve">significantly </w:t>
      </w:r>
      <w:r w:rsidR="00F07A9F">
        <w:t>longer than</w:t>
      </w:r>
      <w:r w:rsidR="00D5466C">
        <w:t xml:space="preserve"> </w:t>
      </w:r>
      <w:r w:rsidR="00F07A9F">
        <w:t>females</w:t>
      </w:r>
      <w:r w:rsidR="00D5466C">
        <w:t>;</w:t>
      </w:r>
      <w:r w:rsidR="00204717">
        <w:t xml:space="preserve"> the </w:t>
      </w:r>
      <w:r w:rsidR="00D5466C">
        <w:t>median LOS for female</w:t>
      </w:r>
      <w:r w:rsidR="00204717">
        <w:t>s</w:t>
      </w:r>
      <w:r w:rsidR="00D5466C">
        <w:t xml:space="preserve"> and male</w:t>
      </w:r>
      <w:r w:rsidR="00204717">
        <w:t>s of</w:t>
      </w:r>
      <w:r w:rsidR="00F6253E">
        <w:t xml:space="preserve"> the</w:t>
      </w:r>
      <w:r w:rsidR="00204717">
        <w:t xml:space="preserve"> </w:t>
      </w:r>
      <w:r w:rsidR="00204717" w:rsidRPr="00204717">
        <w:rPr>
          <w:i/>
        </w:rPr>
        <w:t>Civil</w:t>
      </w:r>
      <w:r w:rsidR="00204717">
        <w:t xml:space="preserve"> population</w:t>
      </w:r>
      <w:r w:rsidR="00D5466C">
        <w:t xml:space="preserve"> was </w:t>
      </w:r>
      <w:r w:rsidR="00CD3F32">
        <w:t>385 days (</w:t>
      </w:r>
      <w:r w:rsidR="00D5466C">
        <w:t>1</w:t>
      </w:r>
      <w:r w:rsidR="00C460D3">
        <w:t>2</w:t>
      </w:r>
      <w:r w:rsidR="00D5466C">
        <w:t xml:space="preserve"> months</w:t>
      </w:r>
      <w:r w:rsidR="00CD3F32">
        <w:t>)</w:t>
      </w:r>
      <w:r w:rsidR="00D5466C">
        <w:t xml:space="preserve"> and </w:t>
      </w:r>
      <w:r w:rsidR="00CD3F32">
        <w:t>513 days (17</w:t>
      </w:r>
      <w:r w:rsidR="00D5466C">
        <w:t xml:space="preserve"> months</w:t>
      </w:r>
      <w:r w:rsidR="00CD3F32">
        <w:t>)</w:t>
      </w:r>
      <w:r w:rsidR="00D5466C">
        <w:t>, respectively.</w:t>
      </w:r>
      <w:bookmarkEnd w:id="165"/>
      <w:r w:rsidR="00D5466C">
        <w:t xml:space="preserve"> </w:t>
      </w:r>
    </w:p>
    <w:p w:rsidR="00F62056" w:rsidRPr="00D760F8" w:rsidRDefault="00F62056" w:rsidP="003F18B1">
      <w:pPr>
        <w:pStyle w:val="Heading2"/>
      </w:pPr>
      <w:bookmarkStart w:id="166" w:name="_Toc384134271"/>
      <w:bookmarkStart w:id="167" w:name="_Toc416357865"/>
      <w:r w:rsidRPr="00D760F8">
        <w:t xml:space="preserve">Length of Stay </w:t>
      </w:r>
      <w:r>
        <w:t>by Admission Cohort</w:t>
      </w:r>
      <w:bookmarkEnd w:id="162"/>
      <w:bookmarkEnd w:id="163"/>
      <w:bookmarkEnd w:id="166"/>
      <w:bookmarkEnd w:id="167"/>
    </w:p>
    <w:p w:rsidR="00544160" w:rsidRDefault="00ED2AF1" w:rsidP="00DD56EC">
      <w:pPr>
        <w:pStyle w:val="KeyFindings"/>
      </w:pPr>
      <w:bookmarkStart w:id="168" w:name="_Toc384134272"/>
      <w:r w:rsidRPr="00264B12">
        <w:t xml:space="preserve">The length of stay </w:t>
      </w:r>
      <w:r>
        <w:t>data for individuals remaining in care provides a snap shot o</w:t>
      </w:r>
      <w:r w:rsidR="00014299">
        <w:t>f</w:t>
      </w:r>
      <w:r>
        <w:t xml:space="preserve"> the current population in care</w:t>
      </w:r>
      <w:r w:rsidR="00447F98">
        <w:t xml:space="preserve"> and </w:t>
      </w:r>
      <w:r w:rsidR="00204717">
        <w:t xml:space="preserve">it is </w:t>
      </w:r>
      <w:r w:rsidR="00F6253E">
        <w:t xml:space="preserve">largely </w:t>
      </w:r>
      <w:r w:rsidR="0003524D">
        <w:t>influenced by the volume of admissions and discharges</w:t>
      </w:r>
      <w:r w:rsidR="000A2AE9">
        <w:t xml:space="preserve"> right before </w:t>
      </w:r>
      <w:r w:rsidR="00544160">
        <w:t xml:space="preserve">each </w:t>
      </w:r>
      <w:r w:rsidR="000A2AE9">
        <w:t>measure</w:t>
      </w:r>
      <w:r w:rsidR="00330F9D">
        <w:t>.  For example,</w:t>
      </w:r>
      <w:r w:rsidR="00447F98">
        <w:t xml:space="preserve"> if the number of recent admissions increase</w:t>
      </w:r>
      <w:r w:rsidR="00DE34D2">
        <w:t>d</w:t>
      </w:r>
      <w:r w:rsidR="00447F98">
        <w:t xml:space="preserve"> and</w:t>
      </w:r>
      <w:r w:rsidR="00330F9D">
        <w:t>/or recent discharge included more of</w:t>
      </w:r>
      <w:r w:rsidR="00447F98">
        <w:t xml:space="preserve"> </w:t>
      </w:r>
      <w:r w:rsidR="00330F9D">
        <w:t xml:space="preserve">long-term residents than </w:t>
      </w:r>
      <w:r w:rsidR="00D56A28">
        <w:t>before</w:t>
      </w:r>
      <w:r w:rsidR="00447F98">
        <w:t xml:space="preserve">, the LOS of individuals remaining in care would be </w:t>
      </w:r>
      <w:r w:rsidR="00DE34D2">
        <w:t xml:space="preserve">shorter than before. </w:t>
      </w:r>
      <w:r w:rsidR="00330F9D">
        <w:t xml:space="preserve"> But that would not necessarily represent </w:t>
      </w:r>
      <w:r w:rsidR="00DE34D2">
        <w:t xml:space="preserve">the trend of </w:t>
      </w:r>
      <w:r w:rsidR="00544160">
        <w:t xml:space="preserve">LOS for </w:t>
      </w:r>
      <w:r w:rsidR="00DE34D2">
        <w:t>a majority of the population we serve</w:t>
      </w:r>
      <w:r w:rsidR="00330F9D">
        <w:t>d</w:t>
      </w:r>
      <w:r w:rsidR="00204717">
        <w:t xml:space="preserve">. </w:t>
      </w:r>
      <w:r w:rsidR="00447F98">
        <w:t xml:space="preserve"> </w:t>
      </w:r>
      <w:r w:rsidR="00544160">
        <w:t xml:space="preserve">Analysis of LOS by admission cohort allows us to </w:t>
      </w:r>
      <w:r w:rsidR="00014299">
        <w:t>assess the trend</w:t>
      </w:r>
      <w:r w:rsidR="00330F9D">
        <w:t>,</w:t>
      </w:r>
      <w:r w:rsidR="0018359E">
        <w:t xml:space="preserve"> </w:t>
      </w:r>
      <w:r w:rsidR="00330F9D">
        <w:t xml:space="preserve">such as </w:t>
      </w:r>
      <w:r w:rsidR="00014299">
        <w:t>reduction or increase of LOS</w:t>
      </w:r>
      <w:r w:rsidR="00330F9D">
        <w:t>,</w:t>
      </w:r>
      <w:r w:rsidR="00544160">
        <w:t xml:space="preserve"> </w:t>
      </w:r>
      <w:r w:rsidR="00330F9D">
        <w:t xml:space="preserve">in a more </w:t>
      </w:r>
      <w:r w:rsidR="00D56A28">
        <w:t xml:space="preserve">consistent and </w:t>
      </w:r>
      <w:r w:rsidR="00330F9D">
        <w:t xml:space="preserve">comprehensive perspective.  </w:t>
      </w:r>
      <w:r w:rsidR="00F868B9">
        <w:t>Thus, w</w:t>
      </w:r>
      <w:r w:rsidR="00204717">
        <w:t>e reviewed t</w:t>
      </w:r>
      <w:r>
        <w:t xml:space="preserve">he </w:t>
      </w:r>
      <w:r w:rsidR="00014299">
        <w:t xml:space="preserve">LOS </w:t>
      </w:r>
      <w:r>
        <w:t xml:space="preserve">data </w:t>
      </w:r>
      <w:r w:rsidR="00447F98">
        <w:t xml:space="preserve">for </w:t>
      </w:r>
      <w:r w:rsidR="00330F9D">
        <w:t xml:space="preserve">individuals </w:t>
      </w:r>
      <w:r w:rsidR="00447F98">
        <w:t>admitted between FY12 and FY14</w:t>
      </w:r>
      <w:bookmarkEnd w:id="168"/>
      <w:r w:rsidR="00720383">
        <w:rPr>
          <w:rStyle w:val="FootnoteReference"/>
        </w:rPr>
        <w:footnoteReference w:id="8"/>
      </w:r>
      <w:r w:rsidR="00250DC9">
        <w:t xml:space="preserve">, </w:t>
      </w:r>
      <w:r w:rsidR="00544160">
        <w:t xml:space="preserve">from </w:t>
      </w:r>
      <w:r w:rsidR="00D56A28">
        <w:t xml:space="preserve">the point of </w:t>
      </w:r>
      <w:r w:rsidR="00544160">
        <w:t xml:space="preserve">admissions to </w:t>
      </w:r>
      <w:r w:rsidR="00D56A28">
        <w:t xml:space="preserve">the point of </w:t>
      </w:r>
      <w:r w:rsidR="00544160">
        <w:t>discharges</w:t>
      </w:r>
      <w:r w:rsidR="00D56A28">
        <w:t xml:space="preserve"> within a given time frame</w:t>
      </w:r>
      <w:r w:rsidR="00330F9D">
        <w:t xml:space="preserve">, finding </w:t>
      </w:r>
      <w:r w:rsidR="00511CF1">
        <w:t xml:space="preserve">that </w:t>
      </w:r>
      <w:r w:rsidR="00250DC9">
        <w:t>LOS of IICs admitted in FY14 was longer than that of IICs admitted in FY13</w:t>
      </w:r>
      <w:r w:rsidR="00B56C84">
        <w:t xml:space="preserve">, which </w:t>
      </w:r>
      <w:r w:rsidR="00250DC9">
        <w:t>look</w:t>
      </w:r>
      <w:r w:rsidR="00B56C84">
        <w:t>s</w:t>
      </w:r>
      <w:r w:rsidR="00250DC9">
        <w:t xml:space="preserve"> contradictory to the trend of LOS for individuals remaining in care.</w:t>
      </w:r>
    </w:p>
    <w:p w:rsidR="00DD56EC" w:rsidRDefault="00544160" w:rsidP="00DD56EC">
      <w:pPr>
        <w:pStyle w:val="KeyFindings"/>
      </w:pPr>
      <w:bookmarkStart w:id="169" w:name="_Toc384134273"/>
      <w:r>
        <w:t>A</w:t>
      </w:r>
      <w:r w:rsidR="007F4078">
        <w:t xml:space="preserve">bout two </w:t>
      </w:r>
      <w:r w:rsidR="00DD56EC">
        <w:t xml:space="preserve">out of </w:t>
      </w:r>
      <w:r w:rsidR="007F4078">
        <w:t xml:space="preserve">three </w:t>
      </w:r>
      <w:r w:rsidR="00DD56EC">
        <w:t xml:space="preserve">individuals admitted to the Hospital over the past </w:t>
      </w:r>
      <w:r w:rsidR="007F4078">
        <w:t xml:space="preserve">three </w:t>
      </w:r>
      <w:r w:rsidR="00DD56EC">
        <w:t xml:space="preserve">years were discharged within </w:t>
      </w:r>
      <w:r w:rsidR="007F4078">
        <w:t>9</w:t>
      </w:r>
      <w:r w:rsidR="00DD56EC">
        <w:t>0 days from admission and half of admissions were discharged within 60 days from admission.</w:t>
      </w:r>
      <w:bookmarkEnd w:id="169"/>
      <w:r w:rsidR="00DD56EC">
        <w:t xml:space="preserve"> </w:t>
      </w:r>
    </w:p>
    <w:p w:rsidR="009224CF" w:rsidRDefault="009F1F3C" w:rsidP="009224CF">
      <w:pPr>
        <w:pStyle w:val="KeyFindings"/>
      </w:pPr>
      <w:bookmarkStart w:id="170" w:name="_Toc384134274"/>
      <w:r>
        <w:t xml:space="preserve">Overall, </w:t>
      </w:r>
      <w:r w:rsidR="00250DC9">
        <w:t xml:space="preserve">individuals admitted in </w:t>
      </w:r>
      <w:r>
        <w:t xml:space="preserve">FY14 </w:t>
      </w:r>
      <w:r w:rsidR="00250DC9">
        <w:t>stayed in care longer than those admitted in FY1</w:t>
      </w:r>
      <w:r w:rsidR="00746B02">
        <w:t>3</w:t>
      </w:r>
      <w:r>
        <w:t xml:space="preserve">.  </w:t>
      </w:r>
      <w:r w:rsidR="00C579F6">
        <w:t xml:space="preserve">The percentage of individuals discharged within 90 days from admission decreased </w:t>
      </w:r>
      <w:r w:rsidR="004A72DE">
        <w:t>f</w:t>
      </w:r>
      <w:r w:rsidR="00C579F6">
        <w:t>rom 70% in FY13</w:t>
      </w:r>
      <w:r w:rsidR="004A72DE">
        <w:t xml:space="preserve"> to 66% in FY14</w:t>
      </w:r>
      <w:r w:rsidR="00C579F6">
        <w:t xml:space="preserve">. </w:t>
      </w:r>
      <w:r w:rsidR="004A72DE">
        <w:t xml:space="preserve">Those discharged within 60 days </w:t>
      </w:r>
      <w:r w:rsidR="001F5AC4">
        <w:t xml:space="preserve">and 30 days, respectively, </w:t>
      </w:r>
      <w:r w:rsidR="004A72DE">
        <w:t xml:space="preserve">decreased from 56% to 49% and from </w:t>
      </w:r>
      <w:r w:rsidR="005E1F7F">
        <w:t>2</w:t>
      </w:r>
      <w:r w:rsidR="004A72DE">
        <w:t xml:space="preserve">9% to 19%. </w:t>
      </w:r>
      <w:r w:rsidR="00D517FF">
        <w:t xml:space="preserve"> </w:t>
      </w:r>
      <w:r w:rsidR="001F5AC4">
        <w:t xml:space="preserve">The major group </w:t>
      </w:r>
      <w:r w:rsidR="005E1F7F">
        <w:t>that presented</w:t>
      </w:r>
      <w:r w:rsidR="001F5AC4">
        <w:t xml:space="preserve"> </w:t>
      </w:r>
      <w:r w:rsidR="00D517FF">
        <w:t xml:space="preserve">prolonged </w:t>
      </w:r>
      <w:r w:rsidR="005E1F7F">
        <w:t>LOS</w:t>
      </w:r>
      <w:r w:rsidR="00D517FF">
        <w:t xml:space="preserve"> </w:t>
      </w:r>
      <w:r w:rsidR="005E1F7F">
        <w:t xml:space="preserve">among </w:t>
      </w:r>
      <w:r w:rsidR="001F5AC4">
        <w:t xml:space="preserve">FY14 </w:t>
      </w:r>
      <w:r w:rsidR="005E1F7F">
        <w:t xml:space="preserve">admissions </w:t>
      </w:r>
      <w:r w:rsidR="001F5AC4">
        <w:t>is</w:t>
      </w:r>
      <w:r w:rsidR="00B56C84">
        <w:t xml:space="preserve"> the</w:t>
      </w:r>
      <w:r w:rsidR="001F5AC4">
        <w:t xml:space="preserve"> </w:t>
      </w:r>
      <w:r w:rsidR="004A72DE" w:rsidRPr="009224CF">
        <w:rPr>
          <w:i/>
        </w:rPr>
        <w:t xml:space="preserve">Civil </w:t>
      </w:r>
      <w:r w:rsidR="005E1F7F">
        <w:t>population</w:t>
      </w:r>
      <w:r w:rsidR="00896684">
        <w:t>: a</w:t>
      </w:r>
      <w:r w:rsidR="00C579F6">
        <w:t>t least 77</w:t>
      </w:r>
      <w:r w:rsidR="00DD56EC">
        <w:t xml:space="preserve">% of </w:t>
      </w:r>
      <w:r w:rsidR="00DD56EC" w:rsidRPr="009224CF">
        <w:rPr>
          <w:i/>
        </w:rPr>
        <w:t>Civil</w:t>
      </w:r>
      <w:r w:rsidR="00DD56EC">
        <w:t xml:space="preserve"> admissions </w:t>
      </w:r>
      <w:r>
        <w:t>had been</w:t>
      </w:r>
      <w:r w:rsidR="00DD56EC">
        <w:t xml:space="preserve"> discharged within 90 days </w:t>
      </w:r>
      <w:r w:rsidR="005E1F7F">
        <w:t xml:space="preserve">in FY12 and </w:t>
      </w:r>
      <w:r w:rsidR="00C579F6">
        <w:t>FY13</w:t>
      </w:r>
      <w:r w:rsidR="00B56C84">
        <w:t>,</w:t>
      </w:r>
      <w:r w:rsidR="00C579F6">
        <w:t xml:space="preserve"> but th</w:t>
      </w:r>
      <w:r w:rsidR="00896684">
        <w:t xml:space="preserve">eir 90-day discharge rate </w:t>
      </w:r>
      <w:r w:rsidR="00C579F6">
        <w:t xml:space="preserve">dropped </w:t>
      </w:r>
      <w:r w:rsidR="00F2111D">
        <w:t>to 68%</w:t>
      </w:r>
      <w:r w:rsidR="00C579F6">
        <w:t xml:space="preserve"> in FY14</w:t>
      </w:r>
      <w:r w:rsidR="00DD56EC">
        <w:t>.</w:t>
      </w:r>
      <w:r>
        <w:t xml:space="preserve"> </w:t>
      </w:r>
      <w:r w:rsidR="00F2111D">
        <w:t>T</w:t>
      </w:r>
      <w:r w:rsidR="00DD56EC">
        <w:t>he 60</w:t>
      </w:r>
      <w:r w:rsidR="00896684">
        <w:t>-</w:t>
      </w:r>
      <w:r w:rsidR="00DD56EC">
        <w:t>day</w:t>
      </w:r>
      <w:r w:rsidR="00896684">
        <w:t xml:space="preserve"> discharge rate for th</w:t>
      </w:r>
      <w:r w:rsidR="00B56C84">
        <w:t xml:space="preserve">e </w:t>
      </w:r>
      <w:r w:rsidR="00B56C84" w:rsidRPr="00B56C84">
        <w:rPr>
          <w:i/>
        </w:rPr>
        <w:t>Civil</w:t>
      </w:r>
      <w:r w:rsidR="00B56C84">
        <w:t xml:space="preserve"> admission </w:t>
      </w:r>
      <w:r w:rsidR="00896684">
        <w:t>group</w:t>
      </w:r>
      <w:r w:rsidR="00DD56EC">
        <w:t xml:space="preserve"> </w:t>
      </w:r>
      <w:r w:rsidR="00896684">
        <w:t xml:space="preserve">also </w:t>
      </w:r>
      <w:r w:rsidR="00F2111D">
        <w:t xml:space="preserve">dropped </w:t>
      </w:r>
      <w:r w:rsidR="00DD56EC">
        <w:t xml:space="preserve">from </w:t>
      </w:r>
      <w:r w:rsidR="00F2111D">
        <w:t>70</w:t>
      </w:r>
      <w:r w:rsidR="00DD56EC">
        <w:t>% in FY1</w:t>
      </w:r>
      <w:r w:rsidR="00F2111D">
        <w:t>3</w:t>
      </w:r>
      <w:r w:rsidR="00DD56EC">
        <w:t xml:space="preserve"> to </w:t>
      </w:r>
      <w:r w:rsidR="00F2111D">
        <w:t>54</w:t>
      </w:r>
      <w:r w:rsidR="00DD56EC">
        <w:t>% in FY1</w:t>
      </w:r>
      <w:r w:rsidR="00F2111D">
        <w:t xml:space="preserve">4 and </w:t>
      </w:r>
      <w:r w:rsidR="00896684">
        <w:t xml:space="preserve">the 30-day discharge rate </w:t>
      </w:r>
      <w:r w:rsidR="00F2111D">
        <w:t>dropped from 45% to 31%</w:t>
      </w:r>
      <w:bookmarkEnd w:id="170"/>
      <w:r w:rsidR="00B56C84">
        <w:t xml:space="preserve">.  </w:t>
      </w:r>
      <w:r>
        <w:t>This is the reason why the proportion of</w:t>
      </w:r>
      <w:r w:rsidR="0069227F">
        <w:t xml:space="preserve"> the</w:t>
      </w:r>
      <w:r>
        <w:t xml:space="preserve"> </w:t>
      </w:r>
      <w:r w:rsidRPr="009224CF">
        <w:rPr>
          <w:i/>
        </w:rPr>
        <w:t>Civil</w:t>
      </w:r>
      <w:r>
        <w:t xml:space="preserve"> population remained high despite a noticeabl</w:t>
      </w:r>
      <w:r w:rsidR="00B56C84">
        <w:t>e</w:t>
      </w:r>
      <w:r>
        <w:t xml:space="preserve"> decline in the number of </w:t>
      </w:r>
      <w:r w:rsidRPr="009224CF">
        <w:rPr>
          <w:i/>
        </w:rPr>
        <w:t>Civil</w:t>
      </w:r>
      <w:r>
        <w:t xml:space="preserve"> admissions.</w:t>
      </w:r>
      <w:r w:rsidR="009224CF">
        <w:t xml:space="preserve">  </w:t>
      </w:r>
      <w:bookmarkStart w:id="171" w:name="_Toc384134275"/>
      <w:r w:rsidR="009224CF">
        <w:t xml:space="preserve">In contrast, the percentage of discharges within 90 days among </w:t>
      </w:r>
      <w:r w:rsidR="009224CF" w:rsidRPr="009224CF">
        <w:rPr>
          <w:i/>
        </w:rPr>
        <w:t>Pre-trial</w:t>
      </w:r>
      <w:r w:rsidR="009224CF">
        <w:t xml:space="preserve"> admissions increased from 57% in FY12 to 66% in FY13 and 69% in FY14.  The 60-day discharge rate for th</w:t>
      </w:r>
      <w:r w:rsidR="00B56C84">
        <w:t xml:space="preserve">e </w:t>
      </w:r>
      <w:r w:rsidR="00B56C84" w:rsidRPr="00B56C84">
        <w:rPr>
          <w:i/>
        </w:rPr>
        <w:t>Pre-trial</w:t>
      </w:r>
      <w:r w:rsidR="00B56C84">
        <w:t xml:space="preserve"> admission group </w:t>
      </w:r>
      <w:r w:rsidR="009224CF">
        <w:t>also increased from 36% in FY12 to 46% in FY13 and 50% in FY14.  The</w:t>
      </w:r>
      <w:r w:rsidR="00B56C84">
        <w:t>ir</w:t>
      </w:r>
      <w:r w:rsidR="009224CF">
        <w:t xml:space="preserve"> 30-day discharge rate </w:t>
      </w:r>
      <w:r w:rsidR="002C205B">
        <w:t xml:space="preserve">for this group </w:t>
      </w:r>
      <w:r w:rsidR="009224CF">
        <w:t xml:space="preserve">declined </w:t>
      </w:r>
      <w:r w:rsidR="00B56C84">
        <w:t xml:space="preserve">marginally </w:t>
      </w:r>
      <w:r w:rsidR="009224CF">
        <w:t>in FY14.</w:t>
      </w:r>
      <w:bookmarkEnd w:id="171"/>
    </w:p>
    <w:p w:rsidR="006815E0" w:rsidRDefault="00DD56EC" w:rsidP="00A80446">
      <w:pPr>
        <w:pStyle w:val="KeyFindings"/>
      </w:pPr>
      <w:bookmarkStart w:id="172" w:name="_Toc384134276"/>
      <w:r>
        <w:t xml:space="preserve">Individuals with a </w:t>
      </w:r>
      <w:r w:rsidR="00DB21E8" w:rsidRPr="00DB21E8">
        <w:t>p</w:t>
      </w:r>
      <w:r w:rsidRPr="00DB21E8">
        <w:t>ost-trial</w:t>
      </w:r>
      <w:r>
        <w:t xml:space="preserve"> legal status, once they are admitted, tend to stay hospitalized much longer than those with a </w:t>
      </w:r>
      <w:r w:rsidR="0082527C">
        <w:t>c</w:t>
      </w:r>
      <w:r w:rsidRPr="0082527C">
        <w:t>ivil</w:t>
      </w:r>
      <w:r>
        <w:t xml:space="preserve"> or </w:t>
      </w:r>
      <w:r w:rsidR="0082527C">
        <w:t>p</w:t>
      </w:r>
      <w:r w:rsidRPr="0082527C">
        <w:t>re-trial</w:t>
      </w:r>
      <w:r>
        <w:t xml:space="preserve"> legal status.  During FY1</w:t>
      </w:r>
      <w:r w:rsidR="00C579F6">
        <w:t>4</w:t>
      </w:r>
      <w:r w:rsidR="00C75EC2">
        <w:t>, only 22</w:t>
      </w:r>
      <w:r>
        <w:t xml:space="preserve">% of </w:t>
      </w:r>
      <w:r w:rsidRPr="00281B70">
        <w:rPr>
          <w:i/>
        </w:rPr>
        <w:t>Post-trial</w:t>
      </w:r>
      <w:r>
        <w:t xml:space="preserve"> admissions were discharged</w:t>
      </w:r>
      <w:r w:rsidR="00281B70">
        <w:t xml:space="preserve"> </w:t>
      </w:r>
      <w:r>
        <w:t xml:space="preserve">within </w:t>
      </w:r>
      <w:r w:rsidR="0082527C">
        <w:t>three (</w:t>
      </w:r>
      <w:r w:rsidR="00C75EC2">
        <w:t>3</w:t>
      </w:r>
      <w:r w:rsidR="0082527C">
        <w:t>)</w:t>
      </w:r>
      <w:r>
        <w:t xml:space="preserve"> months.  </w:t>
      </w:r>
      <w:r w:rsidR="009E7F6C">
        <w:t>It should be noted, ho</w:t>
      </w:r>
      <w:r>
        <w:t xml:space="preserve">wever, </w:t>
      </w:r>
      <w:r w:rsidR="009E7F6C">
        <w:t xml:space="preserve">that </w:t>
      </w:r>
      <w:r>
        <w:t xml:space="preserve">the number of the </w:t>
      </w:r>
      <w:r w:rsidR="0082527C" w:rsidRPr="0082527C">
        <w:rPr>
          <w:i/>
        </w:rPr>
        <w:t>P</w:t>
      </w:r>
      <w:r w:rsidRPr="0082527C">
        <w:rPr>
          <w:i/>
        </w:rPr>
        <w:t>ost-trial</w:t>
      </w:r>
      <w:r>
        <w:t xml:space="preserve"> admissions is </w:t>
      </w:r>
      <w:r w:rsidR="009E7F6C">
        <w:t xml:space="preserve">relatively </w:t>
      </w:r>
      <w:r>
        <w:t xml:space="preserve">very small </w:t>
      </w:r>
      <w:r w:rsidR="00C579F6">
        <w:t xml:space="preserve">and a few outliers can easily skew the trend.  Also, their discharges are </w:t>
      </w:r>
      <w:r w:rsidR="00E96A64">
        <w:t xml:space="preserve">often </w:t>
      </w:r>
      <w:r w:rsidR="00C579F6">
        <w:t xml:space="preserve">driven by the Court order </w:t>
      </w:r>
      <w:bookmarkEnd w:id="172"/>
      <w:r w:rsidR="00C579F6">
        <w:t>rather than the actual clinical status and community resources.</w:t>
      </w:r>
    </w:p>
    <w:p w:rsidR="00AC605F" w:rsidRDefault="00281B70" w:rsidP="00281B70">
      <w:pPr>
        <w:pStyle w:val="KeyFindings"/>
        <w:numPr>
          <w:ilvl w:val="0"/>
          <w:numId w:val="0"/>
        </w:numPr>
        <w:ind w:left="288" w:hanging="288"/>
      </w:pPr>
      <w:bookmarkStart w:id="173" w:name="_Toc416357906"/>
      <w:r w:rsidRPr="00650386">
        <w:rPr>
          <w:rStyle w:val="FigureChar"/>
        </w:rPr>
        <w:t xml:space="preserve">Figure </w:t>
      </w:r>
      <w:r w:rsidRPr="00650386">
        <w:rPr>
          <w:rStyle w:val="FigureChar"/>
        </w:rPr>
        <w:fldChar w:fldCharType="begin"/>
      </w:r>
      <w:r w:rsidRPr="00650386">
        <w:rPr>
          <w:rStyle w:val="FigureChar"/>
        </w:rPr>
        <w:instrText xml:space="preserve"> SEQ Figure \* ARABIC </w:instrText>
      </w:r>
      <w:r w:rsidRPr="00650386">
        <w:rPr>
          <w:rStyle w:val="FigureChar"/>
        </w:rPr>
        <w:fldChar w:fldCharType="separate"/>
      </w:r>
      <w:r w:rsidR="007E3DB6">
        <w:rPr>
          <w:rStyle w:val="FigureChar"/>
          <w:noProof/>
        </w:rPr>
        <w:t>21</w:t>
      </w:r>
      <w:r w:rsidRPr="00650386">
        <w:rPr>
          <w:rStyle w:val="FigureChar"/>
        </w:rPr>
        <w:fldChar w:fldCharType="end"/>
      </w:r>
      <w:r w:rsidRPr="00650386">
        <w:rPr>
          <w:rStyle w:val="FigureChar"/>
        </w:rPr>
        <w:t xml:space="preserve">. </w:t>
      </w:r>
      <w:r>
        <w:rPr>
          <w:rStyle w:val="FigureChar"/>
        </w:rPr>
        <w:t>LOS by Admission Legal Status (FY12 ~ FY14</w:t>
      </w:r>
      <w:r w:rsidRPr="00650386">
        <w:rPr>
          <w:rStyle w:val="FigureChar"/>
        </w:rPr>
        <w:t>)</w:t>
      </w:r>
      <w:bookmarkEnd w:id="173"/>
    </w:p>
    <w:p w:rsidR="00281B70" w:rsidRDefault="00281B70" w:rsidP="00281B70">
      <w:pPr>
        <w:pStyle w:val="KeyFindings"/>
        <w:numPr>
          <w:ilvl w:val="0"/>
          <w:numId w:val="0"/>
        </w:numPr>
        <w:ind w:left="288" w:hanging="288"/>
      </w:pPr>
      <w:r>
        <w:rPr>
          <w:noProof/>
          <w:lang w:eastAsia="en-US"/>
        </w:rPr>
        <w:drawing>
          <wp:inline distT="0" distB="0" distL="0" distR="0" wp14:anchorId="60F1EAB2" wp14:editId="3BC59E4F">
            <wp:extent cx="6515100" cy="260985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A7796" w:rsidRPr="00D760F8" w:rsidRDefault="00DA7796" w:rsidP="003F18B1">
      <w:pPr>
        <w:pStyle w:val="Heading2"/>
      </w:pPr>
      <w:bookmarkStart w:id="174" w:name="_Toc384134277"/>
      <w:bookmarkStart w:id="175" w:name="_Toc416357866"/>
      <w:r w:rsidRPr="00D760F8">
        <w:t>Length of Stay of Discharged Population</w:t>
      </w:r>
      <w:bookmarkEnd w:id="174"/>
      <w:bookmarkEnd w:id="175"/>
    </w:p>
    <w:p w:rsidR="00430209" w:rsidRDefault="004F23D1" w:rsidP="00A80446">
      <w:pPr>
        <w:pStyle w:val="KeyFindings"/>
      </w:pPr>
      <w:bookmarkStart w:id="176" w:name="_Toc384134278"/>
      <w:r w:rsidRPr="00264B12">
        <w:t xml:space="preserve">The </w:t>
      </w:r>
      <w:r>
        <w:t>LOS</w:t>
      </w:r>
      <w:r w:rsidRPr="00264B12">
        <w:t xml:space="preserve"> </w:t>
      </w:r>
      <w:r>
        <w:t>measured for the discharged population i</w:t>
      </w:r>
      <w:r w:rsidRPr="00264B12">
        <w:t xml:space="preserve">s </w:t>
      </w:r>
      <w:r>
        <w:t>significantly</w:t>
      </w:r>
      <w:r w:rsidRPr="00264B12">
        <w:t xml:space="preserve"> shorter than the LOS </w:t>
      </w:r>
      <w:r>
        <w:t>measured for</w:t>
      </w:r>
      <w:r w:rsidRPr="00264B12">
        <w:t xml:space="preserve"> those remaining in </w:t>
      </w:r>
      <w:r>
        <w:t xml:space="preserve">care at </w:t>
      </w:r>
      <w:r w:rsidRPr="00264B12">
        <w:t>the Hospital</w:t>
      </w:r>
      <w:r w:rsidR="00750E04">
        <w:t xml:space="preserve"> </w:t>
      </w:r>
      <w:r w:rsidR="002A4747">
        <w:t>because</w:t>
      </w:r>
      <w:r w:rsidR="00750E04">
        <w:t xml:space="preserve"> many of the </w:t>
      </w:r>
      <w:r w:rsidR="00750E04" w:rsidRPr="00750E04">
        <w:rPr>
          <w:i/>
        </w:rPr>
        <w:t>Post-trial</w:t>
      </w:r>
      <w:r w:rsidR="00750E04">
        <w:t xml:space="preserve"> long-term residents are more likely to remain in care, extending the </w:t>
      </w:r>
      <w:r w:rsidR="002A4747">
        <w:t xml:space="preserve">overall </w:t>
      </w:r>
      <w:r w:rsidR="00750E04">
        <w:t xml:space="preserve">LOS of </w:t>
      </w:r>
      <w:r w:rsidR="002A4747">
        <w:t xml:space="preserve">individuals </w:t>
      </w:r>
      <w:r w:rsidR="00750E04">
        <w:t>remaining in care.</w:t>
      </w:r>
      <w:r w:rsidR="001C428B">
        <w:t xml:space="preserve">  </w:t>
      </w:r>
      <w:r w:rsidR="00750E04">
        <w:t>Th</w:t>
      </w:r>
      <w:r w:rsidR="002A4747">
        <w:t>erefore</w:t>
      </w:r>
      <w:r w:rsidR="00750E04">
        <w:t xml:space="preserve">, </w:t>
      </w:r>
      <w:r w:rsidR="00CA4334">
        <w:t>the LOS of the discharged population</w:t>
      </w:r>
      <w:r w:rsidR="001C428B">
        <w:t xml:space="preserve"> does not represent the LOS </w:t>
      </w:r>
      <w:r w:rsidR="00750E04">
        <w:t xml:space="preserve">of the overall population but </w:t>
      </w:r>
      <w:r w:rsidR="00CA4334">
        <w:t xml:space="preserve">just </w:t>
      </w:r>
      <w:r w:rsidR="002A4747">
        <w:t xml:space="preserve">explains </w:t>
      </w:r>
      <w:r w:rsidR="00750E04">
        <w:t xml:space="preserve">characteristics of </w:t>
      </w:r>
      <w:r w:rsidR="002A4747">
        <w:t xml:space="preserve">individuals </w:t>
      </w:r>
      <w:r w:rsidR="00750E04">
        <w:t xml:space="preserve">getting discharged.  </w:t>
      </w:r>
      <w:r w:rsidR="002A4747">
        <w:t>While t</w:t>
      </w:r>
      <w:r w:rsidR="005C4C3E">
        <w:t>he median LOS of the</w:t>
      </w:r>
      <w:r w:rsidR="00750E04">
        <w:t xml:space="preserve"> 278</w:t>
      </w:r>
      <w:r w:rsidR="005C4C3E">
        <w:t xml:space="preserve"> </w:t>
      </w:r>
      <w:r w:rsidR="00E60C24">
        <w:t>individuals</w:t>
      </w:r>
      <w:r w:rsidR="005C4C3E">
        <w:t xml:space="preserve"> remaining </w:t>
      </w:r>
      <w:r w:rsidR="00E60C24">
        <w:t xml:space="preserve">in care </w:t>
      </w:r>
      <w:r w:rsidR="005C4C3E">
        <w:t>at the end of FY1</w:t>
      </w:r>
      <w:r w:rsidR="006849E5">
        <w:t>4</w:t>
      </w:r>
      <w:r w:rsidR="00CB1692">
        <w:t xml:space="preserve"> </w:t>
      </w:r>
      <w:r w:rsidR="0032008E">
        <w:t>wa</w:t>
      </w:r>
      <w:r w:rsidR="005C4C3E">
        <w:t xml:space="preserve">s </w:t>
      </w:r>
      <w:r>
        <w:t>394</w:t>
      </w:r>
      <w:r w:rsidR="008B2231">
        <w:t xml:space="preserve"> </w:t>
      </w:r>
      <w:r w:rsidR="00B2786F">
        <w:t>days</w:t>
      </w:r>
      <w:r w:rsidR="00750E04">
        <w:t>,</w:t>
      </w:r>
      <w:r w:rsidR="00B2786F">
        <w:t xml:space="preserve"> </w:t>
      </w:r>
      <w:r w:rsidR="00F40233">
        <w:t>the median LOS</w:t>
      </w:r>
      <w:r w:rsidR="005C4C3E">
        <w:t xml:space="preserve"> of </w:t>
      </w:r>
      <w:r w:rsidR="00F40233">
        <w:t>th</w:t>
      </w:r>
      <w:r w:rsidR="00EC583F">
        <w:t>e 4</w:t>
      </w:r>
      <w:r w:rsidR="008B2231">
        <w:t>29</w:t>
      </w:r>
      <w:r w:rsidR="00EC583F">
        <w:t xml:space="preserve"> individuals </w:t>
      </w:r>
      <w:r w:rsidR="00F40233">
        <w:t xml:space="preserve">who </w:t>
      </w:r>
      <w:r w:rsidR="00EC583F">
        <w:t>were</w:t>
      </w:r>
      <w:r w:rsidR="00F40233">
        <w:t xml:space="preserve"> </w:t>
      </w:r>
      <w:r w:rsidR="005C4C3E">
        <w:t>discharge</w:t>
      </w:r>
      <w:r w:rsidR="002E50B2">
        <w:t>d</w:t>
      </w:r>
      <w:r w:rsidR="005C4C3E">
        <w:t xml:space="preserve"> during FY1</w:t>
      </w:r>
      <w:r>
        <w:t>4</w:t>
      </w:r>
      <w:r w:rsidR="002E50B2">
        <w:t xml:space="preserve"> </w:t>
      </w:r>
      <w:r w:rsidR="00F40233">
        <w:t>was</w:t>
      </w:r>
      <w:r w:rsidR="002E50B2">
        <w:t xml:space="preserve"> </w:t>
      </w:r>
      <w:r w:rsidR="008B2231">
        <w:t>5</w:t>
      </w:r>
      <w:r>
        <w:t>8</w:t>
      </w:r>
      <w:r w:rsidR="0054063D">
        <w:t xml:space="preserve"> days</w:t>
      </w:r>
      <w:r w:rsidR="00EA598E">
        <w:t>.</w:t>
      </w:r>
      <w:bookmarkEnd w:id="176"/>
      <w:r>
        <w:t xml:space="preserve">  This is a slight increase from LOS</w:t>
      </w:r>
      <w:r w:rsidR="00750E04">
        <w:t xml:space="preserve"> of</w:t>
      </w:r>
      <w:r>
        <w:t xml:space="preserve"> </w:t>
      </w:r>
      <w:r w:rsidR="002A4747">
        <w:t xml:space="preserve">the </w:t>
      </w:r>
      <w:r>
        <w:t>discharge</w:t>
      </w:r>
      <w:r w:rsidR="00750E04">
        <w:t xml:space="preserve"> population</w:t>
      </w:r>
      <w:r>
        <w:t xml:space="preserve"> in FY13 (55 days). </w:t>
      </w:r>
    </w:p>
    <w:p w:rsidR="00430209" w:rsidRDefault="00430209" w:rsidP="00430209">
      <w:pPr>
        <w:keepNext/>
        <w:spacing w:before="120"/>
        <w:ind w:left="900" w:hanging="900"/>
        <w:rPr>
          <w:rStyle w:val="FigureChar"/>
        </w:rPr>
      </w:pPr>
      <w:bookmarkStart w:id="177" w:name="_Toc416357965"/>
      <w:r w:rsidRPr="00650386">
        <w:rPr>
          <w:rStyle w:val="FigureChar"/>
        </w:rPr>
        <w:t xml:space="preserve">Table </w:t>
      </w:r>
      <w:r w:rsidR="002C054E" w:rsidRPr="00650386">
        <w:rPr>
          <w:rStyle w:val="FigureChar"/>
        </w:rPr>
        <w:fldChar w:fldCharType="begin"/>
      </w:r>
      <w:r w:rsidRPr="00650386">
        <w:rPr>
          <w:rStyle w:val="FigureChar"/>
        </w:rPr>
        <w:instrText xml:space="preserve"> SEQ Table \* ARABIC </w:instrText>
      </w:r>
      <w:r w:rsidR="002C054E" w:rsidRPr="00650386">
        <w:rPr>
          <w:rStyle w:val="FigureChar"/>
        </w:rPr>
        <w:fldChar w:fldCharType="separate"/>
      </w:r>
      <w:r w:rsidR="007E3DB6">
        <w:rPr>
          <w:rStyle w:val="FigureChar"/>
          <w:noProof/>
        </w:rPr>
        <w:t>12</w:t>
      </w:r>
      <w:r w:rsidR="002C054E" w:rsidRPr="00650386">
        <w:rPr>
          <w:rStyle w:val="FigureChar"/>
        </w:rPr>
        <w:fldChar w:fldCharType="end"/>
      </w:r>
      <w:r w:rsidRPr="00650386">
        <w:rPr>
          <w:rStyle w:val="FigureChar"/>
        </w:rPr>
        <w:t xml:space="preserve">. </w:t>
      </w:r>
      <w:r w:rsidR="00D81B82">
        <w:rPr>
          <w:rStyle w:val="FigureChar"/>
        </w:rPr>
        <w:t xml:space="preserve">LOS at Discharge by Legal Status </w:t>
      </w:r>
      <w:r>
        <w:rPr>
          <w:rStyle w:val="FigureChar"/>
        </w:rPr>
        <w:t>(FY1</w:t>
      </w:r>
      <w:r w:rsidR="00C47DF7">
        <w:rPr>
          <w:rStyle w:val="FigureChar"/>
        </w:rPr>
        <w:t>2</w:t>
      </w:r>
      <w:r w:rsidR="00D81B82">
        <w:rPr>
          <w:rStyle w:val="FigureChar"/>
        </w:rPr>
        <w:t xml:space="preserve"> </w:t>
      </w:r>
      <w:r w:rsidR="00CA45F5">
        <w:rPr>
          <w:rStyle w:val="FigureChar"/>
        </w:rPr>
        <w:t>~</w:t>
      </w:r>
      <w:r w:rsidR="00D81B82">
        <w:rPr>
          <w:rStyle w:val="FigureChar"/>
        </w:rPr>
        <w:t xml:space="preserve"> </w:t>
      </w:r>
      <w:r w:rsidR="00CA45F5">
        <w:rPr>
          <w:rStyle w:val="FigureChar"/>
        </w:rPr>
        <w:t>FY1</w:t>
      </w:r>
      <w:r w:rsidR="00C47DF7">
        <w:rPr>
          <w:rStyle w:val="FigureChar"/>
        </w:rPr>
        <w:t>4</w:t>
      </w:r>
      <w:r>
        <w:rPr>
          <w:rStyle w:val="FigureChar"/>
        </w:rPr>
        <w:t>)</w:t>
      </w:r>
      <w:bookmarkEnd w:id="177"/>
    </w:p>
    <w:tbl>
      <w:tblPr>
        <w:tblW w:w="10379"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929"/>
        <w:gridCol w:w="540"/>
        <w:gridCol w:w="540"/>
        <w:gridCol w:w="540"/>
        <w:gridCol w:w="810"/>
        <w:gridCol w:w="810"/>
        <w:gridCol w:w="810"/>
        <w:gridCol w:w="930"/>
        <w:gridCol w:w="930"/>
        <w:gridCol w:w="930"/>
        <w:gridCol w:w="870"/>
        <w:gridCol w:w="870"/>
        <w:gridCol w:w="870"/>
      </w:tblGrid>
      <w:tr w:rsidR="00C1269B" w:rsidRPr="00F7115E" w:rsidTr="00CA45F5">
        <w:trPr>
          <w:trHeight w:val="80"/>
        </w:trPr>
        <w:tc>
          <w:tcPr>
            <w:tcW w:w="929" w:type="dxa"/>
            <w:vMerge w:val="restart"/>
            <w:tcBorders>
              <w:right w:val="single" w:sz="4" w:space="0" w:color="4F81BD" w:themeColor="accent1"/>
            </w:tcBorders>
            <w:shd w:val="clear" w:color="auto" w:fill="C6D9F1" w:themeFill="text2" w:themeFillTint="33"/>
            <w:vAlign w:val="center"/>
          </w:tcPr>
          <w:p w:rsidR="00C1269B" w:rsidRDefault="00C1269B" w:rsidP="00AA73F5">
            <w:pPr>
              <w:rPr>
                <w:rFonts w:cs="Arial"/>
                <w:b/>
                <w:bCs/>
                <w:color w:val="1F497D"/>
                <w:sz w:val="20"/>
              </w:rPr>
            </w:pPr>
            <w:r>
              <w:rPr>
                <w:rFonts w:cs="Arial"/>
                <w:b/>
                <w:bCs/>
                <w:color w:val="1F497D"/>
                <w:sz w:val="20"/>
              </w:rPr>
              <w:t> </w:t>
            </w:r>
          </w:p>
        </w:tc>
        <w:tc>
          <w:tcPr>
            <w:tcW w:w="1620"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C6D9F1" w:themeFill="text2" w:themeFillTint="33"/>
            <w:vAlign w:val="center"/>
          </w:tcPr>
          <w:p w:rsidR="00C1269B" w:rsidRDefault="00C1269B" w:rsidP="00581273">
            <w:pPr>
              <w:jc w:val="center"/>
              <w:rPr>
                <w:rFonts w:cs="Arial"/>
                <w:b/>
                <w:bCs/>
                <w:color w:val="1F497D"/>
                <w:sz w:val="20"/>
              </w:rPr>
            </w:pPr>
            <w:r>
              <w:rPr>
                <w:rFonts w:cs="Arial"/>
                <w:b/>
                <w:bCs/>
                <w:color w:val="1F497D"/>
                <w:sz w:val="20"/>
              </w:rPr>
              <w:t># of Discharges</w:t>
            </w:r>
          </w:p>
        </w:tc>
        <w:tc>
          <w:tcPr>
            <w:tcW w:w="2430"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C6D9F1" w:themeFill="text2" w:themeFillTint="33"/>
            <w:vAlign w:val="center"/>
          </w:tcPr>
          <w:p w:rsidR="00C1269B" w:rsidRDefault="00C1269B" w:rsidP="00581273">
            <w:pPr>
              <w:jc w:val="center"/>
              <w:rPr>
                <w:rFonts w:cs="Arial"/>
                <w:b/>
                <w:bCs/>
                <w:color w:val="1F497D"/>
                <w:sz w:val="20"/>
              </w:rPr>
            </w:pPr>
            <w:r>
              <w:rPr>
                <w:rFonts w:cs="Arial"/>
                <w:b/>
                <w:bCs/>
                <w:color w:val="1F497D"/>
                <w:sz w:val="20"/>
              </w:rPr>
              <w:t>Median LOS</w:t>
            </w:r>
            <w:r w:rsidR="00333C2C">
              <w:rPr>
                <w:rFonts w:cs="Arial"/>
                <w:b/>
                <w:bCs/>
                <w:color w:val="1F497D"/>
                <w:sz w:val="20"/>
              </w:rPr>
              <w:t xml:space="preserve"> (Days)</w:t>
            </w:r>
          </w:p>
        </w:tc>
        <w:tc>
          <w:tcPr>
            <w:tcW w:w="2790"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C6D9F1" w:themeFill="text2" w:themeFillTint="33"/>
            <w:vAlign w:val="center"/>
          </w:tcPr>
          <w:p w:rsidR="00C1269B" w:rsidRDefault="00C1269B" w:rsidP="00581273">
            <w:pPr>
              <w:jc w:val="center"/>
              <w:rPr>
                <w:rFonts w:cs="Arial"/>
                <w:b/>
                <w:bCs/>
                <w:color w:val="1F497D"/>
                <w:sz w:val="20"/>
              </w:rPr>
            </w:pPr>
            <w:r>
              <w:rPr>
                <w:rFonts w:cs="Arial"/>
                <w:b/>
                <w:bCs/>
                <w:color w:val="1F497D"/>
                <w:sz w:val="20"/>
              </w:rPr>
              <w:t>Average LOS</w:t>
            </w:r>
            <w:r w:rsidR="00333C2C">
              <w:rPr>
                <w:rFonts w:cs="Arial"/>
                <w:b/>
                <w:bCs/>
                <w:color w:val="1F497D"/>
                <w:sz w:val="20"/>
              </w:rPr>
              <w:t xml:space="preserve"> (Days)</w:t>
            </w:r>
          </w:p>
        </w:tc>
        <w:tc>
          <w:tcPr>
            <w:tcW w:w="2610"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C6D9F1" w:themeFill="text2" w:themeFillTint="33"/>
            <w:vAlign w:val="center"/>
          </w:tcPr>
          <w:p w:rsidR="00C1269B" w:rsidRDefault="00DF63E9" w:rsidP="00CA45F5">
            <w:pPr>
              <w:jc w:val="center"/>
              <w:rPr>
                <w:rFonts w:cs="Arial"/>
                <w:b/>
                <w:bCs/>
                <w:color w:val="1F497D"/>
                <w:sz w:val="20"/>
              </w:rPr>
            </w:pPr>
            <w:r>
              <w:rPr>
                <w:rFonts w:cs="Arial"/>
                <w:b/>
                <w:bCs/>
                <w:color w:val="1F497D"/>
                <w:sz w:val="20"/>
              </w:rPr>
              <w:t xml:space="preserve"># </w:t>
            </w:r>
            <w:r w:rsidR="0026513B">
              <w:rPr>
                <w:rFonts w:cs="Arial"/>
                <w:b/>
                <w:bCs/>
                <w:color w:val="1F497D"/>
                <w:sz w:val="20"/>
              </w:rPr>
              <w:t>Discharge</w:t>
            </w:r>
            <w:r w:rsidR="00CA45F5">
              <w:rPr>
                <w:rFonts w:cs="Arial"/>
                <w:b/>
                <w:bCs/>
                <w:color w:val="1F497D"/>
                <w:sz w:val="20"/>
              </w:rPr>
              <w:t>d</w:t>
            </w:r>
            <w:r w:rsidR="0026513B">
              <w:rPr>
                <w:rFonts w:cs="Arial"/>
                <w:b/>
                <w:bCs/>
                <w:color w:val="1F497D"/>
                <w:sz w:val="20"/>
              </w:rPr>
              <w:t xml:space="preserve"> &gt;</w:t>
            </w:r>
            <w:r w:rsidR="002468D4">
              <w:rPr>
                <w:rFonts w:cs="Arial"/>
                <w:b/>
                <w:bCs/>
                <w:color w:val="1F497D"/>
                <w:sz w:val="20"/>
              </w:rPr>
              <w:t>=</w:t>
            </w:r>
            <w:r w:rsidR="0026513B">
              <w:rPr>
                <w:rFonts w:cs="Arial"/>
                <w:b/>
                <w:bCs/>
                <w:color w:val="1F497D"/>
                <w:sz w:val="20"/>
              </w:rPr>
              <w:t>2 Years</w:t>
            </w:r>
          </w:p>
        </w:tc>
      </w:tr>
      <w:tr w:rsidR="00C47DF7" w:rsidRPr="00F7115E" w:rsidTr="00CA45F5">
        <w:trPr>
          <w:trHeight w:val="70"/>
        </w:trPr>
        <w:tc>
          <w:tcPr>
            <w:tcW w:w="929" w:type="dxa"/>
            <w:vMerge/>
            <w:tcBorders>
              <w:bottom w:val="single" w:sz="4" w:space="0" w:color="4F81BD" w:themeColor="accent1"/>
              <w:right w:val="single" w:sz="4" w:space="0" w:color="4F81BD" w:themeColor="accent1"/>
            </w:tcBorders>
            <w:shd w:val="clear" w:color="auto" w:fill="C6D9F1" w:themeFill="text2" w:themeFillTint="33"/>
            <w:vAlign w:val="center"/>
          </w:tcPr>
          <w:p w:rsidR="00C47DF7" w:rsidRDefault="00C47DF7" w:rsidP="00AA73F5">
            <w:pPr>
              <w:rPr>
                <w:rFonts w:cs="Arial"/>
                <w:b/>
                <w:bCs/>
                <w:color w:val="1F497D"/>
                <w:sz w:val="20"/>
              </w:rPr>
            </w:pPr>
          </w:p>
        </w:tc>
        <w:tc>
          <w:tcPr>
            <w:tcW w:w="540" w:type="dxa"/>
            <w:tcBorders>
              <w:top w:val="single" w:sz="4" w:space="0" w:color="4F81BD" w:themeColor="accent1"/>
              <w:left w:val="single" w:sz="4" w:space="0" w:color="4F81BD" w:themeColor="accent1"/>
              <w:bottom w:val="single" w:sz="4" w:space="0" w:color="4F81BD" w:themeColor="accent1"/>
              <w:right w:val="nil"/>
            </w:tcBorders>
            <w:shd w:val="clear" w:color="auto" w:fill="C6D9F1" w:themeFill="text2" w:themeFillTint="33"/>
            <w:vAlign w:val="center"/>
          </w:tcPr>
          <w:p w:rsidR="00C47DF7" w:rsidRDefault="00C47DF7" w:rsidP="00D338C5">
            <w:pPr>
              <w:jc w:val="center"/>
              <w:rPr>
                <w:rFonts w:cs="Arial"/>
                <w:b/>
                <w:bCs/>
                <w:color w:val="1F497D"/>
                <w:sz w:val="20"/>
              </w:rPr>
            </w:pPr>
            <w:r>
              <w:rPr>
                <w:rFonts w:cs="Arial"/>
                <w:b/>
                <w:bCs/>
                <w:color w:val="1F497D"/>
                <w:sz w:val="20"/>
              </w:rPr>
              <w:t>FY12</w:t>
            </w:r>
          </w:p>
        </w:tc>
        <w:tc>
          <w:tcPr>
            <w:tcW w:w="540" w:type="dxa"/>
            <w:tcBorders>
              <w:top w:val="single" w:sz="4" w:space="0" w:color="4F81BD" w:themeColor="accent1"/>
              <w:left w:val="nil"/>
              <w:bottom w:val="single" w:sz="4" w:space="0" w:color="4F81BD" w:themeColor="accent1"/>
              <w:right w:val="nil"/>
            </w:tcBorders>
            <w:shd w:val="clear" w:color="auto" w:fill="C6D9F1" w:themeFill="text2" w:themeFillTint="33"/>
            <w:vAlign w:val="center"/>
          </w:tcPr>
          <w:p w:rsidR="00C47DF7" w:rsidRDefault="00C47DF7" w:rsidP="00D338C5">
            <w:pPr>
              <w:jc w:val="center"/>
              <w:rPr>
                <w:rFonts w:cs="Arial"/>
                <w:b/>
                <w:bCs/>
                <w:color w:val="1F497D"/>
                <w:sz w:val="20"/>
              </w:rPr>
            </w:pPr>
            <w:r>
              <w:rPr>
                <w:rFonts w:cs="Arial"/>
                <w:b/>
                <w:bCs/>
                <w:color w:val="1F497D"/>
                <w:sz w:val="20"/>
              </w:rPr>
              <w:t>FY13</w:t>
            </w:r>
          </w:p>
        </w:tc>
        <w:tc>
          <w:tcPr>
            <w:tcW w:w="540" w:type="dxa"/>
            <w:tcBorders>
              <w:top w:val="single" w:sz="4" w:space="0" w:color="4F81BD" w:themeColor="accent1"/>
              <w:left w:val="nil"/>
              <w:bottom w:val="single" w:sz="4" w:space="0" w:color="4F81BD" w:themeColor="accent1"/>
              <w:right w:val="single" w:sz="4" w:space="0" w:color="4F81BD" w:themeColor="accent1"/>
            </w:tcBorders>
            <w:shd w:val="clear" w:color="auto" w:fill="C6D9F1" w:themeFill="text2" w:themeFillTint="33"/>
            <w:vAlign w:val="center"/>
          </w:tcPr>
          <w:p w:rsidR="00C47DF7" w:rsidRDefault="00C47DF7" w:rsidP="006849E5">
            <w:pPr>
              <w:jc w:val="center"/>
              <w:rPr>
                <w:rFonts w:cs="Arial"/>
                <w:b/>
                <w:bCs/>
                <w:color w:val="1F497D"/>
                <w:sz w:val="20"/>
              </w:rPr>
            </w:pPr>
            <w:r>
              <w:rPr>
                <w:rFonts w:cs="Arial"/>
                <w:b/>
                <w:bCs/>
                <w:color w:val="1F497D"/>
                <w:sz w:val="20"/>
              </w:rPr>
              <w:t>FY1</w:t>
            </w:r>
            <w:r w:rsidR="006849E5">
              <w:rPr>
                <w:rFonts w:cs="Arial"/>
                <w:b/>
                <w:bCs/>
                <w:color w:val="1F497D"/>
                <w:sz w:val="20"/>
              </w:rPr>
              <w:t>4</w:t>
            </w:r>
          </w:p>
        </w:tc>
        <w:tc>
          <w:tcPr>
            <w:tcW w:w="810" w:type="dxa"/>
            <w:tcBorders>
              <w:top w:val="single" w:sz="4" w:space="0" w:color="4F81BD" w:themeColor="accent1"/>
              <w:left w:val="single" w:sz="4" w:space="0" w:color="4F81BD" w:themeColor="accent1"/>
              <w:bottom w:val="single" w:sz="4" w:space="0" w:color="4F81BD" w:themeColor="accent1"/>
              <w:right w:val="nil"/>
            </w:tcBorders>
            <w:shd w:val="clear" w:color="auto" w:fill="C6D9F1" w:themeFill="text2" w:themeFillTint="33"/>
            <w:vAlign w:val="center"/>
          </w:tcPr>
          <w:p w:rsidR="00C47DF7" w:rsidRDefault="00C47DF7" w:rsidP="00D338C5">
            <w:pPr>
              <w:jc w:val="center"/>
              <w:rPr>
                <w:rFonts w:cs="Arial"/>
                <w:b/>
                <w:bCs/>
                <w:color w:val="1F497D"/>
                <w:sz w:val="20"/>
              </w:rPr>
            </w:pPr>
            <w:r>
              <w:rPr>
                <w:rFonts w:cs="Arial"/>
                <w:b/>
                <w:bCs/>
                <w:color w:val="1F497D"/>
                <w:sz w:val="20"/>
              </w:rPr>
              <w:t>FY12</w:t>
            </w:r>
          </w:p>
        </w:tc>
        <w:tc>
          <w:tcPr>
            <w:tcW w:w="810" w:type="dxa"/>
            <w:tcBorders>
              <w:top w:val="single" w:sz="4" w:space="0" w:color="4F81BD" w:themeColor="accent1"/>
              <w:left w:val="nil"/>
              <w:bottom w:val="single" w:sz="4" w:space="0" w:color="4F81BD" w:themeColor="accent1"/>
              <w:right w:val="nil"/>
            </w:tcBorders>
            <w:shd w:val="clear" w:color="auto" w:fill="C6D9F1" w:themeFill="text2" w:themeFillTint="33"/>
            <w:vAlign w:val="center"/>
          </w:tcPr>
          <w:p w:rsidR="00C47DF7" w:rsidRDefault="00C47DF7" w:rsidP="00D338C5">
            <w:pPr>
              <w:jc w:val="center"/>
              <w:rPr>
                <w:rFonts w:cs="Arial"/>
                <w:b/>
                <w:bCs/>
                <w:color w:val="1F497D"/>
                <w:sz w:val="20"/>
              </w:rPr>
            </w:pPr>
            <w:r>
              <w:rPr>
                <w:rFonts w:cs="Arial"/>
                <w:b/>
                <w:bCs/>
                <w:color w:val="1F497D"/>
                <w:sz w:val="20"/>
              </w:rPr>
              <w:t>FY13</w:t>
            </w:r>
          </w:p>
        </w:tc>
        <w:tc>
          <w:tcPr>
            <w:tcW w:w="810" w:type="dxa"/>
            <w:tcBorders>
              <w:top w:val="single" w:sz="4" w:space="0" w:color="4F81BD" w:themeColor="accent1"/>
              <w:left w:val="nil"/>
              <w:bottom w:val="single" w:sz="4" w:space="0" w:color="4F81BD" w:themeColor="accent1"/>
              <w:right w:val="single" w:sz="4" w:space="0" w:color="4F81BD" w:themeColor="accent1"/>
            </w:tcBorders>
            <w:shd w:val="clear" w:color="auto" w:fill="C6D9F1" w:themeFill="text2" w:themeFillTint="33"/>
            <w:vAlign w:val="center"/>
          </w:tcPr>
          <w:p w:rsidR="00C47DF7" w:rsidRDefault="00C47DF7" w:rsidP="006849E5">
            <w:pPr>
              <w:jc w:val="center"/>
              <w:rPr>
                <w:rFonts w:cs="Arial"/>
                <w:b/>
                <w:bCs/>
                <w:color w:val="1F497D"/>
                <w:sz w:val="20"/>
              </w:rPr>
            </w:pPr>
            <w:r>
              <w:rPr>
                <w:rFonts w:cs="Arial"/>
                <w:b/>
                <w:bCs/>
                <w:color w:val="1F497D"/>
                <w:sz w:val="20"/>
              </w:rPr>
              <w:t>FY1</w:t>
            </w:r>
            <w:r w:rsidR="006849E5">
              <w:rPr>
                <w:rFonts w:cs="Arial"/>
                <w:b/>
                <w:bCs/>
                <w:color w:val="1F497D"/>
                <w:sz w:val="20"/>
              </w:rPr>
              <w:t>4</w:t>
            </w:r>
          </w:p>
        </w:tc>
        <w:tc>
          <w:tcPr>
            <w:tcW w:w="930" w:type="dxa"/>
            <w:tcBorders>
              <w:top w:val="single" w:sz="4" w:space="0" w:color="4F81BD" w:themeColor="accent1"/>
              <w:left w:val="single" w:sz="4" w:space="0" w:color="4F81BD" w:themeColor="accent1"/>
              <w:bottom w:val="single" w:sz="4" w:space="0" w:color="4F81BD" w:themeColor="accent1"/>
              <w:right w:val="nil"/>
            </w:tcBorders>
            <w:shd w:val="clear" w:color="auto" w:fill="C6D9F1" w:themeFill="text2" w:themeFillTint="33"/>
            <w:vAlign w:val="center"/>
          </w:tcPr>
          <w:p w:rsidR="00C47DF7" w:rsidRDefault="00C47DF7" w:rsidP="00D338C5">
            <w:pPr>
              <w:jc w:val="center"/>
              <w:rPr>
                <w:rFonts w:cs="Arial"/>
                <w:b/>
                <w:bCs/>
                <w:color w:val="1F497D"/>
                <w:sz w:val="20"/>
              </w:rPr>
            </w:pPr>
            <w:r>
              <w:rPr>
                <w:rFonts w:cs="Arial"/>
                <w:b/>
                <w:bCs/>
                <w:color w:val="1F497D"/>
                <w:sz w:val="20"/>
              </w:rPr>
              <w:t>FY12</w:t>
            </w:r>
          </w:p>
        </w:tc>
        <w:tc>
          <w:tcPr>
            <w:tcW w:w="930" w:type="dxa"/>
            <w:tcBorders>
              <w:top w:val="single" w:sz="4" w:space="0" w:color="4F81BD" w:themeColor="accent1"/>
              <w:left w:val="nil"/>
              <w:bottom w:val="single" w:sz="4" w:space="0" w:color="4F81BD" w:themeColor="accent1"/>
              <w:right w:val="nil"/>
            </w:tcBorders>
            <w:shd w:val="clear" w:color="auto" w:fill="C6D9F1" w:themeFill="text2" w:themeFillTint="33"/>
            <w:vAlign w:val="center"/>
          </w:tcPr>
          <w:p w:rsidR="00C47DF7" w:rsidRDefault="00C47DF7" w:rsidP="00D338C5">
            <w:pPr>
              <w:jc w:val="center"/>
              <w:rPr>
                <w:rFonts w:cs="Arial"/>
                <w:b/>
                <w:bCs/>
                <w:color w:val="1F497D"/>
                <w:sz w:val="20"/>
              </w:rPr>
            </w:pPr>
            <w:r>
              <w:rPr>
                <w:rFonts w:cs="Arial"/>
                <w:b/>
                <w:bCs/>
                <w:color w:val="1F497D"/>
                <w:sz w:val="20"/>
              </w:rPr>
              <w:t>FY13</w:t>
            </w:r>
          </w:p>
        </w:tc>
        <w:tc>
          <w:tcPr>
            <w:tcW w:w="930" w:type="dxa"/>
            <w:tcBorders>
              <w:top w:val="single" w:sz="4" w:space="0" w:color="4F81BD" w:themeColor="accent1"/>
              <w:left w:val="nil"/>
              <w:bottom w:val="single" w:sz="4" w:space="0" w:color="4F81BD" w:themeColor="accent1"/>
              <w:right w:val="single" w:sz="4" w:space="0" w:color="4F81BD" w:themeColor="accent1"/>
            </w:tcBorders>
            <w:shd w:val="clear" w:color="auto" w:fill="C6D9F1" w:themeFill="text2" w:themeFillTint="33"/>
            <w:vAlign w:val="center"/>
          </w:tcPr>
          <w:p w:rsidR="00C47DF7" w:rsidRDefault="00C47DF7" w:rsidP="006849E5">
            <w:pPr>
              <w:jc w:val="center"/>
              <w:rPr>
                <w:rFonts w:cs="Arial"/>
                <w:b/>
                <w:bCs/>
                <w:color w:val="1F497D"/>
                <w:sz w:val="20"/>
              </w:rPr>
            </w:pPr>
            <w:r>
              <w:rPr>
                <w:rFonts w:cs="Arial"/>
                <w:b/>
                <w:bCs/>
                <w:color w:val="1F497D"/>
                <w:sz w:val="20"/>
              </w:rPr>
              <w:t>FY1</w:t>
            </w:r>
            <w:r w:rsidR="006849E5">
              <w:rPr>
                <w:rFonts w:cs="Arial"/>
                <w:b/>
                <w:bCs/>
                <w:color w:val="1F497D"/>
                <w:sz w:val="20"/>
              </w:rPr>
              <w:t>4</w:t>
            </w:r>
          </w:p>
        </w:tc>
        <w:tc>
          <w:tcPr>
            <w:tcW w:w="870" w:type="dxa"/>
            <w:tcBorders>
              <w:top w:val="single" w:sz="4" w:space="0" w:color="4F81BD" w:themeColor="accent1"/>
              <w:left w:val="single" w:sz="4" w:space="0" w:color="4F81BD" w:themeColor="accent1"/>
              <w:bottom w:val="single" w:sz="4" w:space="0" w:color="4F81BD" w:themeColor="accent1"/>
              <w:right w:val="nil"/>
            </w:tcBorders>
            <w:shd w:val="clear" w:color="auto" w:fill="C6D9F1" w:themeFill="text2" w:themeFillTint="33"/>
            <w:vAlign w:val="center"/>
          </w:tcPr>
          <w:p w:rsidR="00C47DF7" w:rsidRDefault="00C47DF7" w:rsidP="00D338C5">
            <w:pPr>
              <w:jc w:val="center"/>
              <w:rPr>
                <w:rFonts w:cs="Arial"/>
                <w:b/>
                <w:bCs/>
                <w:color w:val="1F497D"/>
                <w:sz w:val="20"/>
              </w:rPr>
            </w:pPr>
            <w:r>
              <w:rPr>
                <w:rFonts w:cs="Arial"/>
                <w:b/>
                <w:bCs/>
                <w:color w:val="1F497D"/>
                <w:sz w:val="20"/>
              </w:rPr>
              <w:t>FY12</w:t>
            </w:r>
          </w:p>
        </w:tc>
        <w:tc>
          <w:tcPr>
            <w:tcW w:w="870" w:type="dxa"/>
            <w:tcBorders>
              <w:top w:val="single" w:sz="4" w:space="0" w:color="4F81BD" w:themeColor="accent1"/>
              <w:left w:val="nil"/>
              <w:bottom w:val="single" w:sz="4" w:space="0" w:color="4F81BD" w:themeColor="accent1"/>
              <w:right w:val="nil"/>
            </w:tcBorders>
            <w:shd w:val="clear" w:color="auto" w:fill="C6D9F1" w:themeFill="text2" w:themeFillTint="33"/>
            <w:vAlign w:val="center"/>
          </w:tcPr>
          <w:p w:rsidR="00C47DF7" w:rsidRDefault="00C47DF7" w:rsidP="00D338C5">
            <w:pPr>
              <w:jc w:val="center"/>
              <w:rPr>
                <w:rFonts w:cs="Arial"/>
                <w:b/>
                <w:bCs/>
                <w:color w:val="1F497D"/>
                <w:sz w:val="20"/>
              </w:rPr>
            </w:pPr>
            <w:r>
              <w:rPr>
                <w:rFonts w:cs="Arial"/>
                <w:b/>
                <w:bCs/>
                <w:color w:val="1F497D"/>
                <w:sz w:val="20"/>
              </w:rPr>
              <w:t>FY13</w:t>
            </w:r>
          </w:p>
        </w:tc>
        <w:tc>
          <w:tcPr>
            <w:tcW w:w="870" w:type="dxa"/>
            <w:tcBorders>
              <w:top w:val="single" w:sz="4" w:space="0" w:color="4F81BD" w:themeColor="accent1"/>
              <w:left w:val="nil"/>
              <w:bottom w:val="single" w:sz="4" w:space="0" w:color="4F81BD" w:themeColor="accent1"/>
              <w:right w:val="single" w:sz="4" w:space="0" w:color="4F81BD" w:themeColor="accent1"/>
            </w:tcBorders>
            <w:shd w:val="clear" w:color="auto" w:fill="C6D9F1" w:themeFill="text2" w:themeFillTint="33"/>
            <w:vAlign w:val="center"/>
          </w:tcPr>
          <w:p w:rsidR="00C47DF7" w:rsidRDefault="00C47DF7" w:rsidP="006849E5">
            <w:pPr>
              <w:jc w:val="center"/>
              <w:rPr>
                <w:rFonts w:cs="Arial"/>
                <w:b/>
                <w:bCs/>
                <w:color w:val="1F497D"/>
                <w:sz w:val="20"/>
              </w:rPr>
            </w:pPr>
            <w:r>
              <w:rPr>
                <w:rFonts w:cs="Arial"/>
                <w:b/>
                <w:bCs/>
                <w:color w:val="1F497D"/>
                <w:sz w:val="20"/>
              </w:rPr>
              <w:t>FY1</w:t>
            </w:r>
            <w:r w:rsidR="006849E5">
              <w:rPr>
                <w:rFonts w:cs="Arial"/>
                <w:b/>
                <w:bCs/>
                <w:color w:val="1F497D"/>
                <w:sz w:val="20"/>
              </w:rPr>
              <w:t>4</w:t>
            </w:r>
          </w:p>
        </w:tc>
      </w:tr>
      <w:tr w:rsidR="00C47DF7" w:rsidRPr="008C3C6D" w:rsidTr="00CA45F5">
        <w:trPr>
          <w:trHeight w:val="306"/>
        </w:trPr>
        <w:tc>
          <w:tcPr>
            <w:tcW w:w="929" w:type="dxa"/>
            <w:tcBorders>
              <w:top w:val="single" w:sz="4" w:space="0" w:color="4F81BD" w:themeColor="accent1"/>
              <w:bottom w:val="nil"/>
              <w:right w:val="single" w:sz="4" w:space="0" w:color="4F81BD" w:themeColor="accent1"/>
            </w:tcBorders>
            <w:shd w:val="clear" w:color="auto" w:fill="auto"/>
            <w:noWrap/>
            <w:vAlign w:val="center"/>
          </w:tcPr>
          <w:p w:rsidR="00C47DF7" w:rsidRDefault="00C47DF7" w:rsidP="007D3FF1">
            <w:pPr>
              <w:rPr>
                <w:rFonts w:cs="Arial"/>
                <w:b/>
                <w:bCs/>
                <w:color w:val="1F497D"/>
                <w:sz w:val="20"/>
              </w:rPr>
            </w:pPr>
            <w:r>
              <w:rPr>
                <w:rFonts w:cs="Arial"/>
                <w:b/>
                <w:bCs/>
                <w:color w:val="1F497D"/>
                <w:sz w:val="20"/>
              </w:rPr>
              <w:t>Civil</w:t>
            </w:r>
          </w:p>
        </w:tc>
        <w:tc>
          <w:tcPr>
            <w:tcW w:w="540" w:type="dxa"/>
            <w:tcBorders>
              <w:top w:val="single" w:sz="4" w:space="0" w:color="4F81BD" w:themeColor="accent1"/>
              <w:left w:val="single" w:sz="4" w:space="0" w:color="4F81BD" w:themeColor="accent1"/>
              <w:bottom w:val="nil"/>
              <w:right w:val="nil"/>
            </w:tcBorders>
            <w:shd w:val="clear" w:color="auto" w:fill="auto"/>
            <w:noWrap/>
            <w:vAlign w:val="center"/>
          </w:tcPr>
          <w:p w:rsidR="00C47DF7" w:rsidRDefault="00C47DF7" w:rsidP="00D338C5">
            <w:pPr>
              <w:jc w:val="center"/>
              <w:rPr>
                <w:rFonts w:cs="Arial"/>
                <w:color w:val="1F497D"/>
                <w:sz w:val="20"/>
              </w:rPr>
            </w:pPr>
            <w:r>
              <w:rPr>
                <w:rFonts w:cs="Arial"/>
                <w:color w:val="1F497D"/>
                <w:sz w:val="20"/>
              </w:rPr>
              <w:t>186</w:t>
            </w:r>
          </w:p>
        </w:tc>
        <w:tc>
          <w:tcPr>
            <w:tcW w:w="540" w:type="dxa"/>
            <w:tcBorders>
              <w:top w:val="single" w:sz="4" w:space="0" w:color="4F81BD" w:themeColor="accent1"/>
              <w:left w:val="nil"/>
              <w:bottom w:val="nil"/>
              <w:right w:val="nil"/>
            </w:tcBorders>
            <w:shd w:val="clear" w:color="auto" w:fill="auto"/>
            <w:vAlign w:val="center"/>
          </w:tcPr>
          <w:p w:rsidR="00C47DF7" w:rsidRDefault="00C47DF7" w:rsidP="00D338C5">
            <w:pPr>
              <w:jc w:val="center"/>
              <w:rPr>
                <w:rFonts w:cs="Arial"/>
                <w:color w:val="1F497D"/>
                <w:sz w:val="20"/>
              </w:rPr>
            </w:pPr>
            <w:r>
              <w:rPr>
                <w:rFonts w:cs="Arial"/>
                <w:color w:val="1F497D"/>
                <w:sz w:val="20"/>
              </w:rPr>
              <w:t>223</w:t>
            </w:r>
          </w:p>
        </w:tc>
        <w:tc>
          <w:tcPr>
            <w:tcW w:w="540" w:type="dxa"/>
            <w:tcBorders>
              <w:top w:val="single" w:sz="4" w:space="0" w:color="4F81BD" w:themeColor="accent1"/>
              <w:left w:val="nil"/>
              <w:bottom w:val="nil"/>
              <w:right w:val="single" w:sz="4" w:space="0" w:color="4F81BD" w:themeColor="accent1"/>
            </w:tcBorders>
            <w:shd w:val="clear" w:color="auto" w:fill="auto"/>
            <w:vAlign w:val="center"/>
          </w:tcPr>
          <w:p w:rsidR="00C47DF7" w:rsidRDefault="00C47DF7" w:rsidP="00284A6F">
            <w:pPr>
              <w:jc w:val="center"/>
              <w:rPr>
                <w:rFonts w:cs="Arial"/>
                <w:color w:val="1F497D"/>
                <w:sz w:val="20"/>
              </w:rPr>
            </w:pPr>
            <w:r>
              <w:rPr>
                <w:rFonts w:cs="Arial"/>
                <w:color w:val="1F497D"/>
                <w:sz w:val="20"/>
              </w:rPr>
              <w:t>21</w:t>
            </w:r>
            <w:r w:rsidR="00284A6F">
              <w:rPr>
                <w:rFonts w:cs="Arial"/>
                <w:color w:val="1F497D"/>
                <w:sz w:val="20"/>
              </w:rPr>
              <w:t>3</w:t>
            </w:r>
          </w:p>
        </w:tc>
        <w:tc>
          <w:tcPr>
            <w:tcW w:w="810" w:type="dxa"/>
            <w:tcBorders>
              <w:top w:val="single" w:sz="4" w:space="0" w:color="4F81BD" w:themeColor="accent1"/>
              <w:left w:val="single" w:sz="4" w:space="0" w:color="4F81BD" w:themeColor="accent1"/>
              <w:bottom w:val="nil"/>
              <w:right w:val="nil"/>
            </w:tcBorders>
            <w:shd w:val="clear" w:color="auto" w:fill="auto"/>
            <w:vAlign w:val="center"/>
          </w:tcPr>
          <w:p w:rsidR="00C47DF7" w:rsidRDefault="00C47DF7" w:rsidP="00D338C5">
            <w:pPr>
              <w:jc w:val="center"/>
              <w:rPr>
                <w:rFonts w:cs="Arial"/>
                <w:color w:val="1F497D"/>
                <w:sz w:val="20"/>
              </w:rPr>
            </w:pPr>
            <w:r>
              <w:rPr>
                <w:rFonts w:cs="Arial"/>
                <w:color w:val="1F497D"/>
                <w:sz w:val="20"/>
              </w:rPr>
              <w:t>40 days</w:t>
            </w:r>
          </w:p>
        </w:tc>
        <w:tc>
          <w:tcPr>
            <w:tcW w:w="810" w:type="dxa"/>
            <w:tcBorders>
              <w:top w:val="single" w:sz="4" w:space="0" w:color="4F81BD" w:themeColor="accent1"/>
              <w:left w:val="nil"/>
              <w:bottom w:val="nil"/>
              <w:right w:val="nil"/>
            </w:tcBorders>
            <w:shd w:val="clear" w:color="auto" w:fill="auto"/>
            <w:vAlign w:val="center"/>
          </w:tcPr>
          <w:p w:rsidR="00C47DF7" w:rsidRDefault="00C47DF7" w:rsidP="00D338C5">
            <w:pPr>
              <w:jc w:val="center"/>
              <w:rPr>
                <w:rFonts w:cs="Arial"/>
                <w:color w:val="1F497D"/>
                <w:sz w:val="20"/>
              </w:rPr>
            </w:pPr>
            <w:r>
              <w:rPr>
                <w:rFonts w:cs="Arial"/>
                <w:color w:val="1F497D"/>
                <w:sz w:val="20"/>
              </w:rPr>
              <w:t>38 days</w:t>
            </w:r>
          </w:p>
        </w:tc>
        <w:tc>
          <w:tcPr>
            <w:tcW w:w="810" w:type="dxa"/>
            <w:tcBorders>
              <w:top w:val="single" w:sz="4" w:space="0" w:color="4F81BD" w:themeColor="accent1"/>
              <w:left w:val="nil"/>
              <w:bottom w:val="nil"/>
              <w:right w:val="single" w:sz="4" w:space="0" w:color="4F81BD" w:themeColor="accent1"/>
            </w:tcBorders>
            <w:shd w:val="clear" w:color="auto" w:fill="auto"/>
            <w:vAlign w:val="center"/>
          </w:tcPr>
          <w:p w:rsidR="00C47DF7" w:rsidRDefault="00C47DF7" w:rsidP="00AA73F5">
            <w:pPr>
              <w:jc w:val="center"/>
              <w:rPr>
                <w:rFonts w:cs="Arial"/>
                <w:color w:val="1F497D"/>
                <w:sz w:val="20"/>
              </w:rPr>
            </w:pPr>
            <w:r>
              <w:rPr>
                <w:rFonts w:cs="Arial"/>
                <w:color w:val="1F497D"/>
                <w:sz w:val="20"/>
              </w:rPr>
              <w:t>50 days</w:t>
            </w:r>
          </w:p>
        </w:tc>
        <w:tc>
          <w:tcPr>
            <w:tcW w:w="930" w:type="dxa"/>
            <w:tcBorders>
              <w:top w:val="single" w:sz="4" w:space="0" w:color="4F81BD" w:themeColor="accent1"/>
              <w:left w:val="single" w:sz="4" w:space="0" w:color="4F81BD" w:themeColor="accent1"/>
              <w:bottom w:val="nil"/>
              <w:right w:val="nil"/>
            </w:tcBorders>
            <w:vAlign w:val="center"/>
          </w:tcPr>
          <w:p w:rsidR="00C47DF7" w:rsidRDefault="00C47DF7" w:rsidP="00D338C5">
            <w:pPr>
              <w:jc w:val="center"/>
              <w:rPr>
                <w:rFonts w:cs="Arial"/>
                <w:color w:val="1F497D"/>
                <w:sz w:val="20"/>
              </w:rPr>
            </w:pPr>
            <w:r>
              <w:rPr>
                <w:rFonts w:cs="Arial"/>
                <w:color w:val="1F497D"/>
                <w:sz w:val="20"/>
              </w:rPr>
              <w:t>189 days</w:t>
            </w:r>
          </w:p>
        </w:tc>
        <w:tc>
          <w:tcPr>
            <w:tcW w:w="930" w:type="dxa"/>
            <w:tcBorders>
              <w:top w:val="single" w:sz="4" w:space="0" w:color="4F81BD" w:themeColor="accent1"/>
              <w:left w:val="nil"/>
              <w:bottom w:val="nil"/>
              <w:right w:val="nil"/>
            </w:tcBorders>
            <w:vAlign w:val="center"/>
          </w:tcPr>
          <w:p w:rsidR="00C47DF7" w:rsidRDefault="00C47DF7" w:rsidP="00D338C5">
            <w:pPr>
              <w:jc w:val="center"/>
              <w:rPr>
                <w:rFonts w:cs="Arial"/>
                <w:color w:val="1F497D"/>
                <w:sz w:val="20"/>
              </w:rPr>
            </w:pPr>
            <w:r>
              <w:rPr>
                <w:rFonts w:cs="Arial"/>
                <w:color w:val="1F497D"/>
                <w:sz w:val="20"/>
              </w:rPr>
              <w:t>254 days</w:t>
            </w:r>
          </w:p>
        </w:tc>
        <w:tc>
          <w:tcPr>
            <w:tcW w:w="930" w:type="dxa"/>
            <w:tcBorders>
              <w:top w:val="single" w:sz="4" w:space="0" w:color="4F81BD" w:themeColor="accent1"/>
              <w:left w:val="nil"/>
              <w:bottom w:val="nil"/>
              <w:right w:val="single" w:sz="4" w:space="0" w:color="4F81BD" w:themeColor="accent1"/>
            </w:tcBorders>
            <w:vAlign w:val="center"/>
          </w:tcPr>
          <w:p w:rsidR="00C47DF7" w:rsidRDefault="00C47DF7" w:rsidP="005A0DA8">
            <w:pPr>
              <w:jc w:val="center"/>
              <w:rPr>
                <w:rFonts w:cs="Arial"/>
                <w:color w:val="1F497D"/>
                <w:sz w:val="20"/>
              </w:rPr>
            </w:pPr>
            <w:r>
              <w:rPr>
                <w:rFonts w:cs="Arial"/>
                <w:color w:val="1F497D"/>
                <w:sz w:val="20"/>
              </w:rPr>
              <w:t>322 days</w:t>
            </w:r>
          </w:p>
        </w:tc>
        <w:tc>
          <w:tcPr>
            <w:tcW w:w="870" w:type="dxa"/>
            <w:tcBorders>
              <w:top w:val="single" w:sz="4" w:space="0" w:color="4F81BD" w:themeColor="accent1"/>
              <w:left w:val="single" w:sz="4" w:space="0" w:color="4F81BD" w:themeColor="accent1"/>
              <w:bottom w:val="nil"/>
              <w:right w:val="nil"/>
            </w:tcBorders>
            <w:vAlign w:val="center"/>
          </w:tcPr>
          <w:p w:rsidR="00C47DF7" w:rsidRDefault="00C47DF7" w:rsidP="00D338C5">
            <w:pPr>
              <w:jc w:val="center"/>
              <w:rPr>
                <w:rFonts w:cs="Arial"/>
                <w:color w:val="1F497D"/>
                <w:sz w:val="20"/>
              </w:rPr>
            </w:pPr>
            <w:r>
              <w:rPr>
                <w:rFonts w:cs="Arial"/>
                <w:color w:val="1F497D"/>
                <w:sz w:val="20"/>
              </w:rPr>
              <w:t>10</w:t>
            </w:r>
          </w:p>
        </w:tc>
        <w:tc>
          <w:tcPr>
            <w:tcW w:w="870" w:type="dxa"/>
            <w:tcBorders>
              <w:top w:val="single" w:sz="4" w:space="0" w:color="4F81BD" w:themeColor="accent1"/>
              <w:left w:val="nil"/>
              <w:bottom w:val="nil"/>
              <w:right w:val="nil"/>
            </w:tcBorders>
            <w:vAlign w:val="center"/>
          </w:tcPr>
          <w:p w:rsidR="00C47DF7" w:rsidRDefault="00C47DF7" w:rsidP="00D338C5">
            <w:pPr>
              <w:jc w:val="center"/>
              <w:rPr>
                <w:rFonts w:cs="Arial"/>
                <w:color w:val="1F497D"/>
                <w:sz w:val="20"/>
              </w:rPr>
            </w:pPr>
            <w:r>
              <w:rPr>
                <w:rFonts w:cs="Arial"/>
                <w:color w:val="1F497D"/>
                <w:sz w:val="20"/>
              </w:rPr>
              <w:t>19</w:t>
            </w:r>
          </w:p>
        </w:tc>
        <w:tc>
          <w:tcPr>
            <w:tcW w:w="870" w:type="dxa"/>
            <w:tcBorders>
              <w:top w:val="single" w:sz="4" w:space="0" w:color="4F81BD" w:themeColor="accent1"/>
              <w:left w:val="nil"/>
              <w:bottom w:val="nil"/>
              <w:right w:val="single" w:sz="4" w:space="0" w:color="4F81BD" w:themeColor="accent1"/>
            </w:tcBorders>
            <w:vAlign w:val="center"/>
          </w:tcPr>
          <w:p w:rsidR="00C47DF7" w:rsidRDefault="00C47DF7" w:rsidP="00CA45F5">
            <w:pPr>
              <w:jc w:val="center"/>
              <w:rPr>
                <w:rFonts w:cs="Arial"/>
                <w:color w:val="1F497D"/>
                <w:sz w:val="20"/>
              </w:rPr>
            </w:pPr>
            <w:r>
              <w:rPr>
                <w:rFonts w:cs="Arial"/>
                <w:color w:val="1F497D"/>
                <w:sz w:val="20"/>
              </w:rPr>
              <w:t>13</w:t>
            </w:r>
          </w:p>
        </w:tc>
      </w:tr>
      <w:tr w:rsidR="00C47DF7" w:rsidRPr="008C3C6D" w:rsidTr="00CA45F5">
        <w:trPr>
          <w:trHeight w:val="306"/>
        </w:trPr>
        <w:tc>
          <w:tcPr>
            <w:tcW w:w="929" w:type="dxa"/>
            <w:tcBorders>
              <w:top w:val="nil"/>
              <w:bottom w:val="nil"/>
              <w:right w:val="single" w:sz="4" w:space="0" w:color="4F81BD" w:themeColor="accent1"/>
            </w:tcBorders>
            <w:shd w:val="clear" w:color="auto" w:fill="DBE5F1" w:themeFill="accent1" w:themeFillTint="33"/>
            <w:noWrap/>
            <w:vAlign w:val="center"/>
          </w:tcPr>
          <w:p w:rsidR="00C47DF7" w:rsidRDefault="00C47DF7" w:rsidP="007D3FF1">
            <w:pPr>
              <w:rPr>
                <w:rFonts w:cs="Arial"/>
                <w:b/>
                <w:bCs/>
                <w:color w:val="1F497D"/>
                <w:sz w:val="20"/>
              </w:rPr>
            </w:pPr>
            <w:r>
              <w:rPr>
                <w:rFonts w:cs="Arial"/>
                <w:b/>
                <w:bCs/>
                <w:color w:val="1F497D"/>
                <w:sz w:val="20"/>
              </w:rPr>
              <w:t>Pre-Trial</w:t>
            </w:r>
          </w:p>
        </w:tc>
        <w:tc>
          <w:tcPr>
            <w:tcW w:w="540" w:type="dxa"/>
            <w:tcBorders>
              <w:top w:val="nil"/>
              <w:left w:val="single" w:sz="4" w:space="0" w:color="4F81BD" w:themeColor="accent1"/>
              <w:bottom w:val="nil"/>
              <w:right w:val="nil"/>
            </w:tcBorders>
            <w:shd w:val="clear" w:color="auto" w:fill="DBE5F1" w:themeFill="accent1" w:themeFillTint="33"/>
            <w:noWrap/>
            <w:vAlign w:val="center"/>
          </w:tcPr>
          <w:p w:rsidR="00C47DF7" w:rsidRDefault="00C47DF7" w:rsidP="00D338C5">
            <w:pPr>
              <w:jc w:val="center"/>
              <w:rPr>
                <w:rFonts w:cs="Arial"/>
                <w:color w:val="1F497D"/>
                <w:sz w:val="20"/>
              </w:rPr>
            </w:pPr>
            <w:r>
              <w:rPr>
                <w:rFonts w:cs="Arial"/>
                <w:color w:val="1F497D"/>
                <w:sz w:val="20"/>
              </w:rPr>
              <w:t>194</w:t>
            </w:r>
          </w:p>
        </w:tc>
        <w:tc>
          <w:tcPr>
            <w:tcW w:w="540" w:type="dxa"/>
            <w:tcBorders>
              <w:top w:val="nil"/>
              <w:left w:val="nil"/>
              <w:bottom w:val="nil"/>
              <w:right w:val="nil"/>
            </w:tcBorders>
            <w:shd w:val="clear" w:color="auto" w:fill="DBE5F1" w:themeFill="accent1" w:themeFillTint="33"/>
            <w:vAlign w:val="center"/>
          </w:tcPr>
          <w:p w:rsidR="00C47DF7" w:rsidRDefault="00C47DF7" w:rsidP="00D338C5">
            <w:pPr>
              <w:jc w:val="center"/>
              <w:rPr>
                <w:rFonts w:cs="Arial"/>
                <w:color w:val="1F497D"/>
                <w:sz w:val="20"/>
              </w:rPr>
            </w:pPr>
            <w:r>
              <w:rPr>
                <w:rFonts w:cs="Arial"/>
                <w:color w:val="1F497D"/>
                <w:sz w:val="20"/>
              </w:rPr>
              <w:t>179</w:t>
            </w:r>
          </w:p>
        </w:tc>
        <w:tc>
          <w:tcPr>
            <w:tcW w:w="540" w:type="dxa"/>
            <w:tcBorders>
              <w:top w:val="nil"/>
              <w:left w:val="nil"/>
              <w:bottom w:val="nil"/>
              <w:right w:val="single" w:sz="4" w:space="0" w:color="4F81BD" w:themeColor="accent1"/>
            </w:tcBorders>
            <w:shd w:val="clear" w:color="auto" w:fill="DBE5F1" w:themeFill="accent1" w:themeFillTint="33"/>
            <w:vAlign w:val="center"/>
          </w:tcPr>
          <w:p w:rsidR="00C47DF7" w:rsidRDefault="00C47DF7" w:rsidP="00284A6F">
            <w:pPr>
              <w:jc w:val="center"/>
              <w:rPr>
                <w:rFonts w:cs="Arial"/>
                <w:color w:val="1F497D"/>
                <w:sz w:val="20"/>
              </w:rPr>
            </w:pPr>
            <w:r>
              <w:rPr>
                <w:rFonts w:cs="Arial"/>
                <w:color w:val="1F497D"/>
                <w:sz w:val="20"/>
              </w:rPr>
              <w:t>17</w:t>
            </w:r>
            <w:r w:rsidR="00284A6F">
              <w:rPr>
                <w:rFonts w:cs="Arial"/>
                <w:color w:val="1F497D"/>
                <w:sz w:val="20"/>
              </w:rPr>
              <w:t>8</w:t>
            </w:r>
          </w:p>
        </w:tc>
        <w:tc>
          <w:tcPr>
            <w:tcW w:w="810" w:type="dxa"/>
            <w:tcBorders>
              <w:top w:val="nil"/>
              <w:left w:val="single" w:sz="4" w:space="0" w:color="4F81BD" w:themeColor="accent1"/>
              <w:bottom w:val="nil"/>
              <w:right w:val="nil"/>
            </w:tcBorders>
            <w:shd w:val="clear" w:color="auto" w:fill="DBE5F1" w:themeFill="accent1" w:themeFillTint="33"/>
            <w:vAlign w:val="center"/>
          </w:tcPr>
          <w:p w:rsidR="00C47DF7" w:rsidRDefault="00C47DF7" w:rsidP="00D338C5">
            <w:pPr>
              <w:jc w:val="center"/>
              <w:rPr>
                <w:rFonts w:cs="Arial"/>
                <w:color w:val="1F497D"/>
                <w:sz w:val="20"/>
              </w:rPr>
            </w:pPr>
            <w:r>
              <w:rPr>
                <w:rFonts w:cs="Arial"/>
                <w:color w:val="1F497D"/>
                <w:sz w:val="20"/>
              </w:rPr>
              <w:t>69 days</w:t>
            </w:r>
          </w:p>
        </w:tc>
        <w:tc>
          <w:tcPr>
            <w:tcW w:w="810" w:type="dxa"/>
            <w:tcBorders>
              <w:top w:val="nil"/>
              <w:left w:val="nil"/>
              <w:bottom w:val="nil"/>
              <w:right w:val="nil"/>
            </w:tcBorders>
            <w:shd w:val="clear" w:color="auto" w:fill="DBE5F1" w:themeFill="accent1" w:themeFillTint="33"/>
            <w:vAlign w:val="center"/>
          </w:tcPr>
          <w:p w:rsidR="00C47DF7" w:rsidRDefault="00C47DF7" w:rsidP="00D338C5">
            <w:pPr>
              <w:jc w:val="center"/>
              <w:rPr>
                <w:rFonts w:cs="Arial"/>
                <w:color w:val="1F497D"/>
                <w:sz w:val="20"/>
              </w:rPr>
            </w:pPr>
            <w:r>
              <w:rPr>
                <w:rFonts w:cs="Arial"/>
                <w:color w:val="1F497D"/>
                <w:sz w:val="20"/>
              </w:rPr>
              <w:t>61 days</w:t>
            </w:r>
          </w:p>
        </w:tc>
        <w:tc>
          <w:tcPr>
            <w:tcW w:w="810" w:type="dxa"/>
            <w:tcBorders>
              <w:top w:val="nil"/>
              <w:left w:val="nil"/>
              <w:bottom w:val="nil"/>
              <w:right w:val="single" w:sz="4" w:space="0" w:color="4F81BD" w:themeColor="accent1"/>
            </w:tcBorders>
            <w:shd w:val="clear" w:color="auto" w:fill="DBE5F1" w:themeFill="accent1" w:themeFillTint="33"/>
            <w:vAlign w:val="center"/>
          </w:tcPr>
          <w:p w:rsidR="00C47DF7" w:rsidRDefault="00C47DF7" w:rsidP="00AA73F5">
            <w:pPr>
              <w:jc w:val="center"/>
              <w:rPr>
                <w:rFonts w:cs="Arial"/>
                <w:color w:val="1F497D"/>
                <w:sz w:val="20"/>
              </w:rPr>
            </w:pPr>
            <w:r>
              <w:rPr>
                <w:rFonts w:cs="Arial"/>
                <w:color w:val="1F497D"/>
                <w:sz w:val="20"/>
              </w:rPr>
              <w:t>51 days</w:t>
            </w:r>
          </w:p>
        </w:tc>
        <w:tc>
          <w:tcPr>
            <w:tcW w:w="930" w:type="dxa"/>
            <w:tcBorders>
              <w:top w:val="nil"/>
              <w:left w:val="single" w:sz="4" w:space="0" w:color="4F81BD" w:themeColor="accent1"/>
              <w:bottom w:val="nil"/>
              <w:right w:val="nil"/>
            </w:tcBorders>
            <w:shd w:val="clear" w:color="auto" w:fill="DBE5F1" w:themeFill="accent1" w:themeFillTint="33"/>
            <w:vAlign w:val="center"/>
          </w:tcPr>
          <w:p w:rsidR="00C47DF7" w:rsidRDefault="00C47DF7" w:rsidP="00D338C5">
            <w:pPr>
              <w:jc w:val="center"/>
              <w:rPr>
                <w:rFonts w:cs="Arial"/>
                <w:color w:val="1F497D"/>
                <w:sz w:val="20"/>
              </w:rPr>
            </w:pPr>
            <w:r>
              <w:rPr>
                <w:rFonts w:cs="Arial"/>
                <w:color w:val="1F497D"/>
                <w:sz w:val="20"/>
              </w:rPr>
              <w:t>83 days</w:t>
            </w:r>
          </w:p>
        </w:tc>
        <w:tc>
          <w:tcPr>
            <w:tcW w:w="930" w:type="dxa"/>
            <w:tcBorders>
              <w:top w:val="nil"/>
              <w:left w:val="nil"/>
              <w:bottom w:val="nil"/>
              <w:right w:val="nil"/>
            </w:tcBorders>
            <w:shd w:val="clear" w:color="auto" w:fill="DBE5F1" w:themeFill="accent1" w:themeFillTint="33"/>
            <w:vAlign w:val="center"/>
          </w:tcPr>
          <w:p w:rsidR="00C47DF7" w:rsidRDefault="00C47DF7" w:rsidP="00D338C5">
            <w:pPr>
              <w:jc w:val="center"/>
              <w:rPr>
                <w:rFonts w:cs="Arial"/>
                <w:color w:val="1F497D"/>
                <w:sz w:val="20"/>
              </w:rPr>
            </w:pPr>
            <w:r>
              <w:rPr>
                <w:rFonts w:cs="Arial"/>
                <w:color w:val="1F497D"/>
                <w:sz w:val="20"/>
              </w:rPr>
              <w:t>84 days</w:t>
            </w:r>
          </w:p>
        </w:tc>
        <w:tc>
          <w:tcPr>
            <w:tcW w:w="930" w:type="dxa"/>
            <w:tcBorders>
              <w:top w:val="nil"/>
              <w:left w:val="nil"/>
              <w:bottom w:val="nil"/>
              <w:right w:val="single" w:sz="4" w:space="0" w:color="4F81BD" w:themeColor="accent1"/>
            </w:tcBorders>
            <w:shd w:val="clear" w:color="auto" w:fill="DBE5F1" w:themeFill="accent1" w:themeFillTint="33"/>
            <w:vAlign w:val="center"/>
          </w:tcPr>
          <w:p w:rsidR="00C47DF7" w:rsidRDefault="00C47DF7" w:rsidP="005A0DA8">
            <w:pPr>
              <w:jc w:val="center"/>
              <w:rPr>
                <w:rFonts w:cs="Arial"/>
                <w:color w:val="1F497D"/>
                <w:sz w:val="20"/>
              </w:rPr>
            </w:pPr>
            <w:r>
              <w:rPr>
                <w:rFonts w:cs="Arial"/>
                <w:color w:val="1F497D"/>
                <w:sz w:val="20"/>
              </w:rPr>
              <w:t>67 days</w:t>
            </w:r>
          </w:p>
        </w:tc>
        <w:tc>
          <w:tcPr>
            <w:tcW w:w="870" w:type="dxa"/>
            <w:tcBorders>
              <w:top w:val="nil"/>
              <w:left w:val="single" w:sz="4" w:space="0" w:color="4F81BD" w:themeColor="accent1"/>
              <w:bottom w:val="nil"/>
              <w:right w:val="nil"/>
            </w:tcBorders>
            <w:shd w:val="clear" w:color="auto" w:fill="DBE5F1" w:themeFill="accent1" w:themeFillTint="33"/>
            <w:vAlign w:val="center"/>
          </w:tcPr>
          <w:p w:rsidR="00C47DF7" w:rsidRDefault="00C47DF7" w:rsidP="00D338C5">
            <w:pPr>
              <w:jc w:val="center"/>
              <w:rPr>
                <w:rFonts w:cs="Arial"/>
                <w:color w:val="1F497D"/>
                <w:sz w:val="20"/>
              </w:rPr>
            </w:pPr>
            <w:r>
              <w:rPr>
                <w:rFonts w:cs="Arial"/>
                <w:color w:val="1F497D"/>
                <w:sz w:val="20"/>
              </w:rPr>
              <w:t>0</w:t>
            </w:r>
          </w:p>
        </w:tc>
        <w:tc>
          <w:tcPr>
            <w:tcW w:w="870" w:type="dxa"/>
            <w:tcBorders>
              <w:top w:val="nil"/>
              <w:left w:val="nil"/>
              <w:bottom w:val="nil"/>
              <w:right w:val="nil"/>
            </w:tcBorders>
            <w:shd w:val="clear" w:color="auto" w:fill="DBE5F1" w:themeFill="accent1" w:themeFillTint="33"/>
            <w:vAlign w:val="center"/>
          </w:tcPr>
          <w:p w:rsidR="00C47DF7" w:rsidRDefault="00C47DF7" w:rsidP="00D338C5">
            <w:pPr>
              <w:jc w:val="center"/>
              <w:rPr>
                <w:rFonts w:cs="Arial"/>
                <w:color w:val="1F497D"/>
                <w:sz w:val="20"/>
              </w:rPr>
            </w:pPr>
            <w:r>
              <w:rPr>
                <w:rFonts w:cs="Arial"/>
                <w:color w:val="1F497D"/>
                <w:sz w:val="20"/>
              </w:rPr>
              <w:t>0</w:t>
            </w:r>
          </w:p>
        </w:tc>
        <w:tc>
          <w:tcPr>
            <w:tcW w:w="870" w:type="dxa"/>
            <w:tcBorders>
              <w:top w:val="nil"/>
              <w:left w:val="nil"/>
              <w:bottom w:val="nil"/>
              <w:right w:val="single" w:sz="4" w:space="0" w:color="4F81BD" w:themeColor="accent1"/>
            </w:tcBorders>
            <w:shd w:val="clear" w:color="auto" w:fill="DBE5F1" w:themeFill="accent1" w:themeFillTint="33"/>
            <w:vAlign w:val="center"/>
          </w:tcPr>
          <w:p w:rsidR="00C47DF7" w:rsidRDefault="00C47DF7" w:rsidP="00173276">
            <w:pPr>
              <w:jc w:val="center"/>
              <w:rPr>
                <w:rFonts w:cs="Arial"/>
                <w:color w:val="1F497D"/>
                <w:sz w:val="20"/>
              </w:rPr>
            </w:pPr>
            <w:r>
              <w:rPr>
                <w:rFonts w:cs="Arial"/>
                <w:color w:val="1F497D"/>
                <w:sz w:val="20"/>
              </w:rPr>
              <w:t>0</w:t>
            </w:r>
          </w:p>
        </w:tc>
      </w:tr>
      <w:tr w:rsidR="00C47DF7" w:rsidRPr="008C3C6D" w:rsidTr="00CA45F5">
        <w:trPr>
          <w:trHeight w:val="306"/>
        </w:trPr>
        <w:tc>
          <w:tcPr>
            <w:tcW w:w="929" w:type="dxa"/>
            <w:tcBorders>
              <w:top w:val="nil"/>
              <w:bottom w:val="nil"/>
              <w:right w:val="single" w:sz="4" w:space="0" w:color="4F81BD" w:themeColor="accent1"/>
            </w:tcBorders>
            <w:shd w:val="clear" w:color="auto" w:fill="auto"/>
            <w:noWrap/>
            <w:vAlign w:val="center"/>
          </w:tcPr>
          <w:p w:rsidR="00C47DF7" w:rsidRDefault="00C47DF7" w:rsidP="007D3FF1">
            <w:pPr>
              <w:rPr>
                <w:rFonts w:cs="Arial"/>
                <w:b/>
                <w:bCs/>
                <w:color w:val="1F497D"/>
                <w:sz w:val="20"/>
              </w:rPr>
            </w:pPr>
            <w:r>
              <w:rPr>
                <w:rFonts w:cs="Arial"/>
                <w:b/>
                <w:bCs/>
                <w:color w:val="1F497D"/>
                <w:sz w:val="20"/>
              </w:rPr>
              <w:t>Post-Trial</w:t>
            </w:r>
          </w:p>
        </w:tc>
        <w:tc>
          <w:tcPr>
            <w:tcW w:w="540" w:type="dxa"/>
            <w:tcBorders>
              <w:top w:val="nil"/>
              <w:left w:val="single" w:sz="4" w:space="0" w:color="4F81BD" w:themeColor="accent1"/>
              <w:bottom w:val="nil"/>
              <w:right w:val="nil"/>
            </w:tcBorders>
            <w:shd w:val="clear" w:color="auto" w:fill="auto"/>
            <w:noWrap/>
            <w:vAlign w:val="center"/>
          </w:tcPr>
          <w:p w:rsidR="00C47DF7" w:rsidRDefault="00C47DF7" w:rsidP="00D338C5">
            <w:pPr>
              <w:jc w:val="center"/>
              <w:rPr>
                <w:rFonts w:cs="Arial"/>
                <w:color w:val="1F497D"/>
                <w:sz w:val="20"/>
              </w:rPr>
            </w:pPr>
            <w:r>
              <w:rPr>
                <w:rFonts w:cs="Arial"/>
                <w:color w:val="1F497D"/>
                <w:sz w:val="20"/>
              </w:rPr>
              <w:t>31</w:t>
            </w:r>
          </w:p>
        </w:tc>
        <w:tc>
          <w:tcPr>
            <w:tcW w:w="540" w:type="dxa"/>
            <w:tcBorders>
              <w:top w:val="nil"/>
              <w:left w:val="nil"/>
              <w:bottom w:val="nil"/>
              <w:right w:val="nil"/>
            </w:tcBorders>
            <w:shd w:val="clear" w:color="auto" w:fill="auto"/>
            <w:vAlign w:val="center"/>
          </w:tcPr>
          <w:p w:rsidR="00C47DF7" w:rsidRDefault="00C47DF7" w:rsidP="00D338C5">
            <w:pPr>
              <w:jc w:val="center"/>
              <w:rPr>
                <w:rFonts w:cs="Arial"/>
                <w:color w:val="1F497D"/>
                <w:sz w:val="20"/>
              </w:rPr>
            </w:pPr>
            <w:r>
              <w:rPr>
                <w:rFonts w:cs="Arial"/>
                <w:color w:val="1F497D"/>
                <w:sz w:val="20"/>
              </w:rPr>
              <w:t>27</w:t>
            </w:r>
          </w:p>
        </w:tc>
        <w:tc>
          <w:tcPr>
            <w:tcW w:w="540" w:type="dxa"/>
            <w:tcBorders>
              <w:top w:val="nil"/>
              <w:left w:val="nil"/>
              <w:bottom w:val="nil"/>
              <w:right w:val="single" w:sz="4" w:space="0" w:color="4F81BD" w:themeColor="accent1"/>
            </w:tcBorders>
            <w:shd w:val="clear" w:color="auto" w:fill="auto"/>
            <w:vAlign w:val="center"/>
          </w:tcPr>
          <w:p w:rsidR="00C47DF7" w:rsidRDefault="00C47DF7" w:rsidP="00581273">
            <w:pPr>
              <w:jc w:val="center"/>
              <w:rPr>
                <w:rFonts w:cs="Arial"/>
                <w:color w:val="1F497D"/>
                <w:sz w:val="20"/>
              </w:rPr>
            </w:pPr>
            <w:r>
              <w:rPr>
                <w:rFonts w:cs="Arial"/>
                <w:color w:val="1F497D"/>
                <w:sz w:val="20"/>
              </w:rPr>
              <w:t>38</w:t>
            </w:r>
          </w:p>
        </w:tc>
        <w:tc>
          <w:tcPr>
            <w:tcW w:w="810" w:type="dxa"/>
            <w:tcBorders>
              <w:top w:val="nil"/>
              <w:left w:val="single" w:sz="4" w:space="0" w:color="4F81BD" w:themeColor="accent1"/>
              <w:bottom w:val="nil"/>
              <w:right w:val="nil"/>
            </w:tcBorders>
            <w:shd w:val="clear" w:color="auto" w:fill="auto"/>
            <w:vAlign w:val="center"/>
          </w:tcPr>
          <w:p w:rsidR="00C47DF7" w:rsidRDefault="00C47DF7" w:rsidP="00D338C5">
            <w:pPr>
              <w:jc w:val="center"/>
              <w:rPr>
                <w:rFonts w:cs="Arial"/>
                <w:color w:val="1F497D"/>
                <w:sz w:val="20"/>
              </w:rPr>
            </w:pPr>
            <w:r>
              <w:rPr>
                <w:rFonts w:cs="Arial"/>
                <w:color w:val="1F497D"/>
                <w:sz w:val="20"/>
              </w:rPr>
              <w:t>315 days</w:t>
            </w:r>
          </w:p>
        </w:tc>
        <w:tc>
          <w:tcPr>
            <w:tcW w:w="810" w:type="dxa"/>
            <w:tcBorders>
              <w:top w:val="nil"/>
              <w:left w:val="nil"/>
              <w:bottom w:val="nil"/>
              <w:right w:val="nil"/>
            </w:tcBorders>
            <w:shd w:val="clear" w:color="auto" w:fill="auto"/>
            <w:vAlign w:val="center"/>
          </w:tcPr>
          <w:p w:rsidR="00C47DF7" w:rsidRDefault="00C47DF7" w:rsidP="00D338C5">
            <w:pPr>
              <w:jc w:val="center"/>
              <w:rPr>
                <w:rFonts w:cs="Arial"/>
                <w:color w:val="1F497D"/>
                <w:sz w:val="20"/>
              </w:rPr>
            </w:pPr>
            <w:r>
              <w:rPr>
                <w:rFonts w:cs="Arial"/>
                <w:color w:val="1F497D"/>
                <w:sz w:val="20"/>
              </w:rPr>
              <w:t>432 days</w:t>
            </w:r>
          </w:p>
        </w:tc>
        <w:tc>
          <w:tcPr>
            <w:tcW w:w="810" w:type="dxa"/>
            <w:tcBorders>
              <w:top w:val="nil"/>
              <w:left w:val="nil"/>
              <w:bottom w:val="nil"/>
              <w:right w:val="single" w:sz="4" w:space="0" w:color="4F81BD" w:themeColor="accent1"/>
            </w:tcBorders>
            <w:shd w:val="clear" w:color="auto" w:fill="auto"/>
            <w:vAlign w:val="center"/>
          </w:tcPr>
          <w:p w:rsidR="00C47DF7" w:rsidRDefault="00C47DF7" w:rsidP="00C47DF7">
            <w:pPr>
              <w:jc w:val="center"/>
              <w:rPr>
                <w:rFonts w:cs="Arial"/>
                <w:color w:val="1F497D"/>
                <w:sz w:val="20"/>
              </w:rPr>
            </w:pPr>
            <w:r>
              <w:rPr>
                <w:rFonts w:cs="Arial"/>
                <w:color w:val="1F497D"/>
                <w:sz w:val="20"/>
              </w:rPr>
              <w:t>918 days</w:t>
            </w:r>
          </w:p>
        </w:tc>
        <w:tc>
          <w:tcPr>
            <w:tcW w:w="930" w:type="dxa"/>
            <w:tcBorders>
              <w:top w:val="nil"/>
              <w:left w:val="single" w:sz="4" w:space="0" w:color="4F81BD" w:themeColor="accent1"/>
              <w:bottom w:val="nil"/>
              <w:right w:val="nil"/>
            </w:tcBorders>
            <w:vAlign w:val="center"/>
          </w:tcPr>
          <w:p w:rsidR="00C47DF7" w:rsidRDefault="00C47DF7" w:rsidP="00D338C5">
            <w:pPr>
              <w:jc w:val="center"/>
              <w:rPr>
                <w:rFonts w:cs="Arial"/>
                <w:color w:val="1F497D"/>
                <w:sz w:val="20"/>
              </w:rPr>
            </w:pPr>
            <w:r>
              <w:rPr>
                <w:rFonts w:cs="Arial"/>
                <w:color w:val="1F497D"/>
                <w:sz w:val="20"/>
              </w:rPr>
              <w:t>2159 days</w:t>
            </w:r>
          </w:p>
        </w:tc>
        <w:tc>
          <w:tcPr>
            <w:tcW w:w="930" w:type="dxa"/>
            <w:tcBorders>
              <w:top w:val="nil"/>
              <w:left w:val="nil"/>
              <w:bottom w:val="nil"/>
              <w:right w:val="nil"/>
            </w:tcBorders>
            <w:vAlign w:val="center"/>
          </w:tcPr>
          <w:p w:rsidR="00C47DF7" w:rsidRDefault="00C47DF7" w:rsidP="00D338C5">
            <w:pPr>
              <w:jc w:val="center"/>
              <w:rPr>
                <w:rFonts w:cs="Arial"/>
                <w:color w:val="1F497D"/>
                <w:sz w:val="20"/>
              </w:rPr>
            </w:pPr>
            <w:r>
              <w:rPr>
                <w:rFonts w:cs="Arial"/>
                <w:color w:val="1F497D"/>
                <w:sz w:val="20"/>
              </w:rPr>
              <w:t>2255 days</w:t>
            </w:r>
          </w:p>
        </w:tc>
        <w:tc>
          <w:tcPr>
            <w:tcW w:w="930" w:type="dxa"/>
            <w:tcBorders>
              <w:top w:val="nil"/>
              <w:left w:val="nil"/>
              <w:bottom w:val="nil"/>
              <w:right w:val="single" w:sz="4" w:space="0" w:color="4F81BD" w:themeColor="accent1"/>
            </w:tcBorders>
            <w:vAlign w:val="center"/>
          </w:tcPr>
          <w:p w:rsidR="00C47DF7" w:rsidRDefault="00C47DF7" w:rsidP="005A0DA8">
            <w:pPr>
              <w:jc w:val="center"/>
              <w:rPr>
                <w:rFonts w:cs="Arial"/>
                <w:color w:val="1F497D"/>
                <w:sz w:val="20"/>
              </w:rPr>
            </w:pPr>
            <w:r>
              <w:rPr>
                <w:rFonts w:cs="Arial"/>
                <w:color w:val="1F497D"/>
                <w:sz w:val="20"/>
              </w:rPr>
              <w:t>3317 days</w:t>
            </w:r>
          </w:p>
        </w:tc>
        <w:tc>
          <w:tcPr>
            <w:tcW w:w="870" w:type="dxa"/>
            <w:tcBorders>
              <w:top w:val="nil"/>
              <w:left w:val="single" w:sz="4" w:space="0" w:color="4F81BD" w:themeColor="accent1"/>
              <w:bottom w:val="nil"/>
              <w:right w:val="nil"/>
            </w:tcBorders>
            <w:vAlign w:val="center"/>
          </w:tcPr>
          <w:p w:rsidR="00C47DF7" w:rsidRDefault="00C47DF7" w:rsidP="00D338C5">
            <w:pPr>
              <w:jc w:val="center"/>
              <w:rPr>
                <w:rFonts w:cs="Arial"/>
                <w:color w:val="1F497D"/>
                <w:sz w:val="20"/>
              </w:rPr>
            </w:pPr>
            <w:r>
              <w:rPr>
                <w:rFonts w:cs="Arial"/>
                <w:color w:val="1F497D"/>
                <w:sz w:val="20"/>
              </w:rPr>
              <w:t>11</w:t>
            </w:r>
          </w:p>
        </w:tc>
        <w:tc>
          <w:tcPr>
            <w:tcW w:w="870" w:type="dxa"/>
            <w:tcBorders>
              <w:top w:val="nil"/>
              <w:left w:val="nil"/>
              <w:bottom w:val="nil"/>
              <w:right w:val="nil"/>
            </w:tcBorders>
            <w:vAlign w:val="center"/>
          </w:tcPr>
          <w:p w:rsidR="00C47DF7" w:rsidRDefault="00C47DF7" w:rsidP="00D338C5">
            <w:pPr>
              <w:jc w:val="center"/>
              <w:rPr>
                <w:rFonts w:cs="Arial"/>
                <w:color w:val="1F497D"/>
                <w:sz w:val="20"/>
              </w:rPr>
            </w:pPr>
            <w:r>
              <w:rPr>
                <w:rFonts w:cs="Arial"/>
                <w:color w:val="1F497D"/>
                <w:sz w:val="20"/>
              </w:rPr>
              <w:t>10</w:t>
            </w:r>
          </w:p>
        </w:tc>
        <w:tc>
          <w:tcPr>
            <w:tcW w:w="870" w:type="dxa"/>
            <w:tcBorders>
              <w:top w:val="nil"/>
              <w:left w:val="nil"/>
              <w:bottom w:val="nil"/>
              <w:right w:val="single" w:sz="4" w:space="0" w:color="4F81BD" w:themeColor="accent1"/>
            </w:tcBorders>
            <w:vAlign w:val="center"/>
          </w:tcPr>
          <w:p w:rsidR="00C47DF7" w:rsidRDefault="00C47DF7" w:rsidP="00AA73F5">
            <w:pPr>
              <w:jc w:val="center"/>
              <w:rPr>
                <w:rFonts w:cs="Arial"/>
                <w:color w:val="1F497D"/>
                <w:sz w:val="20"/>
              </w:rPr>
            </w:pPr>
            <w:r>
              <w:rPr>
                <w:rFonts w:cs="Arial"/>
                <w:color w:val="1F497D"/>
                <w:sz w:val="20"/>
              </w:rPr>
              <w:t>22</w:t>
            </w:r>
          </w:p>
        </w:tc>
      </w:tr>
      <w:tr w:rsidR="00C47DF7" w:rsidRPr="008C3C6D" w:rsidTr="00CA45F5">
        <w:trPr>
          <w:trHeight w:val="306"/>
        </w:trPr>
        <w:tc>
          <w:tcPr>
            <w:tcW w:w="929" w:type="dxa"/>
            <w:tcBorders>
              <w:top w:val="nil"/>
              <w:right w:val="single" w:sz="4" w:space="0" w:color="4F81BD" w:themeColor="accent1"/>
            </w:tcBorders>
            <w:shd w:val="clear" w:color="auto" w:fill="DBE5F1" w:themeFill="accent1" w:themeFillTint="33"/>
            <w:noWrap/>
            <w:vAlign w:val="center"/>
          </w:tcPr>
          <w:p w:rsidR="00C47DF7" w:rsidRDefault="00C47DF7" w:rsidP="007D3FF1">
            <w:pPr>
              <w:rPr>
                <w:rFonts w:cs="Arial"/>
                <w:b/>
                <w:bCs/>
                <w:color w:val="1F497D"/>
                <w:sz w:val="20"/>
              </w:rPr>
            </w:pPr>
            <w:r>
              <w:rPr>
                <w:rFonts w:cs="Arial"/>
                <w:b/>
                <w:bCs/>
                <w:color w:val="1F497D"/>
                <w:sz w:val="20"/>
              </w:rPr>
              <w:t>Combined</w:t>
            </w:r>
          </w:p>
        </w:tc>
        <w:tc>
          <w:tcPr>
            <w:tcW w:w="540" w:type="dxa"/>
            <w:tcBorders>
              <w:top w:val="nil"/>
              <w:left w:val="single" w:sz="4" w:space="0" w:color="4F81BD" w:themeColor="accent1"/>
              <w:bottom w:val="single" w:sz="4" w:space="0" w:color="4F81BD" w:themeColor="accent1"/>
              <w:right w:val="nil"/>
            </w:tcBorders>
            <w:shd w:val="clear" w:color="auto" w:fill="DBE5F1" w:themeFill="accent1" w:themeFillTint="33"/>
            <w:noWrap/>
            <w:vAlign w:val="center"/>
          </w:tcPr>
          <w:p w:rsidR="00C47DF7" w:rsidRPr="001166FC" w:rsidRDefault="00C47DF7" w:rsidP="00D338C5">
            <w:pPr>
              <w:jc w:val="center"/>
              <w:rPr>
                <w:rFonts w:cs="Arial"/>
                <w:b/>
                <w:color w:val="1F497D"/>
                <w:sz w:val="20"/>
              </w:rPr>
            </w:pPr>
            <w:r w:rsidRPr="001166FC">
              <w:rPr>
                <w:rFonts w:cs="Arial"/>
                <w:b/>
                <w:color w:val="1F497D"/>
                <w:sz w:val="20"/>
              </w:rPr>
              <w:t>411</w:t>
            </w:r>
          </w:p>
        </w:tc>
        <w:tc>
          <w:tcPr>
            <w:tcW w:w="540" w:type="dxa"/>
            <w:tcBorders>
              <w:top w:val="nil"/>
              <w:left w:val="nil"/>
              <w:bottom w:val="single" w:sz="4" w:space="0" w:color="4F81BD" w:themeColor="accent1"/>
              <w:right w:val="nil"/>
            </w:tcBorders>
            <w:shd w:val="clear" w:color="auto" w:fill="DBE5F1" w:themeFill="accent1" w:themeFillTint="33"/>
            <w:vAlign w:val="center"/>
          </w:tcPr>
          <w:p w:rsidR="00C47DF7" w:rsidRPr="001166FC" w:rsidRDefault="00C47DF7" w:rsidP="00D338C5">
            <w:pPr>
              <w:jc w:val="center"/>
              <w:rPr>
                <w:rFonts w:cs="Arial"/>
                <w:b/>
                <w:color w:val="1F497D"/>
                <w:sz w:val="20"/>
              </w:rPr>
            </w:pPr>
            <w:r>
              <w:rPr>
                <w:rFonts w:cs="Arial"/>
                <w:b/>
                <w:color w:val="1F497D"/>
                <w:sz w:val="20"/>
              </w:rPr>
              <w:t>429</w:t>
            </w:r>
          </w:p>
        </w:tc>
        <w:tc>
          <w:tcPr>
            <w:tcW w:w="540" w:type="dxa"/>
            <w:tcBorders>
              <w:top w:val="nil"/>
              <w:left w:val="nil"/>
              <w:bottom w:val="single" w:sz="4" w:space="0" w:color="4F81BD" w:themeColor="accent1"/>
              <w:right w:val="single" w:sz="4" w:space="0" w:color="4F81BD" w:themeColor="accent1"/>
            </w:tcBorders>
            <w:shd w:val="clear" w:color="auto" w:fill="DBE5F1" w:themeFill="accent1" w:themeFillTint="33"/>
            <w:vAlign w:val="center"/>
          </w:tcPr>
          <w:p w:rsidR="00C47DF7" w:rsidRPr="001166FC" w:rsidRDefault="00C47DF7" w:rsidP="00581273">
            <w:pPr>
              <w:jc w:val="center"/>
              <w:rPr>
                <w:rFonts w:cs="Arial"/>
                <w:b/>
                <w:color w:val="1F497D"/>
                <w:sz w:val="20"/>
              </w:rPr>
            </w:pPr>
            <w:r>
              <w:rPr>
                <w:rFonts w:cs="Arial"/>
                <w:b/>
                <w:color w:val="1F497D"/>
                <w:sz w:val="20"/>
              </w:rPr>
              <w:t>429</w:t>
            </w:r>
          </w:p>
        </w:tc>
        <w:tc>
          <w:tcPr>
            <w:tcW w:w="810" w:type="dxa"/>
            <w:tcBorders>
              <w:top w:val="nil"/>
              <w:left w:val="single" w:sz="4" w:space="0" w:color="4F81BD" w:themeColor="accent1"/>
              <w:bottom w:val="single" w:sz="4" w:space="0" w:color="4F81BD" w:themeColor="accent1"/>
              <w:right w:val="nil"/>
            </w:tcBorders>
            <w:shd w:val="clear" w:color="auto" w:fill="DBE5F1" w:themeFill="accent1" w:themeFillTint="33"/>
            <w:vAlign w:val="center"/>
          </w:tcPr>
          <w:p w:rsidR="00C47DF7" w:rsidRPr="001166FC" w:rsidRDefault="00C47DF7" w:rsidP="00D338C5">
            <w:pPr>
              <w:jc w:val="center"/>
              <w:rPr>
                <w:rFonts w:cs="Arial"/>
                <w:b/>
                <w:color w:val="1F497D"/>
                <w:sz w:val="20"/>
              </w:rPr>
            </w:pPr>
            <w:r w:rsidRPr="001166FC">
              <w:rPr>
                <w:rFonts w:cs="Arial"/>
                <w:b/>
                <w:color w:val="1F497D"/>
                <w:sz w:val="20"/>
              </w:rPr>
              <w:t>63 days</w:t>
            </w:r>
          </w:p>
        </w:tc>
        <w:tc>
          <w:tcPr>
            <w:tcW w:w="810" w:type="dxa"/>
            <w:tcBorders>
              <w:top w:val="nil"/>
              <w:left w:val="nil"/>
              <w:bottom w:val="single" w:sz="4" w:space="0" w:color="4F81BD" w:themeColor="accent1"/>
              <w:right w:val="nil"/>
            </w:tcBorders>
            <w:shd w:val="clear" w:color="auto" w:fill="DBE5F1" w:themeFill="accent1" w:themeFillTint="33"/>
            <w:vAlign w:val="center"/>
          </w:tcPr>
          <w:p w:rsidR="00C47DF7" w:rsidRPr="001166FC" w:rsidRDefault="00C47DF7" w:rsidP="00D338C5">
            <w:pPr>
              <w:jc w:val="center"/>
              <w:rPr>
                <w:rFonts w:cs="Arial"/>
                <w:b/>
                <w:color w:val="1F497D"/>
                <w:sz w:val="20"/>
              </w:rPr>
            </w:pPr>
            <w:r>
              <w:rPr>
                <w:rFonts w:cs="Arial"/>
                <w:b/>
                <w:color w:val="1F497D"/>
                <w:sz w:val="20"/>
              </w:rPr>
              <w:t>55 days</w:t>
            </w:r>
          </w:p>
        </w:tc>
        <w:tc>
          <w:tcPr>
            <w:tcW w:w="810" w:type="dxa"/>
            <w:tcBorders>
              <w:top w:val="nil"/>
              <w:left w:val="nil"/>
              <w:bottom w:val="single" w:sz="4" w:space="0" w:color="4F81BD" w:themeColor="accent1"/>
              <w:right w:val="single" w:sz="4" w:space="0" w:color="4F81BD" w:themeColor="accent1"/>
            </w:tcBorders>
            <w:shd w:val="clear" w:color="auto" w:fill="DBE5F1" w:themeFill="accent1" w:themeFillTint="33"/>
            <w:vAlign w:val="center"/>
          </w:tcPr>
          <w:p w:rsidR="00C47DF7" w:rsidRPr="001166FC" w:rsidRDefault="00C47DF7" w:rsidP="00C47DF7">
            <w:pPr>
              <w:jc w:val="center"/>
              <w:rPr>
                <w:rFonts w:cs="Arial"/>
                <w:b/>
                <w:color w:val="1F497D"/>
                <w:sz w:val="20"/>
              </w:rPr>
            </w:pPr>
            <w:r>
              <w:rPr>
                <w:rFonts w:cs="Arial"/>
                <w:b/>
                <w:color w:val="1F497D"/>
                <w:sz w:val="20"/>
              </w:rPr>
              <w:t>58 days</w:t>
            </w:r>
          </w:p>
        </w:tc>
        <w:tc>
          <w:tcPr>
            <w:tcW w:w="930" w:type="dxa"/>
            <w:tcBorders>
              <w:top w:val="nil"/>
              <w:left w:val="single" w:sz="4" w:space="0" w:color="4F81BD" w:themeColor="accent1"/>
              <w:bottom w:val="single" w:sz="4" w:space="0" w:color="4F81BD" w:themeColor="accent1"/>
              <w:right w:val="nil"/>
            </w:tcBorders>
            <w:shd w:val="clear" w:color="auto" w:fill="DBE5F1" w:themeFill="accent1" w:themeFillTint="33"/>
            <w:vAlign w:val="center"/>
          </w:tcPr>
          <w:p w:rsidR="00C47DF7" w:rsidRPr="001166FC" w:rsidRDefault="00C47DF7" w:rsidP="00D338C5">
            <w:pPr>
              <w:jc w:val="center"/>
              <w:rPr>
                <w:rFonts w:cs="Arial"/>
                <w:b/>
                <w:color w:val="1F497D"/>
                <w:sz w:val="20"/>
              </w:rPr>
            </w:pPr>
            <w:r w:rsidRPr="001166FC">
              <w:rPr>
                <w:rFonts w:cs="Arial"/>
                <w:b/>
                <w:color w:val="1F497D"/>
                <w:sz w:val="20"/>
              </w:rPr>
              <w:t>28</w:t>
            </w:r>
            <w:r>
              <w:rPr>
                <w:rFonts w:cs="Arial"/>
                <w:b/>
                <w:color w:val="1F497D"/>
                <w:sz w:val="20"/>
              </w:rPr>
              <w:t>7</w:t>
            </w:r>
            <w:r w:rsidRPr="001166FC">
              <w:rPr>
                <w:rFonts w:cs="Arial"/>
                <w:b/>
                <w:color w:val="1F497D"/>
                <w:sz w:val="20"/>
              </w:rPr>
              <w:t xml:space="preserve"> days</w:t>
            </w:r>
          </w:p>
        </w:tc>
        <w:tc>
          <w:tcPr>
            <w:tcW w:w="930" w:type="dxa"/>
            <w:tcBorders>
              <w:top w:val="nil"/>
              <w:left w:val="nil"/>
              <w:bottom w:val="single" w:sz="4" w:space="0" w:color="4F81BD" w:themeColor="accent1"/>
              <w:right w:val="nil"/>
            </w:tcBorders>
            <w:shd w:val="clear" w:color="auto" w:fill="DBE5F1" w:themeFill="accent1" w:themeFillTint="33"/>
            <w:vAlign w:val="center"/>
          </w:tcPr>
          <w:p w:rsidR="00C47DF7" w:rsidRPr="001166FC" w:rsidRDefault="00C47DF7" w:rsidP="00D338C5">
            <w:pPr>
              <w:jc w:val="center"/>
              <w:rPr>
                <w:rFonts w:cs="Arial"/>
                <w:b/>
                <w:color w:val="1F497D"/>
                <w:sz w:val="20"/>
              </w:rPr>
            </w:pPr>
            <w:r>
              <w:rPr>
                <w:rFonts w:cs="Arial"/>
                <w:b/>
                <w:color w:val="1F497D"/>
                <w:sz w:val="20"/>
              </w:rPr>
              <w:t>309 days</w:t>
            </w:r>
          </w:p>
        </w:tc>
        <w:tc>
          <w:tcPr>
            <w:tcW w:w="930" w:type="dxa"/>
            <w:tcBorders>
              <w:top w:val="nil"/>
              <w:left w:val="nil"/>
              <w:bottom w:val="single" w:sz="4" w:space="0" w:color="4F81BD" w:themeColor="accent1"/>
              <w:right w:val="single" w:sz="4" w:space="0" w:color="4F81BD" w:themeColor="accent1"/>
            </w:tcBorders>
            <w:shd w:val="clear" w:color="auto" w:fill="DBE5F1" w:themeFill="accent1" w:themeFillTint="33"/>
            <w:vAlign w:val="center"/>
          </w:tcPr>
          <w:p w:rsidR="00C47DF7" w:rsidRPr="001166FC" w:rsidRDefault="00C47DF7" w:rsidP="00C47DF7">
            <w:pPr>
              <w:jc w:val="center"/>
              <w:rPr>
                <w:rFonts w:cs="Arial"/>
                <w:b/>
                <w:color w:val="1F497D"/>
                <w:sz w:val="20"/>
              </w:rPr>
            </w:pPr>
            <w:r>
              <w:rPr>
                <w:rFonts w:cs="Arial"/>
                <w:b/>
                <w:color w:val="1F497D"/>
                <w:sz w:val="20"/>
              </w:rPr>
              <w:t>483 days</w:t>
            </w:r>
          </w:p>
        </w:tc>
        <w:tc>
          <w:tcPr>
            <w:tcW w:w="870" w:type="dxa"/>
            <w:tcBorders>
              <w:top w:val="nil"/>
              <w:left w:val="single" w:sz="4" w:space="0" w:color="4F81BD" w:themeColor="accent1"/>
              <w:bottom w:val="single" w:sz="4" w:space="0" w:color="4F81BD" w:themeColor="accent1"/>
              <w:right w:val="nil"/>
            </w:tcBorders>
            <w:shd w:val="clear" w:color="auto" w:fill="DBE5F1" w:themeFill="accent1" w:themeFillTint="33"/>
            <w:vAlign w:val="center"/>
          </w:tcPr>
          <w:p w:rsidR="00C47DF7" w:rsidRPr="001166FC" w:rsidRDefault="00C47DF7" w:rsidP="00D338C5">
            <w:pPr>
              <w:jc w:val="center"/>
              <w:rPr>
                <w:rFonts w:cs="Arial"/>
                <w:b/>
                <w:color w:val="1F497D"/>
                <w:sz w:val="20"/>
              </w:rPr>
            </w:pPr>
            <w:r>
              <w:rPr>
                <w:rFonts w:cs="Arial"/>
                <w:b/>
                <w:color w:val="1F497D"/>
                <w:sz w:val="20"/>
              </w:rPr>
              <w:t>21 (5.1%)</w:t>
            </w:r>
          </w:p>
        </w:tc>
        <w:tc>
          <w:tcPr>
            <w:tcW w:w="870" w:type="dxa"/>
            <w:tcBorders>
              <w:top w:val="nil"/>
              <w:left w:val="nil"/>
              <w:bottom w:val="single" w:sz="4" w:space="0" w:color="4F81BD" w:themeColor="accent1"/>
              <w:right w:val="nil"/>
            </w:tcBorders>
            <w:shd w:val="clear" w:color="auto" w:fill="DBE5F1" w:themeFill="accent1" w:themeFillTint="33"/>
            <w:vAlign w:val="center"/>
          </w:tcPr>
          <w:p w:rsidR="00C47DF7" w:rsidRPr="001166FC" w:rsidRDefault="00C47DF7" w:rsidP="00D338C5">
            <w:pPr>
              <w:jc w:val="center"/>
              <w:rPr>
                <w:rFonts w:cs="Arial"/>
                <w:b/>
                <w:color w:val="1F497D"/>
                <w:sz w:val="20"/>
              </w:rPr>
            </w:pPr>
            <w:r>
              <w:rPr>
                <w:rFonts w:cs="Arial"/>
                <w:b/>
                <w:color w:val="1F497D"/>
                <w:sz w:val="20"/>
              </w:rPr>
              <w:t>29 (6.8%)</w:t>
            </w:r>
          </w:p>
        </w:tc>
        <w:tc>
          <w:tcPr>
            <w:tcW w:w="870" w:type="dxa"/>
            <w:tcBorders>
              <w:top w:val="nil"/>
              <w:left w:val="nil"/>
              <w:bottom w:val="single" w:sz="4" w:space="0" w:color="4F81BD" w:themeColor="accent1"/>
              <w:right w:val="single" w:sz="4" w:space="0" w:color="4F81BD" w:themeColor="accent1"/>
            </w:tcBorders>
            <w:shd w:val="clear" w:color="auto" w:fill="DBE5F1" w:themeFill="accent1" w:themeFillTint="33"/>
            <w:vAlign w:val="center"/>
          </w:tcPr>
          <w:p w:rsidR="00C47DF7" w:rsidRPr="001166FC" w:rsidRDefault="007A2E3F" w:rsidP="007A2E3F">
            <w:pPr>
              <w:jc w:val="center"/>
              <w:rPr>
                <w:rFonts w:cs="Arial"/>
                <w:b/>
                <w:color w:val="1F497D"/>
                <w:sz w:val="20"/>
              </w:rPr>
            </w:pPr>
            <w:r>
              <w:rPr>
                <w:rFonts w:cs="Arial"/>
                <w:b/>
                <w:color w:val="1F497D"/>
                <w:sz w:val="20"/>
              </w:rPr>
              <w:t>35</w:t>
            </w:r>
            <w:r w:rsidR="00C47DF7">
              <w:rPr>
                <w:rFonts w:cs="Arial"/>
                <w:b/>
                <w:color w:val="1F497D"/>
                <w:sz w:val="20"/>
              </w:rPr>
              <w:t xml:space="preserve"> (</w:t>
            </w:r>
            <w:r>
              <w:rPr>
                <w:rFonts w:cs="Arial"/>
                <w:b/>
                <w:color w:val="1F497D"/>
                <w:sz w:val="20"/>
              </w:rPr>
              <w:t>8</w:t>
            </w:r>
            <w:r w:rsidR="00C47DF7">
              <w:rPr>
                <w:rFonts w:cs="Arial"/>
                <w:b/>
                <w:color w:val="1F497D"/>
                <w:sz w:val="20"/>
              </w:rPr>
              <w:t>.</w:t>
            </w:r>
            <w:r>
              <w:rPr>
                <w:rFonts w:cs="Arial"/>
                <w:b/>
                <w:color w:val="1F497D"/>
                <w:sz w:val="20"/>
              </w:rPr>
              <w:t>2</w:t>
            </w:r>
            <w:r w:rsidR="00C47DF7">
              <w:rPr>
                <w:rFonts w:cs="Arial"/>
                <w:b/>
                <w:color w:val="1F497D"/>
                <w:sz w:val="20"/>
              </w:rPr>
              <w:t>%)</w:t>
            </w:r>
          </w:p>
        </w:tc>
      </w:tr>
    </w:tbl>
    <w:p w:rsidR="007A2E3F" w:rsidRPr="007A2E3F" w:rsidRDefault="004F23D1" w:rsidP="004F23D1">
      <w:pPr>
        <w:pStyle w:val="KeyFindings"/>
        <w:rPr>
          <w:b/>
        </w:rPr>
      </w:pPr>
      <w:bookmarkStart w:id="178" w:name="_Toc384134279"/>
      <w:r>
        <w:t xml:space="preserve">While the median LOS of individuals discharged with a </w:t>
      </w:r>
      <w:r w:rsidR="00CA4334">
        <w:t>p</w:t>
      </w:r>
      <w:r w:rsidR="00C95269" w:rsidRPr="00CA4334">
        <w:t>re-trial</w:t>
      </w:r>
      <w:r w:rsidRPr="00C95269">
        <w:rPr>
          <w:i/>
        </w:rPr>
        <w:t xml:space="preserve"> </w:t>
      </w:r>
      <w:r>
        <w:t xml:space="preserve">legal status decreased </w:t>
      </w:r>
      <w:r w:rsidR="00B346B4">
        <w:t xml:space="preserve">from 61 days in FY13 to 51 days </w:t>
      </w:r>
      <w:r>
        <w:t>in FY1</w:t>
      </w:r>
      <w:r w:rsidR="00B346B4">
        <w:t>4</w:t>
      </w:r>
      <w:r>
        <w:t xml:space="preserve">, </w:t>
      </w:r>
      <w:r w:rsidR="00B346B4">
        <w:t xml:space="preserve">that for </w:t>
      </w:r>
      <w:r w:rsidR="00B346B4" w:rsidRPr="00B346B4">
        <w:rPr>
          <w:i/>
        </w:rPr>
        <w:t>Civil</w:t>
      </w:r>
      <w:r w:rsidR="00B346B4">
        <w:t xml:space="preserve"> discharges increased from 38 days to 50 days. </w:t>
      </w:r>
    </w:p>
    <w:p w:rsidR="00CD1012" w:rsidRPr="00454A9C" w:rsidRDefault="007A2E3F" w:rsidP="00454A9C">
      <w:pPr>
        <w:pStyle w:val="KeyFindings"/>
      </w:pPr>
      <w:r>
        <w:t>The number and percentage of</w:t>
      </w:r>
      <w:r w:rsidR="00CA4334">
        <w:t xml:space="preserve"> individuals who </w:t>
      </w:r>
      <w:bookmarkEnd w:id="178"/>
      <w:r w:rsidR="00CA4334">
        <w:t xml:space="preserve">were </w:t>
      </w:r>
      <w:r>
        <w:t xml:space="preserve">discharged after staying </w:t>
      </w:r>
      <w:r w:rsidR="00CA4334">
        <w:t>in care for</w:t>
      </w:r>
      <w:r>
        <w:t xml:space="preserve"> long-term (2 years or longer)</w:t>
      </w:r>
      <w:r w:rsidR="00CA4334">
        <w:t xml:space="preserve"> with a post-trial legal status noticeably increased in FY14.</w:t>
      </w:r>
    </w:p>
    <w:bookmarkStart w:id="179" w:name="_Toc384134280"/>
    <w:bookmarkStart w:id="180" w:name="_Toc416357867"/>
    <w:p w:rsidR="003A0C7E" w:rsidRPr="00650386" w:rsidRDefault="00CC6764" w:rsidP="00BE0948">
      <w:pPr>
        <w:pStyle w:val="Heading1"/>
      </w:pPr>
      <w:r>
        <mc:AlternateContent>
          <mc:Choice Requires="wps">
            <w:drawing>
              <wp:anchor distT="0" distB="0" distL="114300" distR="114300" simplePos="0" relativeHeight="251672064" behindDoc="0" locked="0" layoutInCell="1" allowOverlap="1" wp14:anchorId="275708E7" wp14:editId="50FD5557">
                <wp:simplePos x="0" y="0"/>
                <wp:positionH relativeFrom="column">
                  <wp:posOffset>-99695</wp:posOffset>
                </wp:positionH>
                <wp:positionV relativeFrom="page">
                  <wp:posOffset>1086485</wp:posOffset>
                </wp:positionV>
                <wp:extent cx="6619875" cy="1319530"/>
                <wp:effectExtent l="19050" t="19050" r="85725" b="77470"/>
                <wp:wrapTopAndBottom/>
                <wp:docPr id="18" name="AutoShap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9875" cy="1319530"/>
                        </a:xfrm>
                        <a:prstGeom prst="roundRect">
                          <a:avLst>
                            <a:gd name="adj" fmla="val 6634"/>
                          </a:avLst>
                        </a:prstGeom>
                        <a:solidFill>
                          <a:schemeClr val="accent1">
                            <a:lumMod val="20000"/>
                            <a:lumOff val="80000"/>
                            <a:alpha val="25000"/>
                          </a:schemeClr>
                        </a:solidFill>
                        <a:ln w="50800" cmpd="thickThin">
                          <a:solidFill>
                            <a:schemeClr val="accent1"/>
                          </a:solidFill>
                          <a:round/>
                          <a:headEnd/>
                          <a:tailEnd/>
                        </a:ln>
                        <a:effectLst>
                          <a:outerShdw dist="35921" dir="2700000" algn="ctr" rotWithShape="0">
                            <a:schemeClr val="accent1">
                              <a:lumMod val="20000"/>
                              <a:lumOff val="80000"/>
                            </a:schemeClr>
                          </a:outerShdw>
                        </a:effectLst>
                      </wps:spPr>
                      <wps:txbx>
                        <w:txbxContent>
                          <w:p w:rsidR="005B4E16" w:rsidRPr="00337777" w:rsidRDefault="005B4E16" w:rsidP="00E526DF">
                            <w:pPr>
                              <w:pStyle w:val="IntenseQuote"/>
                              <w:ind w:left="360"/>
                            </w:pPr>
                            <w:r w:rsidRPr="00337777">
                              <w:t xml:space="preserve">The 30-day, 90-day, and 180-day </w:t>
                            </w:r>
                            <w:r w:rsidRPr="00864C95">
                              <w:rPr>
                                <w:b/>
                              </w:rPr>
                              <w:t>readmission rates all noticeably decreased</w:t>
                            </w:r>
                            <w:r w:rsidRPr="00337777">
                              <w:t xml:space="preserve"> in FY14.  Particularly, the 30-day readmission rate </w:t>
                            </w:r>
                            <w:r w:rsidRPr="00864C95">
                              <w:rPr>
                                <w:b/>
                              </w:rPr>
                              <w:t xml:space="preserve">in FY14 (2.3%) </w:t>
                            </w:r>
                            <w:r w:rsidRPr="00337777">
                              <w:t xml:space="preserve">decreased significantly from FY13’s (5.6%) and is </w:t>
                            </w:r>
                            <w:r w:rsidRPr="00864C95">
                              <w:rPr>
                                <w:b/>
                              </w:rPr>
                              <w:t xml:space="preserve">much lower than the national </w:t>
                            </w:r>
                            <w:r>
                              <w:rPr>
                                <w:b/>
                              </w:rPr>
                              <w:t>average</w:t>
                            </w:r>
                            <w:r w:rsidRPr="00864C95">
                              <w:rPr>
                                <w:b/>
                              </w:rPr>
                              <w:t xml:space="preserve"> (NPR 6.9%)</w:t>
                            </w:r>
                            <w:r w:rsidRPr="00337777">
                              <w:t>.</w:t>
                            </w:r>
                          </w:p>
                          <w:p w:rsidR="005B4E16" w:rsidRPr="00337777" w:rsidRDefault="005B4E16" w:rsidP="00E526DF">
                            <w:pPr>
                              <w:pStyle w:val="IntenseQuote"/>
                              <w:ind w:left="360"/>
                            </w:pPr>
                            <w:r>
                              <w:t xml:space="preserve">Individuals discharged </w:t>
                            </w:r>
                            <w:r w:rsidRPr="00337777">
                              <w:t>in a</w:t>
                            </w:r>
                            <w:r>
                              <w:t xml:space="preserve"> </w:t>
                            </w:r>
                            <w:r w:rsidRPr="00816AC6">
                              <w:rPr>
                                <w:b/>
                              </w:rPr>
                              <w:t>post-trial</w:t>
                            </w:r>
                            <w:r>
                              <w:t xml:space="preserve"> </w:t>
                            </w:r>
                            <w:r w:rsidRPr="00337777">
                              <w:t xml:space="preserve">legal status are the </w:t>
                            </w:r>
                            <w:r w:rsidRPr="00451208">
                              <w:rPr>
                                <w:b/>
                              </w:rPr>
                              <w:t>most likely to return</w:t>
                            </w:r>
                            <w:r w:rsidRPr="00337777">
                              <w:t xml:space="preserve"> to the Hospital</w:t>
                            </w:r>
                            <w:r>
                              <w:t xml:space="preserve">: one out of four </w:t>
                            </w:r>
                            <w:r w:rsidRPr="006E60A9">
                              <w:rPr>
                                <w:i/>
                              </w:rPr>
                              <w:t xml:space="preserve">Post-trial </w:t>
                            </w:r>
                            <w:r>
                              <w:t>discharges in FY14 was readmitted within 180 days</w:t>
                            </w:r>
                            <w:r w:rsidRPr="00337777">
                              <w:t>.</w:t>
                            </w:r>
                          </w:p>
                          <w:p w:rsidR="005B4E16" w:rsidRPr="00337777" w:rsidRDefault="005B4E16" w:rsidP="00E526DF">
                            <w:pPr>
                              <w:pStyle w:val="IntenseQuote"/>
                              <w:ind w:left="360"/>
                            </w:pPr>
                            <w:r w:rsidRPr="00337777">
                              <w:t xml:space="preserve">Those who are </w:t>
                            </w:r>
                            <w:r w:rsidRPr="00451208">
                              <w:rPr>
                                <w:b/>
                              </w:rPr>
                              <w:t>older</w:t>
                            </w:r>
                            <w:r w:rsidRPr="00337777">
                              <w:t xml:space="preserve"> at discharge are more likely to return to the Hospital.</w:t>
                            </w:r>
                          </w:p>
                          <w:p w:rsidR="005B4E16" w:rsidRPr="00337777" w:rsidRDefault="005B4E16" w:rsidP="00E526DF">
                            <w:pPr>
                              <w:pStyle w:val="IntenseQuote"/>
                              <w:ind w:left="360"/>
                            </w:pPr>
                            <w:r w:rsidRPr="00337777">
                              <w:t xml:space="preserve">Those who are discharged with a </w:t>
                            </w:r>
                            <w:r w:rsidRPr="00451208">
                              <w:rPr>
                                <w:b/>
                              </w:rPr>
                              <w:t>shorter LOS</w:t>
                            </w:r>
                            <w:r w:rsidRPr="00337777">
                              <w:t xml:space="preserve"> are more likely to return to the Hospital quickly.</w:t>
                            </w:r>
                          </w:p>
                        </w:txbxContent>
                      </wps:txbx>
                      <wps:bodyPr rot="0" vert="horz" wrap="square" lIns="91440" tIns="18288" rIns="91440" bIns="18288" anchor="ctr" anchorCtr="0" upright="1">
                        <a:spAutoFit/>
                      </wps:bodyPr>
                    </wps:wsp>
                  </a:graphicData>
                </a:graphic>
                <wp14:sizeRelH relativeFrom="margin">
                  <wp14:pctWidth>0</wp14:pctWidth>
                </wp14:sizeRelH>
                <wp14:sizeRelV relativeFrom="margin">
                  <wp14:pctHeight>0</wp14:pctHeight>
                </wp14:sizeRelV>
              </wp:anchor>
            </w:drawing>
          </mc:Choice>
          <mc:Fallback>
            <w:pict>
              <v:roundrect id="_x0000_s1029" style="position:absolute;left:0;text-align:left;margin-left:-7.85pt;margin-top:85.55pt;width:521.25pt;height:103.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43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" fillcolor="#dbe5f1 [660]" strokecolor="#4f81bd [3204]" strokeweight="4pt">
                <v:fill opacity="16448f"/>
                <v:stroke linestyle="thickThin"/>
                <v:shadow on="t" color="#dbe5f1 [660]"/>
                <v:textbox style="mso-fit-shape-to-text:t" inset=",1.44pt,,1.44pt">
                  <w:txbxContent>
                    <w:p w:rsidR="005B4E16" w:rsidRPr="00337777" w:rsidRDefault="005B4E16" w:rsidP="00E526DF">
                      <w:pPr>
                        <w:pStyle w:val="IntenseQuote"/>
                        <w:ind w:left="360"/>
                      </w:pPr>
                      <w:r w:rsidRPr="00337777">
                        <w:t xml:space="preserve">The 30-day, 90-day, and 180-day </w:t>
                      </w:r>
                      <w:r w:rsidRPr="00864C95">
                        <w:rPr>
                          <w:b/>
                        </w:rPr>
                        <w:t>readmission rates all noticeably decreased</w:t>
                      </w:r>
                      <w:r w:rsidRPr="00337777">
                        <w:t xml:space="preserve"> in FY14.  Particularly, the 30-day readmission rate </w:t>
                      </w:r>
                      <w:r w:rsidRPr="00864C95">
                        <w:rPr>
                          <w:b/>
                        </w:rPr>
                        <w:t xml:space="preserve">in FY14 (2.3%) </w:t>
                      </w:r>
                      <w:r w:rsidRPr="00337777">
                        <w:t xml:space="preserve">decreased significantly from FY13’s (5.6%) and is </w:t>
                      </w:r>
                      <w:r w:rsidRPr="00864C95">
                        <w:rPr>
                          <w:b/>
                        </w:rPr>
                        <w:t xml:space="preserve">much lower than the national </w:t>
                      </w:r>
                      <w:r>
                        <w:rPr>
                          <w:b/>
                        </w:rPr>
                        <w:t>average</w:t>
                      </w:r>
                      <w:r w:rsidRPr="00864C95">
                        <w:rPr>
                          <w:b/>
                        </w:rPr>
                        <w:t xml:space="preserve"> (NPR 6.9%)</w:t>
                      </w:r>
                      <w:r w:rsidRPr="00337777">
                        <w:t>.</w:t>
                      </w:r>
                    </w:p>
                    <w:p w:rsidR="005B4E16" w:rsidRPr="00337777" w:rsidRDefault="005B4E16" w:rsidP="00E526DF">
                      <w:pPr>
                        <w:pStyle w:val="IntenseQuote"/>
                        <w:ind w:left="360"/>
                      </w:pPr>
                      <w:r>
                        <w:t xml:space="preserve">Individuals discharged </w:t>
                      </w:r>
                      <w:r w:rsidRPr="00337777">
                        <w:t>in a</w:t>
                      </w:r>
                      <w:r>
                        <w:t xml:space="preserve"> </w:t>
                      </w:r>
                      <w:r w:rsidRPr="00816AC6">
                        <w:rPr>
                          <w:b/>
                        </w:rPr>
                        <w:t>post-trial</w:t>
                      </w:r>
                      <w:r>
                        <w:t xml:space="preserve"> </w:t>
                      </w:r>
                      <w:r w:rsidRPr="00337777">
                        <w:t xml:space="preserve">legal status are the </w:t>
                      </w:r>
                      <w:r w:rsidRPr="00451208">
                        <w:rPr>
                          <w:b/>
                        </w:rPr>
                        <w:t>most likely to return</w:t>
                      </w:r>
                      <w:r w:rsidRPr="00337777">
                        <w:t xml:space="preserve"> to the Hospital</w:t>
                      </w:r>
                      <w:r>
                        <w:t xml:space="preserve">: one out of four </w:t>
                      </w:r>
                      <w:r w:rsidRPr="006E60A9">
                        <w:rPr>
                          <w:i/>
                        </w:rPr>
                        <w:t xml:space="preserve">Post-trial </w:t>
                      </w:r>
                      <w:r>
                        <w:t>discharges in FY14 was readmitted within 180 days</w:t>
                      </w:r>
                      <w:r w:rsidRPr="00337777">
                        <w:t>.</w:t>
                      </w:r>
                    </w:p>
                    <w:p w:rsidR="005B4E16" w:rsidRPr="00337777" w:rsidRDefault="005B4E16" w:rsidP="00E526DF">
                      <w:pPr>
                        <w:pStyle w:val="IntenseQuote"/>
                        <w:ind w:left="360"/>
                      </w:pPr>
                      <w:r w:rsidRPr="00337777">
                        <w:t xml:space="preserve">Those who are </w:t>
                      </w:r>
                      <w:r w:rsidRPr="00451208">
                        <w:rPr>
                          <w:b/>
                        </w:rPr>
                        <w:t>older</w:t>
                      </w:r>
                      <w:r w:rsidRPr="00337777">
                        <w:t xml:space="preserve"> at discharge are more likely to return to the Hospital.</w:t>
                      </w:r>
                    </w:p>
                    <w:p w:rsidR="005B4E16" w:rsidRPr="00337777" w:rsidRDefault="005B4E16" w:rsidP="00E526DF">
                      <w:pPr>
                        <w:pStyle w:val="IntenseQuote"/>
                        <w:ind w:left="360"/>
                      </w:pPr>
                      <w:r w:rsidRPr="00337777">
                        <w:t xml:space="preserve">Those who are discharged with a </w:t>
                      </w:r>
                      <w:r w:rsidRPr="00451208">
                        <w:rPr>
                          <w:b/>
                        </w:rPr>
                        <w:t>shorter LOS</w:t>
                      </w:r>
                      <w:r w:rsidRPr="00337777">
                        <w:t xml:space="preserve"> are more likely to return to the Hospital quickly.</w:t>
                      </w:r>
                    </w:p>
                  </w:txbxContent>
                </v:textbox>
                <w10:wrap type="topAndBottom" anchory="page"/>
              </v:roundrect>
            </w:pict>
          </mc:Fallback>
        </mc:AlternateContent>
      </w:r>
      <w:r w:rsidR="003A0C7E" w:rsidRPr="00650386">
        <w:t>Readmissions</w:t>
      </w:r>
      <w:bookmarkEnd w:id="179"/>
      <w:bookmarkEnd w:id="180"/>
    </w:p>
    <w:p w:rsidR="003A0C7E" w:rsidRPr="00D760F8" w:rsidRDefault="003A0C7E" w:rsidP="003F18B1">
      <w:pPr>
        <w:pStyle w:val="Heading2"/>
      </w:pPr>
      <w:bookmarkStart w:id="181" w:name="_Toc384134281"/>
      <w:bookmarkStart w:id="182" w:name="_Toc416357868"/>
      <w:r w:rsidRPr="00D760F8">
        <w:t>Readmission Rate</w:t>
      </w:r>
      <w:bookmarkEnd w:id="181"/>
      <w:bookmarkEnd w:id="182"/>
    </w:p>
    <w:p w:rsidR="004E6D76" w:rsidRDefault="003A0C7E" w:rsidP="00A80446">
      <w:pPr>
        <w:pStyle w:val="KeyFindings"/>
      </w:pPr>
      <w:bookmarkStart w:id="183" w:name="_Toc384134282"/>
      <w:r>
        <w:t>Of the 4</w:t>
      </w:r>
      <w:r w:rsidR="00413EB3">
        <w:t>29</w:t>
      </w:r>
      <w:r>
        <w:t xml:space="preserve"> </w:t>
      </w:r>
      <w:r w:rsidR="00490380">
        <w:t>d</w:t>
      </w:r>
      <w:r>
        <w:t>ischarge</w:t>
      </w:r>
      <w:r w:rsidR="00490380">
        <w:t>s</w:t>
      </w:r>
      <w:r>
        <w:t xml:space="preserve"> </w:t>
      </w:r>
      <w:r w:rsidR="005A0DA8">
        <w:t xml:space="preserve">that occurred </w:t>
      </w:r>
      <w:r>
        <w:t>in FY1</w:t>
      </w:r>
      <w:r w:rsidR="004E6D76">
        <w:t>4</w:t>
      </w:r>
      <w:r>
        <w:t xml:space="preserve">, </w:t>
      </w:r>
      <w:r w:rsidR="004E6D76">
        <w:t>10</w:t>
      </w:r>
      <w:r w:rsidR="00B52145">
        <w:t xml:space="preserve"> individuals or </w:t>
      </w:r>
      <w:r w:rsidR="004E6D76">
        <w:t>2</w:t>
      </w:r>
      <w:r>
        <w:t>.</w:t>
      </w:r>
      <w:r w:rsidR="004E6D76">
        <w:t>3</w:t>
      </w:r>
      <w:r>
        <w:t xml:space="preserve">% were readmitted to </w:t>
      </w:r>
      <w:r w:rsidR="00B52145">
        <w:t xml:space="preserve">the </w:t>
      </w:r>
      <w:r w:rsidR="000148D8">
        <w:t xml:space="preserve">Saint </w:t>
      </w:r>
      <w:proofErr w:type="spellStart"/>
      <w:r w:rsidR="000148D8">
        <w:t>Elizabeths</w:t>
      </w:r>
      <w:proofErr w:type="spellEnd"/>
      <w:r w:rsidR="000148D8">
        <w:t xml:space="preserve"> </w:t>
      </w:r>
      <w:r w:rsidR="00B52145">
        <w:t>Hospital</w:t>
      </w:r>
      <w:r>
        <w:t xml:space="preserve"> within 30 days</w:t>
      </w:r>
      <w:r w:rsidR="005A0DA8">
        <w:t xml:space="preserve"> from</w:t>
      </w:r>
      <w:r w:rsidR="00F30DB0">
        <w:t xml:space="preserve"> discharge</w:t>
      </w:r>
      <w:r>
        <w:t>.  This is a</w:t>
      </w:r>
      <w:r w:rsidR="000268EF">
        <w:t xml:space="preserve"> </w:t>
      </w:r>
      <w:r w:rsidR="004E6D76">
        <w:t xml:space="preserve">significant drop </w:t>
      </w:r>
      <w:r>
        <w:t xml:space="preserve">from </w:t>
      </w:r>
      <w:r w:rsidR="004E6D76">
        <w:t>FY13</w:t>
      </w:r>
      <w:r>
        <w:t xml:space="preserve">, when the 30-day readmission rate was </w:t>
      </w:r>
      <w:r w:rsidR="00413EB3">
        <w:t>5.</w:t>
      </w:r>
      <w:r w:rsidR="004E6D76">
        <w:t>6</w:t>
      </w:r>
      <w:r w:rsidR="00413EB3">
        <w:t>%</w:t>
      </w:r>
      <w:r w:rsidR="004E6D76">
        <w:t xml:space="preserve">.  Prior to FY14, the readmission rate trend was slightly upward. </w:t>
      </w:r>
    </w:p>
    <w:p w:rsidR="003A0C7E" w:rsidRDefault="004E6D76" w:rsidP="00A80446">
      <w:pPr>
        <w:pStyle w:val="KeyFindings"/>
      </w:pPr>
      <w:r>
        <w:t xml:space="preserve">The Hospital’s 30-day readmission rate is much lower than the national trend. </w:t>
      </w:r>
      <w:r w:rsidR="00CA1C89">
        <w:t xml:space="preserve"> </w:t>
      </w:r>
      <w:r w:rsidR="008E6DD3">
        <w:t>A</w:t>
      </w:r>
      <w:r w:rsidR="003A0C7E" w:rsidRPr="00264B12">
        <w:t xml:space="preserve">ccording to </w:t>
      </w:r>
      <w:r w:rsidR="003A0C7E">
        <w:t>the most recent NPR</w:t>
      </w:r>
      <w:r w:rsidR="003A0C7E" w:rsidRPr="00264B12">
        <w:t xml:space="preserve">, the </w:t>
      </w:r>
      <w:r w:rsidR="003A0C7E">
        <w:t xml:space="preserve">average </w:t>
      </w:r>
      <w:r w:rsidR="003A0C7E" w:rsidRPr="00264B12">
        <w:t xml:space="preserve">30-day admission rate of state psychiatric hospitals </w:t>
      </w:r>
      <w:r w:rsidR="003A0C7E">
        <w:t>i</w:t>
      </w:r>
      <w:r w:rsidR="006B7E2D">
        <w:t>s 6</w:t>
      </w:r>
      <w:r w:rsidR="003A0C7E" w:rsidRPr="00264B12">
        <w:t>.</w:t>
      </w:r>
      <w:r w:rsidR="006B7E2D">
        <w:t>9</w:t>
      </w:r>
      <w:r w:rsidR="003A0C7E" w:rsidRPr="00264B12">
        <w:t>%</w:t>
      </w:r>
      <w:r w:rsidR="00413EB3">
        <w:t>.</w:t>
      </w:r>
      <w:bookmarkEnd w:id="183"/>
    </w:p>
    <w:p w:rsidR="00292B31" w:rsidRDefault="004B4BEC" w:rsidP="00A80446">
      <w:pPr>
        <w:pStyle w:val="KeyFindings"/>
      </w:pPr>
      <w:bookmarkStart w:id="184" w:name="_Toc384134284"/>
      <w:r>
        <w:t>The 30-day</w:t>
      </w:r>
      <w:r w:rsidR="000F0E6E">
        <w:t>,</w:t>
      </w:r>
      <w:r w:rsidR="00FC3DEA">
        <w:t xml:space="preserve"> </w:t>
      </w:r>
      <w:r>
        <w:t>90-day</w:t>
      </w:r>
      <w:r w:rsidR="000F0E6E">
        <w:t>, and 180-day</w:t>
      </w:r>
      <w:r>
        <w:t xml:space="preserve"> readmission rates </w:t>
      </w:r>
      <w:r w:rsidR="000F0E6E">
        <w:t xml:space="preserve">all </w:t>
      </w:r>
      <w:r>
        <w:t>gradually increased between FY11 and FY13</w:t>
      </w:r>
      <w:r w:rsidR="000F0E6E">
        <w:t>, except that the 180-day readmission rate showed a marginal decrease in FY13. In FY14, however</w:t>
      </w:r>
      <w:r w:rsidR="00CA1C89">
        <w:t>,</w:t>
      </w:r>
      <w:r w:rsidR="000F0E6E">
        <w:t xml:space="preserve"> the readmission rate </w:t>
      </w:r>
      <w:r>
        <w:t>declined significantly</w:t>
      </w:r>
      <w:bookmarkEnd w:id="184"/>
      <w:r w:rsidR="00FC3DEA">
        <w:t xml:space="preserve"> </w:t>
      </w:r>
      <w:r w:rsidR="000F0E6E">
        <w:t>at all levels: from 5.6% to 2.3% fo</w:t>
      </w:r>
      <w:r w:rsidR="00CA1C89">
        <w:t>r 30-day readmissions, from 13.8</w:t>
      </w:r>
      <w:r w:rsidR="000F0E6E">
        <w:t>% to 8.6% for 90-day readmission</w:t>
      </w:r>
      <w:r w:rsidR="00CA1C89">
        <w:t>s</w:t>
      </w:r>
      <w:r w:rsidR="000F0E6E">
        <w:t>, and from 20.3% to 17.0% for 180-day readmission</w:t>
      </w:r>
      <w:r w:rsidR="00CA1C89">
        <w:t>s</w:t>
      </w:r>
      <w:r w:rsidR="000F0E6E">
        <w:t>.</w:t>
      </w:r>
    </w:p>
    <w:tbl>
      <w:tblPr>
        <w:tblStyle w:val="TableGrid"/>
        <w:tblW w:w="0" w:type="auto"/>
        <w:jc w:val="center"/>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2" w:type="dxa"/>
        </w:tblCellMar>
        <w:tblLook w:val="04A0" w:firstRow="1" w:lastRow="0" w:firstColumn="1" w:lastColumn="0" w:noHBand="0" w:noVBand="1"/>
      </w:tblPr>
      <w:tblGrid>
        <w:gridCol w:w="4957"/>
        <w:gridCol w:w="5346"/>
      </w:tblGrid>
      <w:tr w:rsidR="00C47B85" w:rsidTr="005F44AD">
        <w:trPr>
          <w:jc w:val="center"/>
        </w:trPr>
        <w:tc>
          <w:tcPr>
            <w:tcW w:w="5156" w:type="dxa"/>
          </w:tcPr>
          <w:p w:rsidR="00C47B85" w:rsidRDefault="00C47B85" w:rsidP="00DA7973">
            <w:bookmarkStart w:id="185" w:name="_Toc416357907"/>
            <w:r w:rsidRPr="00650386">
              <w:rPr>
                <w:rStyle w:val="FigureChar"/>
              </w:rPr>
              <w:t xml:space="preserve">Figure </w:t>
            </w:r>
            <w:r w:rsidRPr="00650386">
              <w:rPr>
                <w:rStyle w:val="FigureChar"/>
              </w:rPr>
              <w:fldChar w:fldCharType="begin"/>
            </w:r>
            <w:r w:rsidRPr="00650386">
              <w:rPr>
                <w:rStyle w:val="FigureChar"/>
              </w:rPr>
              <w:instrText xml:space="preserve"> SEQ Figure \* ARABIC </w:instrText>
            </w:r>
            <w:r w:rsidRPr="00650386">
              <w:rPr>
                <w:rStyle w:val="FigureChar"/>
              </w:rPr>
              <w:fldChar w:fldCharType="separate"/>
            </w:r>
            <w:r w:rsidR="007E3DB6">
              <w:rPr>
                <w:rStyle w:val="FigureChar"/>
                <w:noProof/>
              </w:rPr>
              <w:t>22</w:t>
            </w:r>
            <w:r w:rsidRPr="00650386">
              <w:rPr>
                <w:rStyle w:val="FigureChar"/>
              </w:rPr>
              <w:fldChar w:fldCharType="end"/>
            </w:r>
            <w:r>
              <w:rPr>
                <w:rStyle w:val="FigureChar"/>
              </w:rPr>
              <w:t>. Trend of Readmission Rate</w:t>
            </w:r>
            <w:r w:rsidRPr="00F52DB1">
              <w:rPr>
                <w:rStyle w:val="FigureChar"/>
              </w:rPr>
              <w:t xml:space="preserve"> (</w:t>
            </w:r>
            <w:r>
              <w:rPr>
                <w:rStyle w:val="FigureChar"/>
              </w:rPr>
              <w:t>FY10</w:t>
            </w:r>
            <w:r w:rsidR="00D81B82">
              <w:rPr>
                <w:rStyle w:val="FigureChar"/>
              </w:rPr>
              <w:t xml:space="preserve"> </w:t>
            </w:r>
            <w:r>
              <w:rPr>
                <w:rStyle w:val="FigureChar"/>
              </w:rPr>
              <w:t>~</w:t>
            </w:r>
            <w:r w:rsidR="00D81B82">
              <w:rPr>
                <w:rStyle w:val="FigureChar"/>
              </w:rPr>
              <w:t xml:space="preserve"> </w:t>
            </w:r>
            <w:r>
              <w:rPr>
                <w:rStyle w:val="FigureChar"/>
              </w:rPr>
              <w:t>FY1</w:t>
            </w:r>
            <w:r w:rsidR="00CA1C89">
              <w:rPr>
                <w:rStyle w:val="FigureChar"/>
              </w:rPr>
              <w:t>4</w:t>
            </w:r>
            <w:r w:rsidRPr="00F52DB1">
              <w:rPr>
                <w:rStyle w:val="FigureChar"/>
              </w:rPr>
              <w:t>)</w:t>
            </w:r>
            <w:bookmarkEnd w:id="185"/>
          </w:p>
          <w:p w:rsidR="00C47B85" w:rsidRDefault="0018524F" w:rsidP="00DA7973">
            <w:r>
              <w:rPr>
                <w:noProof/>
              </w:rPr>
              <w:drawing>
                <wp:inline distT="0" distB="0" distL="0" distR="0" wp14:anchorId="21BFD920" wp14:editId="57F97764">
                  <wp:extent cx="2952750" cy="2838450"/>
                  <wp:effectExtent l="0" t="0" r="0"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c>
          <w:tcPr>
            <w:tcW w:w="5147" w:type="dxa"/>
          </w:tcPr>
          <w:p w:rsidR="00C47B85" w:rsidRDefault="00C47B85" w:rsidP="00DA7973">
            <w:bookmarkStart w:id="186" w:name="_Toc416357908"/>
            <w:r w:rsidRPr="00650386">
              <w:rPr>
                <w:rStyle w:val="FigureChar"/>
              </w:rPr>
              <w:t xml:space="preserve">Figure </w:t>
            </w:r>
            <w:r w:rsidRPr="00650386">
              <w:rPr>
                <w:rStyle w:val="FigureChar"/>
              </w:rPr>
              <w:fldChar w:fldCharType="begin"/>
            </w:r>
            <w:r w:rsidRPr="00650386">
              <w:rPr>
                <w:rStyle w:val="FigureChar"/>
              </w:rPr>
              <w:instrText xml:space="preserve"> SEQ Figure \* ARABIC </w:instrText>
            </w:r>
            <w:r w:rsidRPr="00650386">
              <w:rPr>
                <w:rStyle w:val="FigureChar"/>
              </w:rPr>
              <w:fldChar w:fldCharType="separate"/>
            </w:r>
            <w:r w:rsidR="007E3DB6">
              <w:rPr>
                <w:rStyle w:val="FigureChar"/>
                <w:noProof/>
              </w:rPr>
              <w:t>23</w:t>
            </w:r>
            <w:r w:rsidRPr="00650386">
              <w:rPr>
                <w:rStyle w:val="FigureChar"/>
              </w:rPr>
              <w:fldChar w:fldCharType="end"/>
            </w:r>
            <w:r w:rsidRPr="00650386">
              <w:rPr>
                <w:rStyle w:val="FigureChar"/>
              </w:rPr>
              <w:t xml:space="preserve">. </w:t>
            </w:r>
            <w:r w:rsidRPr="00E269E2">
              <w:rPr>
                <w:rStyle w:val="FigureChar"/>
              </w:rPr>
              <w:t xml:space="preserve">Readmission </w:t>
            </w:r>
            <w:r>
              <w:rPr>
                <w:rStyle w:val="FigureChar"/>
              </w:rPr>
              <w:t>by Legal Status</w:t>
            </w:r>
            <w:r w:rsidRPr="00E269E2">
              <w:rPr>
                <w:rStyle w:val="FigureChar"/>
              </w:rPr>
              <w:t xml:space="preserve"> (</w:t>
            </w:r>
            <w:r>
              <w:rPr>
                <w:rStyle w:val="FigureChar"/>
              </w:rPr>
              <w:t>FY1</w:t>
            </w:r>
            <w:r w:rsidR="00CA1C89">
              <w:rPr>
                <w:rStyle w:val="FigureChar"/>
              </w:rPr>
              <w:t>4</w:t>
            </w:r>
            <w:r>
              <w:rPr>
                <w:rStyle w:val="FigureChar"/>
              </w:rPr>
              <w:t>)</w:t>
            </w:r>
            <w:bookmarkEnd w:id="186"/>
          </w:p>
          <w:p w:rsidR="00C47B85" w:rsidRDefault="008336F6" w:rsidP="00DA7973">
            <w:r>
              <w:rPr>
                <w:noProof/>
              </w:rPr>
              <w:drawing>
                <wp:inline distT="0" distB="0" distL="0" distR="0" wp14:anchorId="18661E35" wp14:editId="20A199CB">
                  <wp:extent cx="3257550" cy="2838450"/>
                  <wp:effectExtent l="0" t="0" r="0" b="0"/>
                  <wp:docPr id="140" name="Chart 1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bl>
    <w:p w:rsidR="00D3672F" w:rsidRDefault="00AB5DCB" w:rsidP="00A80446">
      <w:pPr>
        <w:pStyle w:val="KeyFindings"/>
      </w:pPr>
      <w:bookmarkStart w:id="187" w:name="_Toc384134285"/>
      <w:r>
        <w:t>T</w:t>
      </w:r>
      <w:r w:rsidR="00EE5ED3">
        <w:t xml:space="preserve">he readmission rate varies by discharge legal status. </w:t>
      </w:r>
      <w:r w:rsidR="00702517">
        <w:t xml:space="preserve"> In FY14,</w:t>
      </w:r>
      <w:r w:rsidR="00CE3C0F">
        <w:t xml:space="preserve"> </w:t>
      </w:r>
      <w:r w:rsidR="00CE3C0F" w:rsidRPr="00CE3C0F">
        <w:rPr>
          <w:i/>
        </w:rPr>
        <w:t>Civil</w:t>
      </w:r>
      <w:r w:rsidR="00CE3C0F">
        <w:t xml:space="preserve"> discharges show</w:t>
      </w:r>
      <w:r w:rsidR="00702517">
        <w:t>ed</w:t>
      </w:r>
      <w:r w:rsidR="00CE3C0F">
        <w:t xml:space="preserve"> the lowest 30-day re</w:t>
      </w:r>
      <w:r w:rsidR="007E0287">
        <w:t>admission</w:t>
      </w:r>
      <w:r w:rsidR="00CE3C0F">
        <w:t xml:space="preserve"> rate </w:t>
      </w:r>
      <w:r w:rsidR="00702517">
        <w:t xml:space="preserve">at only 1.4% </w:t>
      </w:r>
      <w:r w:rsidR="00CE3C0F">
        <w:t xml:space="preserve">but </w:t>
      </w:r>
      <w:r w:rsidR="007E0287">
        <w:t>the</w:t>
      </w:r>
      <w:r w:rsidR="000A281E">
        <w:t>ir</w:t>
      </w:r>
      <w:r w:rsidR="007E0287">
        <w:t xml:space="preserve"> 90-day readmission rate</w:t>
      </w:r>
      <w:r w:rsidR="00702517">
        <w:t xml:space="preserve"> </w:t>
      </w:r>
      <w:r w:rsidR="000A281E">
        <w:t>(</w:t>
      </w:r>
      <w:r w:rsidR="00702517">
        <w:t>9.4%</w:t>
      </w:r>
      <w:r w:rsidR="000A281E">
        <w:t xml:space="preserve">) surpassed that of </w:t>
      </w:r>
      <w:r w:rsidR="000A281E">
        <w:rPr>
          <w:i/>
        </w:rPr>
        <w:t>Pre-trial</w:t>
      </w:r>
      <w:r w:rsidR="000A281E">
        <w:t xml:space="preserve"> discharges (6.2%)</w:t>
      </w:r>
      <w:r w:rsidR="007E0287">
        <w:t>.</w:t>
      </w:r>
      <w:r w:rsidR="00CE3C0F">
        <w:t xml:space="preserve"> </w:t>
      </w:r>
      <w:r w:rsidR="007E0287">
        <w:t xml:space="preserve"> </w:t>
      </w:r>
      <w:r w:rsidR="000A281E">
        <w:t xml:space="preserve">Then, the 180-day readmission rate went up to above 16% for both </w:t>
      </w:r>
      <w:r w:rsidR="000A281E" w:rsidRPr="000A281E">
        <w:rPr>
          <w:i/>
        </w:rPr>
        <w:t>Civil</w:t>
      </w:r>
      <w:r w:rsidR="000A281E">
        <w:t xml:space="preserve"> and </w:t>
      </w:r>
      <w:r w:rsidR="000A281E" w:rsidRPr="000A281E">
        <w:rPr>
          <w:i/>
        </w:rPr>
        <w:t>Pre-trial</w:t>
      </w:r>
      <w:r w:rsidR="000A281E">
        <w:t xml:space="preserve"> discharges.  </w:t>
      </w:r>
      <w:r w:rsidR="00FC4911" w:rsidRPr="00FC4911">
        <w:rPr>
          <w:i/>
        </w:rPr>
        <w:t xml:space="preserve">Post-trial </w:t>
      </w:r>
      <w:r>
        <w:t xml:space="preserve">discharges were </w:t>
      </w:r>
      <w:r w:rsidR="00FC4911">
        <w:t>most likely to get readmitted</w:t>
      </w:r>
      <w:r w:rsidR="000A281E">
        <w:t>: their readmission rate</w:t>
      </w:r>
      <w:r>
        <w:t xml:space="preserve"> in FY14</w:t>
      </w:r>
      <w:r w:rsidR="000A281E">
        <w:t xml:space="preserve"> </w:t>
      </w:r>
      <w:r>
        <w:t>wa</w:t>
      </w:r>
      <w:r w:rsidR="000A281E">
        <w:t xml:space="preserve">s 5.3% for 30-day return, 15.8% for 90-day return, and 23.7% for 180-day return. </w:t>
      </w:r>
      <w:r w:rsidR="00FC4911">
        <w:t xml:space="preserve"> </w:t>
      </w:r>
      <w:r>
        <w:t>It i</w:t>
      </w:r>
      <w:r w:rsidR="00FC4911">
        <w:t xml:space="preserve">s not infrequent </w:t>
      </w:r>
      <w:r>
        <w:t xml:space="preserve">see </w:t>
      </w:r>
      <w:r w:rsidR="00FC4911">
        <w:t>an individual with a</w:t>
      </w:r>
      <w:r>
        <w:t xml:space="preserve"> post-trial legal status</w:t>
      </w:r>
      <w:r w:rsidR="00FC4911">
        <w:t xml:space="preserve"> return</w:t>
      </w:r>
      <w:r>
        <w:t>ing</w:t>
      </w:r>
      <w:r w:rsidR="00FC4911">
        <w:t xml:space="preserve"> to the Hospital because of failure to comply with the conditions of the court-ordered conditional release while in the community</w:t>
      </w:r>
      <w:r w:rsidR="002C205B">
        <w:t xml:space="preserve"> or due to an absence of a service ordered by the Court</w:t>
      </w:r>
      <w:r w:rsidR="00FC4911">
        <w:t xml:space="preserve">.  </w:t>
      </w:r>
      <w:r w:rsidR="002C205B">
        <w:t>Additionally, it should be noted that t</w:t>
      </w:r>
      <w:r w:rsidR="00FC4911">
        <w:t xml:space="preserve">he number of </w:t>
      </w:r>
      <w:r w:rsidR="00FC4911" w:rsidRPr="00FC4911">
        <w:rPr>
          <w:i/>
        </w:rPr>
        <w:t>Post-trial</w:t>
      </w:r>
      <w:r w:rsidR="00FC4911">
        <w:t xml:space="preserve"> discharges from the Hospital is relatively low</w:t>
      </w:r>
      <w:r>
        <w:t xml:space="preserve">, </w:t>
      </w:r>
      <w:r w:rsidR="002C205B">
        <w:t xml:space="preserve">and </w:t>
      </w:r>
      <w:r w:rsidR="00FC4911">
        <w:t xml:space="preserve">the number of </w:t>
      </w:r>
      <w:r w:rsidR="00FC4911" w:rsidRPr="00FC4911">
        <w:rPr>
          <w:i/>
        </w:rPr>
        <w:t>Post-trial</w:t>
      </w:r>
      <w:r w:rsidR="00FC4911">
        <w:t xml:space="preserve"> readmissions is </w:t>
      </w:r>
      <w:r w:rsidR="000A281E">
        <w:t xml:space="preserve">statistically </w:t>
      </w:r>
      <w:r>
        <w:t>in</w:t>
      </w:r>
      <w:r w:rsidR="00FC4911">
        <w:t>significant.</w:t>
      </w:r>
    </w:p>
    <w:p w:rsidR="00442A8D" w:rsidRPr="002A2DAE" w:rsidRDefault="00641AE5" w:rsidP="00A80446">
      <w:pPr>
        <w:pStyle w:val="KeyFindings"/>
      </w:pPr>
      <w:bookmarkStart w:id="188" w:name="_Toc384134286"/>
      <w:bookmarkEnd w:id="187"/>
      <w:r>
        <w:t>As the readmission rate declined in FY14, t</w:t>
      </w:r>
      <w:r w:rsidR="00D901CE">
        <w:t xml:space="preserve">he </w:t>
      </w:r>
      <w:r w:rsidR="0001280C">
        <w:t xml:space="preserve">trend of repeated readmissions by the same individuals </w:t>
      </w:r>
      <w:r w:rsidR="00D3672F">
        <w:t xml:space="preserve">also </w:t>
      </w:r>
      <w:r>
        <w:t>demonstrate</w:t>
      </w:r>
      <w:r w:rsidR="00DE13DD">
        <w:t>d</w:t>
      </w:r>
      <w:r>
        <w:t xml:space="preserve"> a </w:t>
      </w:r>
      <w:r w:rsidR="00AB5DCB">
        <w:t>decline</w:t>
      </w:r>
      <w:r>
        <w:t xml:space="preserve">.  </w:t>
      </w:r>
      <w:r w:rsidR="00AB5DCB">
        <w:t>T</w:t>
      </w:r>
      <w:r w:rsidR="00D901CE">
        <w:t>he number</w:t>
      </w:r>
      <w:r>
        <w:t xml:space="preserve"> and percentage</w:t>
      </w:r>
      <w:r w:rsidR="00D901CE">
        <w:t xml:space="preserve"> of unduplicated individuals involved in at least one readmission </w:t>
      </w:r>
      <w:r w:rsidR="00DE13DD">
        <w:t xml:space="preserve">noticeably </w:t>
      </w:r>
      <w:r>
        <w:t>decreased at all level</w:t>
      </w:r>
      <w:r w:rsidR="000D17A2">
        <w:t>s</w:t>
      </w:r>
      <w:r>
        <w:t>:</w:t>
      </w:r>
      <w:r w:rsidR="00D901CE">
        <w:t xml:space="preserve"> </w:t>
      </w:r>
      <w:r w:rsidR="00DE13DD">
        <w:t xml:space="preserve">of the ten (10) </w:t>
      </w:r>
      <w:r w:rsidR="00AB5DCB">
        <w:t xml:space="preserve">cases readmitted within </w:t>
      </w:r>
      <w:r w:rsidR="00DE13DD">
        <w:t>30</w:t>
      </w:r>
      <w:r w:rsidR="00802D4E">
        <w:t xml:space="preserve"> </w:t>
      </w:r>
      <w:r w:rsidR="00DE13DD">
        <w:t>day</w:t>
      </w:r>
      <w:r w:rsidR="00AB5DCB">
        <w:t>s</w:t>
      </w:r>
      <w:r w:rsidR="00DE13DD">
        <w:t xml:space="preserve"> in FY14, none involved repeated admissions</w:t>
      </w:r>
      <w:r w:rsidR="00DD1243">
        <w:rPr>
          <w:rStyle w:val="FootnoteReference"/>
        </w:rPr>
        <w:footnoteReference w:id="9"/>
      </w:r>
      <w:r w:rsidR="00C5423F">
        <w:t>,</w:t>
      </w:r>
      <w:r w:rsidR="00206ED2">
        <w:t xml:space="preserve"> </w:t>
      </w:r>
      <w:r w:rsidR="00C5423F">
        <w:t>whereas</w:t>
      </w:r>
      <w:r w:rsidR="00206ED2">
        <w:t xml:space="preserve"> </w:t>
      </w:r>
      <w:r w:rsidR="00A9573C">
        <w:t>two (2) individuals were readmitted within 30</w:t>
      </w:r>
      <w:r w:rsidR="00802D4E">
        <w:t xml:space="preserve"> </w:t>
      </w:r>
      <w:r w:rsidR="00A9573C">
        <w:t>days more than once in FY13</w:t>
      </w:r>
      <w:r w:rsidR="00206ED2">
        <w:t>.</w:t>
      </w:r>
      <w:r w:rsidR="00DE13DD">
        <w:t xml:space="preserve"> </w:t>
      </w:r>
      <w:r w:rsidR="00C5423F">
        <w:t xml:space="preserve"> </w:t>
      </w:r>
      <w:r w:rsidR="00370809">
        <w:t>Additionally, o</w:t>
      </w:r>
      <w:r w:rsidR="00DE13DD">
        <w:t xml:space="preserve">f the </w:t>
      </w:r>
      <w:r w:rsidR="00C5423F">
        <w:t>37 readmissions</w:t>
      </w:r>
      <w:r w:rsidR="00370809">
        <w:t xml:space="preserve"> </w:t>
      </w:r>
      <w:r w:rsidR="00C5423F">
        <w:t xml:space="preserve">within </w:t>
      </w:r>
      <w:r w:rsidR="00370809">
        <w:t>9</w:t>
      </w:r>
      <w:r w:rsidR="00206ED2">
        <w:t>0</w:t>
      </w:r>
      <w:r w:rsidR="00802D4E">
        <w:t xml:space="preserve"> </w:t>
      </w:r>
      <w:r w:rsidR="00206ED2">
        <w:t>day</w:t>
      </w:r>
      <w:r w:rsidR="00370809">
        <w:t>s of discharge in FY14</w:t>
      </w:r>
      <w:r w:rsidR="00DE13DD">
        <w:t xml:space="preserve">, </w:t>
      </w:r>
      <w:r w:rsidR="00C5423F">
        <w:t xml:space="preserve">four (4) or 11% </w:t>
      </w:r>
      <w:r w:rsidR="00DE13DD">
        <w:t>were repeated readmissions</w:t>
      </w:r>
      <w:r w:rsidR="00C00E21">
        <w:t>, whereas</w:t>
      </w:r>
      <w:r w:rsidR="00DE13DD">
        <w:t xml:space="preserve"> </w:t>
      </w:r>
      <w:r w:rsidR="00C5423F">
        <w:t>nine (9) or</w:t>
      </w:r>
      <w:r w:rsidR="00DE13DD">
        <w:t xml:space="preserve"> 1</w:t>
      </w:r>
      <w:r w:rsidR="00C5423F">
        <w:t>5</w:t>
      </w:r>
      <w:r w:rsidR="00DE13DD">
        <w:t xml:space="preserve">% </w:t>
      </w:r>
      <w:r w:rsidR="0077626D">
        <w:t xml:space="preserve">of 59 readmissions </w:t>
      </w:r>
      <w:r w:rsidR="00C5423F">
        <w:t xml:space="preserve">were repeated </w:t>
      </w:r>
      <w:r w:rsidR="0077626D">
        <w:t>ones</w:t>
      </w:r>
      <w:r w:rsidR="00C5423F">
        <w:t xml:space="preserve"> </w:t>
      </w:r>
      <w:r w:rsidR="00DE13DD">
        <w:t>in FY13.</w:t>
      </w:r>
      <w:bookmarkEnd w:id="188"/>
    </w:p>
    <w:p w:rsidR="00BF005C" w:rsidRPr="00BF005C" w:rsidRDefault="00BF005C" w:rsidP="00BF005C">
      <w:pPr>
        <w:keepNext/>
        <w:spacing w:before="120"/>
        <w:rPr>
          <w:rStyle w:val="FigureChar"/>
        </w:rPr>
      </w:pPr>
      <w:bookmarkStart w:id="189" w:name="_Toc416357966"/>
      <w:r w:rsidRPr="00650386">
        <w:rPr>
          <w:rStyle w:val="FigureChar"/>
        </w:rPr>
        <w:t xml:space="preserve">Table </w:t>
      </w:r>
      <w:r w:rsidR="002C054E" w:rsidRPr="00650386">
        <w:rPr>
          <w:rStyle w:val="FigureChar"/>
        </w:rPr>
        <w:fldChar w:fldCharType="begin"/>
      </w:r>
      <w:r w:rsidRPr="00650386">
        <w:rPr>
          <w:rStyle w:val="FigureChar"/>
        </w:rPr>
        <w:instrText xml:space="preserve"> SEQ Table \* ARABIC </w:instrText>
      </w:r>
      <w:r w:rsidR="002C054E" w:rsidRPr="00650386">
        <w:rPr>
          <w:rStyle w:val="FigureChar"/>
        </w:rPr>
        <w:fldChar w:fldCharType="separate"/>
      </w:r>
      <w:r w:rsidR="007E3DB6">
        <w:rPr>
          <w:rStyle w:val="FigureChar"/>
          <w:noProof/>
        </w:rPr>
        <w:t>13</w:t>
      </w:r>
      <w:r w:rsidR="002C054E" w:rsidRPr="00650386">
        <w:rPr>
          <w:rStyle w:val="FigureChar"/>
        </w:rPr>
        <w:fldChar w:fldCharType="end"/>
      </w:r>
      <w:r w:rsidRPr="00650386">
        <w:rPr>
          <w:rStyle w:val="FigureChar"/>
        </w:rPr>
        <w:t xml:space="preserve">. </w:t>
      </w:r>
      <w:r>
        <w:rPr>
          <w:rStyle w:val="FigureChar"/>
        </w:rPr>
        <w:t xml:space="preserve">Re-admissions </w:t>
      </w:r>
      <w:r w:rsidRPr="00650386">
        <w:rPr>
          <w:rStyle w:val="FigureChar"/>
        </w:rPr>
        <w:t>(</w:t>
      </w:r>
      <w:r>
        <w:rPr>
          <w:rStyle w:val="FigureChar"/>
        </w:rPr>
        <w:t>FY10 ~</w:t>
      </w:r>
      <w:r w:rsidR="00D81B82">
        <w:rPr>
          <w:rStyle w:val="FigureChar"/>
        </w:rPr>
        <w:t xml:space="preserve"> </w:t>
      </w:r>
      <w:r>
        <w:rPr>
          <w:rStyle w:val="FigureChar"/>
        </w:rPr>
        <w:t>FY1</w:t>
      </w:r>
      <w:r w:rsidR="00DE13DD">
        <w:rPr>
          <w:rStyle w:val="FigureChar"/>
        </w:rPr>
        <w:t>4</w:t>
      </w:r>
      <w:r w:rsidRPr="00650386">
        <w:rPr>
          <w:rStyle w:val="FigureChar"/>
        </w:rPr>
        <w:t>)</w:t>
      </w:r>
      <w:bookmarkEnd w:id="189"/>
    </w:p>
    <w:tbl>
      <w:tblPr>
        <w:tblW w:w="10095" w:type="dxa"/>
        <w:tblInd w:w="93" w:type="dxa"/>
        <w:tblLayout w:type="fixed"/>
        <w:tblLook w:val="04A0" w:firstRow="1" w:lastRow="0" w:firstColumn="1" w:lastColumn="0" w:noHBand="0" w:noVBand="1"/>
      </w:tblPr>
      <w:tblGrid>
        <w:gridCol w:w="1351"/>
        <w:gridCol w:w="3074"/>
        <w:gridCol w:w="1102"/>
        <w:gridCol w:w="1103"/>
        <w:gridCol w:w="1102"/>
        <w:gridCol w:w="1103"/>
        <w:gridCol w:w="1260"/>
      </w:tblGrid>
      <w:tr w:rsidR="009E22F9" w:rsidRPr="00EF1B2E" w:rsidTr="00AB5DCB">
        <w:trPr>
          <w:trHeight w:val="300"/>
        </w:trPr>
        <w:tc>
          <w:tcPr>
            <w:tcW w:w="4425" w:type="dxa"/>
            <w:gridSpan w:val="2"/>
            <w:tcBorders>
              <w:top w:val="single" w:sz="4" w:space="0" w:color="1F497D"/>
              <w:left w:val="single" w:sz="4" w:space="0" w:color="1F497D"/>
              <w:bottom w:val="single" w:sz="4" w:space="0" w:color="1F497D"/>
              <w:right w:val="single" w:sz="4" w:space="0" w:color="1F497D"/>
            </w:tcBorders>
            <w:shd w:val="clear" w:color="000000" w:fill="C6D9F1"/>
            <w:noWrap/>
            <w:vAlign w:val="center"/>
            <w:hideMark/>
          </w:tcPr>
          <w:p w:rsidR="009E22F9" w:rsidRPr="00EF1B2E" w:rsidRDefault="009E22F9" w:rsidP="00EF1B2E">
            <w:pPr>
              <w:jc w:val="center"/>
              <w:rPr>
                <w:b/>
                <w:bCs/>
                <w:color w:val="1F497D"/>
                <w:sz w:val="20"/>
                <w:lang w:eastAsia="ko-KR"/>
              </w:rPr>
            </w:pPr>
            <w:r w:rsidRPr="00EF1B2E">
              <w:rPr>
                <w:b/>
                <w:bCs/>
                <w:color w:val="1F497D" w:themeColor="text2"/>
                <w:sz w:val="20"/>
                <w:lang w:eastAsia="ko-KR"/>
              </w:rPr>
              <w:t>Category</w:t>
            </w:r>
          </w:p>
        </w:tc>
        <w:tc>
          <w:tcPr>
            <w:tcW w:w="1102" w:type="dxa"/>
            <w:tcBorders>
              <w:top w:val="single" w:sz="4" w:space="0" w:color="1F497D"/>
              <w:left w:val="single" w:sz="4" w:space="0" w:color="1F497D"/>
              <w:bottom w:val="single" w:sz="4" w:space="0" w:color="1F497D"/>
              <w:right w:val="single" w:sz="4" w:space="0" w:color="1F497D"/>
            </w:tcBorders>
            <w:shd w:val="clear" w:color="000000" w:fill="C6D9F1"/>
            <w:noWrap/>
            <w:vAlign w:val="center"/>
            <w:hideMark/>
          </w:tcPr>
          <w:p w:rsidR="009E22F9" w:rsidRPr="00EF1B2E" w:rsidRDefault="009E22F9" w:rsidP="00EF1B2E">
            <w:pPr>
              <w:jc w:val="center"/>
              <w:rPr>
                <w:b/>
                <w:bCs/>
                <w:color w:val="1F497D"/>
                <w:sz w:val="20"/>
                <w:lang w:eastAsia="ko-KR"/>
              </w:rPr>
            </w:pPr>
            <w:r w:rsidRPr="00EF1B2E">
              <w:rPr>
                <w:b/>
                <w:bCs/>
                <w:color w:val="1F497D" w:themeColor="text2"/>
                <w:sz w:val="20"/>
                <w:lang w:eastAsia="ko-KR"/>
              </w:rPr>
              <w:t>FY10</w:t>
            </w:r>
          </w:p>
        </w:tc>
        <w:tc>
          <w:tcPr>
            <w:tcW w:w="1103" w:type="dxa"/>
            <w:tcBorders>
              <w:top w:val="single" w:sz="4" w:space="0" w:color="1F497D"/>
              <w:left w:val="nil"/>
              <w:bottom w:val="single" w:sz="4" w:space="0" w:color="1F497D"/>
              <w:right w:val="single" w:sz="4" w:space="0" w:color="1F497D"/>
            </w:tcBorders>
            <w:shd w:val="clear" w:color="000000" w:fill="C6D9F1"/>
            <w:noWrap/>
            <w:vAlign w:val="center"/>
            <w:hideMark/>
          </w:tcPr>
          <w:p w:rsidR="009E22F9" w:rsidRPr="00EF1B2E" w:rsidRDefault="009E22F9" w:rsidP="00EF1B2E">
            <w:pPr>
              <w:jc w:val="center"/>
              <w:rPr>
                <w:b/>
                <w:bCs/>
                <w:color w:val="1F497D"/>
                <w:sz w:val="20"/>
                <w:lang w:eastAsia="ko-KR"/>
              </w:rPr>
            </w:pPr>
            <w:r w:rsidRPr="00EF1B2E">
              <w:rPr>
                <w:b/>
                <w:bCs/>
                <w:color w:val="1F497D" w:themeColor="text2"/>
                <w:sz w:val="20"/>
                <w:lang w:eastAsia="ko-KR"/>
              </w:rPr>
              <w:t>FY11</w:t>
            </w:r>
          </w:p>
        </w:tc>
        <w:tc>
          <w:tcPr>
            <w:tcW w:w="1102" w:type="dxa"/>
            <w:tcBorders>
              <w:top w:val="single" w:sz="4" w:space="0" w:color="1F497D"/>
              <w:left w:val="nil"/>
              <w:bottom w:val="single" w:sz="4" w:space="0" w:color="1F497D"/>
              <w:right w:val="single" w:sz="4" w:space="0" w:color="1F497D"/>
            </w:tcBorders>
            <w:shd w:val="clear" w:color="000000" w:fill="C6D9F1"/>
            <w:noWrap/>
            <w:vAlign w:val="center"/>
            <w:hideMark/>
          </w:tcPr>
          <w:p w:rsidR="009E22F9" w:rsidRPr="00EF1B2E" w:rsidRDefault="009E22F9" w:rsidP="00EF1B2E">
            <w:pPr>
              <w:jc w:val="center"/>
              <w:rPr>
                <w:b/>
                <w:bCs/>
                <w:color w:val="1F497D"/>
                <w:sz w:val="20"/>
                <w:lang w:eastAsia="ko-KR"/>
              </w:rPr>
            </w:pPr>
            <w:r w:rsidRPr="00EF1B2E">
              <w:rPr>
                <w:b/>
                <w:bCs/>
                <w:color w:val="1F497D" w:themeColor="text2"/>
                <w:sz w:val="20"/>
                <w:lang w:eastAsia="ko-KR"/>
              </w:rPr>
              <w:t>FY12</w:t>
            </w:r>
          </w:p>
        </w:tc>
        <w:tc>
          <w:tcPr>
            <w:tcW w:w="1103" w:type="dxa"/>
            <w:tcBorders>
              <w:top w:val="single" w:sz="4" w:space="0" w:color="1F497D"/>
              <w:left w:val="nil"/>
              <w:bottom w:val="single" w:sz="4" w:space="0" w:color="1F497D"/>
              <w:right w:val="single" w:sz="4" w:space="0" w:color="1F497D"/>
            </w:tcBorders>
            <w:shd w:val="clear" w:color="000000" w:fill="C6D9F1"/>
            <w:noWrap/>
            <w:vAlign w:val="center"/>
            <w:hideMark/>
          </w:tcPr>
          <w:p w:rsidR="009E22F9" w:rsidRPr="00EF1B2E" w:rsidRDefault="009E22F9" w:rsidP="00EF1B2E">
            <w:pPr>
              <w:jc w:val="center"/>
              <w:rPr>
                <w:b/>
                <w:bCs/>
                <w:color w:val="1F497D"/>
                <w:sz w:val="20"/>
                <w:lang w:eastAsia="ko-KR"/>
              </w:rPr>
            </w:pPr>
            <w:r w:rsidRPr="00EF1B2E">
              <w:rPr>
                <w:b/>
                <w:bCs/>
                <w:color w:val="1F497D" w:themeColor="text2"/>
                <w:sz w:val="20"/>
                <w:lang w:eastAsia="ko-KR"/>
              </w:rPr>
              <w:t>FY13</w:t>
            </w:r>
          </w:p>
        </w:tc>
        <w:tc>
          <w:tcPr>
            <w:tcW w:w="1260" w:type="dxa"/>
            <w:tcBorders>
              <w:top w:val="single" w:sz="4" w:space="0" w:color="1F497D"/>
              <w:left w:val="nil"/>
              <w:bottom w:val="single" w:sz="4" w:space="0" w:color="1F497D"/>
              <w:right w:val="single" w:sz="4" w:space="0" w:color="1F497D"/>
            </w:tcBorders>
            <w:shd w:val="clear" w:color="000000" w:fill="C6D9F1"/>
            <w:vAlign w:val="center"/>
          </w:tcPr>
          <w:p w:rsidR="009E22F9" w:rsidRPr="00EF1B2E" w:rsidRDefault="009E22F9" w:rsidP="00EF1B2E">
            <w:pPr>
              <w:jc w:val="center"/>
              <w:rPr>
                <w:b/>
                <w:bCs/>
                <w:color w:val="1F497D"/>
                <w:sz w:val="20"/>
                <w:lang w:eastAsia="ko-KR"/>
              </w:rPr>
            </w:pPr>
            <w:r>
              <w:rPr>
                <w:b/>
                <w:bCs/>
                <w:color w:val="1F497D"/>
                <w:sz w:val="20"/>
                <w:lang w:eastAsia="ko-KR"/>
              </w:rPr>
              <w:t>FY14</w:t>
            </w:r>
          </w:p>
        </w:tc>
      </w:tr>
      <w:tr w:rsidR="009E22F9" w:rsidRPr="00EF1B2E" w:rsidTr="00AB5DCB">
        <w:trPr>
          <w:trHeight w:val="300"/>
        </w:trPr>
        <w:tc>
          <w:tcPr>
            <w:tcW w:w="1351" w:type="dxa"/>
            <w:vMerge w:val="restart"/>
            <w:tcBorders>
              <w:top w:val="nil"/>
              <w:left w:val="single" w:sz="4" w:space="0" w:color="1F497D"/>
              <w:bottom w:val="nil"/>
            </w:tcBorders>
            <w:shd w:val="clear" w:color="auto" w:fill="auto"/>
            <w:vAlign w:val="center"/>
            <w:hideMark/>
          </w:tcPr>
          <w:p w:rsidR="009E22F9" w:rsidRPr="00EF1B2E" w:rsidRDefault="009E22F9" w:rsidP="00EF1B2E">
            <w:pPr>
              <w:rPr>
                <w:b/>
                <w:bCs/>
                <w:color w:val="1F497D"/>
                <w:sz w:val="20"/>
                <w:lang w:eastAsia="ko-KR"/>
              </w:rPr>
            </w:pPr>
            <w:r w:rsidRPr="00EF1B2E">
              <w:rPr>
                <w:b/>
                <w:bCs/>
                <w:color w:val="1F497D" w:themeColor="text2"/>
                <w:sz w:val="20"/>
                <w:lang w:eastAsia="ko-KR"/>
              </w:rPr>
              <w:t>Discharges</w:t>
            </w:r>
          </w:p>
        </w:tc>
        <w:tc>
          <w:tcPr>
            <w:tcW w:w="3074" w:type="dxa"/>
            <w:tcBorders>
              <w:top w:val="nil"/>
              <w:left w:val="nil"/>
              <w:bottom w:val="single" w:sz="4" w:space="0" w:color="1F497D"/>
              <w:right w:val="nil"/>
            </w:tcBorders>
            <w:shd w:val="clear" w:color="auto" w:fill="auto"/>
            <w:noWrap/>
            <w:vAlign w:val="center"/>
            <w:hideMark/>
          </w:tcPr>
          <w:p w:rsidR="009E22F9" w:rsidRPr="00EF1B2E" w:rsidRDefault="009E22F9" w:rsidP="00EF1B2E">
            <w:pPr>
              <w:rPr>
                <w:color w:val="1F497D"/>
                <w:sz w:val="20"/>
                <w:lang w:eastAsia="ko-KR"/>
              </w:rPr>
            </w:pPr>
            <w:r w:rsidRPr="00EF1B2E">
              <w:rPr>
                <w:color w:val="1F497D"/>
                <w:sz w:val="20"/>
                <w:lang w:eastAsia="ko-KR"/>
              </w:rPr>
              <w:t>Total</w:t>
            </w:r>
          </w:p>
        </w:tc>
        <w:tc>
          <w:tcPr>
            <w:tcW w:w="1102" w:type="dxa"/>
            <w:tcBorders>
              <w:top w:val="nil"/>
              <w:left w:val="single" w:sz="4" w:space="0" w:color="1F497D"/>
              <w:bottom w:val="single" w:sz="4" w:space="0" w:color="1F497D"/>
              <w:right w:val="single" w:sz="4" w:space="0" w:color="1F497D"/>
            </w:tcBorders>
            <w:shd w:val="clear" w:color="auto" w:fill="auto"/>
            <w:noWrap/>
            <w:vAlign w:val="center"/>
            <w:hideMark/>
          </w:tcPr>
          <w:p w:rsidR="009E22F9" w:rsidRPr="00EF1B2E" w:rsidRDefault="009E22F9" w:rsidP="00EF1B2E">
            <w:pPr>
              <w:jc w:val="center"/>
              <w:rPr>
                <w:color w:val="1F497D"/>
                <w:sz w:val="20"/>
                <w:lang w:eastAsia="ko-KR"/>
              </w:rPr>
            </w:pPr>
            <w:r w:rsidRPr="00EF1B2E">
              <w:rPr>
                <w:color w:val="1F497D" w:themeColor="text2"/>
                <w:sz w:val="20"/>
                <w:lang w:eastAsia="ko-KR"/>
              </w:rPr>
              <w:t>485</w:t>
            </w:r>
          </w:p>
        </w:tc>
        <w:tc>
          <w:tcPr>
            <w:tcW w:w="1103" w:type="dxa"/>
            <w:tcBorders>
              <w:top w:val="nil"/>
              <w:left w:val="nil"/>
              <w:bottom w:val="single" w:sz="4" w:space="0" w:color="1F497D"/>
              <w:right w:val="single" w:sz="4" w:space="0" w:color="1F497D"/>
            </w:tcBorders>
            <w:shd w:val="clear" w:color="auto" w:fill="auto"/>
            <w:noWrap/>
            <w:vAlign w:val="center"/>
            <w:hideMark/>
          </w:tcPr>
          <w:p w:rsidR="009E22F9" w:rsidRPr="00EF1B2E" w:rsidRDefault="009E22F9" w:rsidP="00EF1B2E">
            <w:pPr>
              <w:jc w:val="center"/>
              <w:rPr>
                <w:color w:val="1F497D"/>
                <w:sz w:val="20"/>
                <w:lang w:eastAsia="ko-KR"/>
              </w:rPr>
            </w:pPr>
            <w:r w:rsidRPr="00EF1B2E">
              <w:rPr>
                <w:color w:val="1F497D" w:themeColor="text2"/>
                <w:sz w:val="20"/>
                <w:lang w:eastAsia="ko-KR"/>
              </w:rPr>
              <w:t>444</w:t>
            </w:r>
          </w:p>
        </w:tc>
        <w:tc>
          <w:tcPr>
            <w:tcW w:w="1102" w:type="dxa"/>
            <w:tcBorders>
              <w:top w:val="nil"/>
              <w:left w:val="nil"/>
              <w:bottom w:val="single" w:sz="4" w:space="0" w:color="1F497D"/>
              <w:right w:val="single" w:sz="4" w:space="0" w:color="1F497D"/>
            </w:tcBorders>
            <w:shd w:val="clear" w:color="auto" w:fill="auto"/>
            <w:noWrap/>
            <w:vAlign w:val="center"/>
            <w:hideMark/>
          </w:tcPr>
          <w:p w:rsidR="009E22F9" w:rsidRPr="00EF1B2E" w:rsidRDefault="009E22F9" w:rsidP="00EF1B2E">
            <w:pPr>
              <w:jc w:val="center"/>
              <w:rPr>
                <w:color w:val="1F497D"/>
                <w:sz w:val="20"/>
                <w:lang w:eastAsia="ko-KR"/>
              </w:rPr>
            </w:pPr>
            <w:r w:rsidRPr="00EF1B2E">
              <w:rPr>
                <w:color w:val="1F497D" w:themeColor="text2"/>
                <w:sz w:val="20"/>
                <w:lang w:eastAsia="ko-KR"/>
              </w:rPr>
              <w:t>411</w:t>
            </w:r>
          </w:p>
        </w:tc>
        <w:tc>
          <w:tcPr>
            <w:tcW w:w="1103" w:type="dxa"/>
            <w:tcBorders>
              <w:top w:val="nil"/>
              <w:left w:val="nil"/>
              <w:bottom w:val="single" w:sz="4" w:space="0" w:color="1F497D"/>
              <w:right w:val="single" w:sz="4" w:space="0" w:color="1F497D"/>
            </w:tcBorders>
            <w:shd w:val="clear" w:color="auto" w:fill="auto"/>
            <w:noWrap/>
            <w:vAlign w:val="center"/>
            <w:hideMark/>
          </w:tcPr>
          <w:p w:rsidR="009E22F9" w:rsidRPr="00EF1B2E" w:rsidRDefault="009E22F9" w:rsidP="00EF1B2E">
            <w:pPr>
              <w:jc w:val="center"/>
              <w:rPr>
                <w:color w:val="1F497D"/>
                <w:sz w:val="20"/>
                <w:lang w:eastAsia="ko-KR"/>
              </w:rPr>
            </w:pPr>
            <w:r w:rsidRPr="00EF1B2E">
              <w:rPr>
                <w:color w:val="1F497D" w:themeColor="text2"/>
                <w:sz w:val="20"/>
                <w:lang w:eastAsia="ko-KR"/>
              </w:rPr>
              <w:t>429</w:t>
            </w:r>
          </w:p>
        </w:tc>
        <w:tc>
          <w:tcPr>
            <w:tcW w:w="1260" w:type="dxa"/>
            <w:tcBorders>
              <w:top w:val="nil"/>
              <w:left w:val="nil"/>
              <w:bottom w:val="single" w:sz="4" w:space="0" w:color="1F497D"/>
              <w:right w:val="single" w:sz="4" w:space="0" w:color="1F497D"/>
            </w:tcBorders>
            <w:shd w:val="clear" w:color="auto" w:fill="auto"/>
            <w:vAlign w:val="center"/>
          </w:tcPr>
          <w:p w:rsidR="009E22F9" w:rsidRPr="00EF1B2E" w:rsidRDefault="008A452E" w:rsidP="00EF1B2E">
            <w:pPr>
              <w:jc w:val="center"/>
              <w:rPr>
                <w:color w:val="1F497D"/>
                <w:sz w:val="20"/>
                <w:lang w:eastAsia="ko-KR"/>
              </w:rPr>
            </w:pPr>
            <w:r>
              <w:rPr>
                <w:color w:val="1F497D"/>
                <w:sz w:val="20"/>
                <w:lang w:eastAsia="ko-KR"/>
              </w:rPr>
              <w:t>429</w:t>
            </w:r>
          </w:p>
        </w:tc>
      </w:tr>
      <w:tr w:rsidR="009E22F9" w:rsidRPr="00EF1B2E" w:rsidTr="00AB5DCB">
        <w:trPr>
          <w:trHeight w:val="300"/>
        </w:trPr>
        <w:tc>
          <w:tcPr>
            <w:tcW w:w="1351" w:type="dxa"/>
            <w:vMerge/>
            <w:tcBorders>
              <w:top w:val="nil"/>
              <w:left w:val="single" w:sz="4" w:space="0" w:color="1F497D"/>
              <w:bottom w:val="nil"/>
            </w:tcBorders>
            <w:vAlign w:val="center"/>
            <w:hideMark/>
          </w:tcPr>
          <w:p w:rsidR="009E22F9" w:rsidRPr="00EF1B2E" w:rsidRDefault="009E22F9" w:rsidP="00EF1B2E">
            <w:pPr>
              <w:rPr>
                <w:b/>
                <w:bCs/>
                <w:color w:val="1F497D"/>
                <w:sz w:val="20"/>
                <w:lang w:eastAsia="ko-KR"/>
              </w:rPr>
            </w:pPr>
          </w:p>
        </w:tc>
        <w:tc>
          <w:tcPr>
            <w:tcW w:w="3074" w:type="dxa"/>
            <w:tcBorders>
              <w:top w:val="nil"/>
              <w:left w:val="nil"/>
              <w:bottom w:val="nil"/>
              <w:right w:val="nil"/>
            </w:tcBorders>
            <w:shd w:val="clear" w:color="auto" w:fill="auto"/>
            <w:noWrap/>
            <w:vAlign w:val="center"/>
            <w:hideMark/>
          </w:tcPr>
          <w:p w:rsidR="009E22F9" w:rsidRPr="00EF1B2E" w:rsidRDefault="009E22F9" w:rsidP="00EF1B2E">
            <w:pPr>
              <w:rPr>
                <w:color w:val="1F497D"/>
                <w:sz w:val="20"/>
                <w:lang w:eastAsia="ko-KR"/>
              </w:rPr>
            </w:pPr>
            <w:r w:rsidRPr="00EF1B2E">
              <w:rPr>
                <w:color w:val="1F497D"/>
                <w:sz w:val="20"/>
                <w:lang w:eastAsia="ko-KR"/>
              </w:rPr>
              <w:t>Monthly Average</w:t>
            </w:r>
            <w:r>
              <w:rPr>
                <w:color w:val="1F497D"/>
                <w:sz w:val="20"/>
                <w:lang w:eastAsia="ko-KR"/>
              </w:rPr>
              <w:t xml:space="preserve"> Discharge</w:t>
            </w:r>
          </w:p>
        </w:tc>
        <w:tc>
          <w:tcPr>
            <w:tcW w:w="1102" w:type="dxa"/>
            <w:tcBorders>
              <w:top w:val="nil"/>
              <w:left w:val="single" w:sz="4" w:space="0" w:color="1F497D"/>
              <w:bottom w:val="nil"/>
              <w:right w:val="single" w:sz="4" w:space="0" w:color="1F497D"/>
            </w:tcBorders>
            <w:shd w:val="clear" w:color="auto" w:fill="auto"/>
            <w:noWrap/>
            <w:vAlign w:val="center"/>
            <w:hideMark/>
          </w:tcPr>
          <w:p w:rsidR="009E22F9" w:rsidRPr="00EF1B2E" w:rsidRDefault="009E22F9" w:rsidP="00EF1B2E">
            <w:pPr>
              <w:jc w:val="center"/>
              <w:rPr>
                <w:color w:val="1F497D"/>
                <w:sz w:val="20"/>
                <w:lang w:eastAsia="ko-KR"/>
              </w:rPr>
            </w:pPr>
            <w:r w:rsidRPr="00EF1B2E">
              <w:rPr>
                <w:color w:val="1F497D"/>
                <w:sz w:val="20"/>
                <w:lang w:eastAsia="ko-KR"/>
              </w:rPr>
              <w:t>40</w:t>
            </w:r>
          </w:p>
        </w:tc>
        <w:tc>
          <w:tcPr>
            <w:tcW w:w="1103" w:type="dxa"/>
            <w:tcBorders>
              <w:top w:val="nil"/>
              <w:left w:val="nil"/>
              <w:bottom w:val="nil"/>
              <w:right w:val="single" w:sz="4" w:space="0" w:color="1F497D"/>
            </w:tcBorders>
            <w:shd w:val="clear" w:color="auto" w:fill="auto"/>
            <w:noWrap/>
            <w:vAlign w:val="center"/>
            <w:hideMark/>
          </w:tcPr>
          <w:p w:rsidR="009E22F9" w:rsidRPr="00EF1B2E" w:rsidRDefault="009E22F9" w:rsidP="00EF1B2E">
            <w:pPr>
              <w:jc w:val="center"/>
              <w:rPr>
                <w:color w:val="1F497D"/>
                <w:sz w:val="20"/>
                <w:lang w:eastAsia="ko-KR"/>
              </w:rPr>
            </w:pPr>
            <w:r w:rsidRPr="00EF1B2E">
              <w:rPr>
                <w:color w:val="1F497D"/>
                <w:sz w:val="20"/>
                <w:lang w:eastAsia="ko-KR"/>
              </w:rPr>
              <w:t>37</w:t>
            </w:r>
          </w:p>
        </w:tc>
        <w:tc>
          <w:tcPr>
            <w:tcW w:w="1102" w:type="dxa"/>
            <w:tcBorders>
              <w:top w:val="nil"/>
              <w:left w:val="nil"/>
              <w:bottom w:val="nil"/>
              <w:right w:val="single" w:sz="4" w:space="0" w:color="1F497D"/>
            </w:tcBorders>
            <w:shd w:val="clear" w:color="auto" w:fill="auto"/>
            <w:noWrap/>
            <w:vAlign w:val="center"/>
            <w:hideMark/>
          </w:tcPr>
          <w:p w:rsidR="009E22F9" w:rsidRPr="00EF1B2E" w:rsidRDefault="009E22F9" w:rsidP="00EF1B2E">
            <w:pPr>
              <w:jc w:val="center"/>
              <w:rPr>
                <w:color w:val="1F497D"/>
                <w:sz w:val="20"/>
                <w:lang w:eastAsia="ko-KR"/>
              </w:rPr>
            </w:pPr>
            <w:r w:rsidRPr="00EF1B2E">
              <w:rPr>
                <w:color w:val="1F497D"/>
                <w:sz w:val="20"/>
                <w:lang w:eastAsia="ko-KR"/>
              </w:rPr>
              <w:t>34</w:t>
            </w:r>
          </w:p>
        </w:tc>
        <w:tc>
          <w:tcPr>
            <w:tcW w:w="1103" w:type="dxa"/>
            <w:tcBorders>
              <w:top w:val="nil"/>
              <w:left w:val="nil"/>
              <w:bottom w:val="nil"/>
              <w:right w:val="single" w:sz="4" w:space="0" w:color="1F497D"/>
            </w:tcBorders>
            <w:shd w:val="clear" w:color="auto" w:fill="auto"/>
            <w:noWrap/>
            <w:vAlign w:val="center"/>
            <w:hideMark/>
          </w:tcPr>
          <w:p w:rsidR="009E22F9" w:rsidRPr="00EF1B2E" w:rsidRDefault="009E22F9" w:rsidP="00EF1B2E">
            <w:pPr>
              <w:jc w:val="center"/>
              <w:rPr>
                <w:color w:val="1F497D"/>
                <w:sz w:val="20"/>
                <w:lang w:eastAsia="ko-KR"/>
              </w:rPr>
            </w:pPr>
            <w:r w:rsidRPr="00EF1B2E">
              <w:rPr>
                <w:color w:val="1F497D"/>
                <w:sz w:val="20"/>
                <w:lang w:eastAsia="ko-KR"/>
              </w:rPr>
              <w:t>36</w:t>
            </w:r>
          </w:p>
        </w:tc>
        <w:tc>
          <w:tcPr>
            <w:tcW w:w="1260" w:type="dxa"/>
            <w:tcBorders>
              <w:top w:val="nil"/>
              <w:left w:val="nil"/>
              <w:bottom w:val="nil"/>
              <w:right w:val="single" w:sz="4" w:space="0" w:color="1F497D"/>
            </w:tcBorders>
            <w:shd w:val="clear" w:color="auto" w:fill="auto"/>
            <w:vAlign w:val="center"/>
          </w:tcPr>
          <w:p w:rsidR="009E22F9" w:rsidRPr="00EF1B2E" w:rsidRDefault="008A452E" w:rsidP="00EF1B2E">
            <w:pPr>
              <w:jc w:val="center"/>
              <w:rPr>
                <w:color w:val="1F497D"/>
                <w:sz w:val="20"/>
                <w:lang w:eastAsia="ko-KR"/>
              </w:rPr>
            </w:pPr>
            <w:r>
              <w:rPr>
                <w:color w:val="1F497D"/>
                <w:sz w:val="20"/>
                <w:lang w:eastAsia="ko-KR"/>
              </w:rPr>
              <w:t>36</w:t>
            </w:r>
          </w:p>
        </w:tc>
      </w:tr>
      <w:tr w:rsidR="009E22F9" w:rsidRPr="00EF1B2E" w:rsidTr="00AB5DCB">
        <w:trPr>
          <w:trHeight w:val="300"/>
        </w:trPr>
        <w:tc>
          <w:tcPr>
            <w:tcW w:w="1351" w:type="dxa"/>
            <w:vMerge w:val="restart"/>
            <w:tcBorders>
              <w:top w:val="single" w:sz="4" w:space="0" w:color="1F497D"/>
              <w:left w:val="single" w:sz="4" w:space="0" w:color="1F497D"/>
              <w:bottom w:val="single" w:sz="4" w:space="0" w:color="1F497D"/>
            </w:tcBorders>
            <w:shd w:val="clear" w:color="auto" w:fill="auto"/>
            <w:vAlign w:val="center"/>
            <w:hideMark/>
          </w:tcPr>
          <w:p w:rsidR="009E22F9" w:rsidRPr="00EF1B2E" w:rsidRDefault="009E22F9" w:rsidP="00EF1B2E">
            <w:pPr>
              <w:rPr>
                <w:b/>
                <w:bCs/>
                <w:color w:val="1F497D"/>
                <w:sz w:val="20"/>
                <w:lang w:eastAsia="ko-KR"/>
              </w:rPr>
            </w:pPr>
            <w:r w:rsidRPr="00EF1B2E">
              <w:rPr>
                <w:b/>
                <w:bCs/>
                <w:color w:val="1F497D"/>
                <w:sz w:val="20"/>
                <w:u w:val="single"/>
                <w:lang w:eastAsia="ko-KR"/>
              </w:rPr>
              <w:t>30-Day</w:t>
            </w:r>
            <w:r w:rsidRPr="00EF1B2E">
              <w:rPr>
                <w:b/>
                <w:bCs/>
                <w:color w:val="1F497D"/>
                <w:sz w:val="20"/>
                <w:lang w:eastAsia="ko-KR"/>
              </w:rPr>
              <w:t xml:space="preserve"> Readmission</w:t>
            </w:r>
          </w:p>
        </w:tc>
        <w:tc>
          <w:tcPr>
            <w:tcW w:w="3074" w:type="dxa"/>
            <w:tcBorders>
              <w:top w:val="single" w:sz="4" w:space="0" w:color="1F497D"/>
              <w:left w:val="nil"/>
              <w:bottom w:val="single" w:sz="4" w:space="0" w:color="1F497D"/>
              <w:right w:val="nil"/>
            </w:tcBorders>
            <w:shd w:val="clear" w:color="auto" w:fill="auto"/>
            <w:noWrap/>
            <w:vAlign w:val="center"/>
            <w:hideMark/>
          </w:tcPr>
          <w:p w:rsidR="009E22F9" w:rsidRPr="00EF1B2E" w:rsidRDefault="009E22F9" w:rsidP="00EF1B2E">
            <w:pPr>
              <w:rPr>
                <w:color w:val="1F497D"/>
                <w:sz w:val="20"/>
                <w:lang w:eastAsia="ko-KR"/>
              </w:rPr>
            </w:pPr>
            <w:r w:rsidRPr="00EF1B2E">
              <w:rPr>
                <w:color w:val="1F497D" w:themeColor="text2"/>
                <w:sz w:val="20"/>
                <w:lang w:eastAsia="ko-KR"/>
              </w:rPr>
              <w:t>Total</w:t>
            </w:r>
          </w:p>
        </w:tc>
        <w:tc>
          <w:tcPr>
            <w:tcW w:w="1102" w:type="dxa"/>
            <w:tcBorders>
              <w:top w:val="single" w:sz="4" w:space="0" w:color="1F497D"/>
              <w:left w:val="single" w:sz="4" w:space="0" w:color="1F497D"/>
              <w:bottom w:val="single" w:sz="4" w:space="0" w:color="1F497D"/>
              <w:right w:val="single" w:sz="4" w:space="0" w:color="1F497D"/>
            </w:tcBorders>
            <w:shd w:val="clear" w:color="auto" w:fill="auto"/>
            <w:noWrap/>
            <w:vAlign w:val="center"/>
            <w:hideMark/>
          </w:tcPr>
          <w:p w:rsidR="009E22F9" w:rsidRPr="00EF1B2E" w:rsidRDefault="009E22F9" w:rsidP="00EF1B2E">
            <w:pPr>
              <w:jc w:val="center"/>
              <w:rPr>
                <w:b/>
                <w:bCs/>
                <w:color w:val="1F497D"/>
                <w:sz w:val="20"/>
                <w:lang w:eastAsia="ko-KR"/>
              </w:rPr>
            </w:pPr>
            <w:r w:rsidRPr="00EF1B2E">
              <w:rPr>
                <w:b/>
                <w:bCs/>
                <w:color w:val="1F497D" w:themeColor="text2"/>
                <w:sz w:val="20"/>
                <w:lang w:eastAsia="ko-KR"/>
              </w:rPr>
              <w:t>33</w:t>
            </w:r>
          </w:p>
        </w:tc>
        <w:tc>
          <w:tcPr>
            <w:tcW w:w="1103" w:type="dxa"/>
            <w:tcBorders>
              <w:top w:val="single" w:sz="4" w:space="0" w:color="1F497D"/>
              <w:left w:val="nil"/>
              <w:bottom w:val="single" w:sz="4" w:space="0" w:color="1F497D"/>
              <w:right w:val="single" w:sz="4" w:space="0" w:color="1F497D"/>
            </w:tcBorders>
            <w:shd w:val="clear" w:color="auto" w:fill="auto"/>
            <w:noWrap/>
            <w:vAlign w:val="center"/>
            <w:hideMark/>
          </w:tcPr>
          <w:p w:rsidR="009E22F9" w:rsidRPr="00EF1B2E" w:rsidRDefault="009E22F9" w:rsidP="00EF1B2E">
            <w:pPr>
              <w:jc w:val="center"/>
              <w:rPr>
                <w:b/>
                <w:bCs/>
                <w:color w:val="1F497D"/>
                <w:sz w:val="20"/>
                <w:lang w:eastAsia="ko-KR"/>
              </w:rPr>
            </w:pPr>
            <w:r w:rsidRPr="00EF1B2E">
              <w:rPr>
                <w:b/>
                <w:bCs/>
                <w:color w:val="1F497D" w:themeColor="text2"/>
                <w:sz w:val="20"/>
                <w:lang w:eastAsia="ko-KR"/>
              </w:rPr>
              <w:t>23</w:t>
            </w:r>
          </w:p>
        </w:tc>
        <w:tc>
          <w:tcPr>
            <w:tcW w:w="1102" w:type="dxa"/>
            <w:tcBorders>
              <w:top w:val="single" w:sz="4" w:space="0" w:color="1F497D"/>
              <w:left w:val="nil"/>
              <w:bottom w:val="single" w:sz="4" w:space="0" w:color="1F497D"/>
              <w:right w:val="single" w:sz="4" w:space="0" w:color="1F497D"/>
            </w:tcBorders>
            <w:shd w:val="clear" w:color="auto" w:fill="auto"/>
            <w:noWrap/>
            <w:vAlign w:val="center"/>
            <w:hideMark/>
          </w:tcPr>
          <w:p w:rsidR="009E22F9" w:rsidRPr="00EF1B2E" w:rsidRDefault="009E22F9" w:rsidP="00EF1B2E">
            <w:pPr>
              <w:jc w:val="center"/>
              <w:rPr>
                <w:b/>
                <w:bCs/>
                <w:color w:val="1F497D"/>
                <w:sz w:val="20"/>
                <w:lang w:eastAsia="ko-KR"/>
              </w:rPr>
            </w:pPr>
            <w:r w:rsidRPr="00EF1B2E">
              <w:rPr>
                <w:b/>
                <w:bCs/>
                <w:color w:val="1F497D" w:themeColor="text2"/>
                <w:sz w:val="20"/>
                <w:lang w:eastAsia="ko-KR"/>
              </w:rPr>
              <w:t>22</w:t>
            </w:r>
          </w:p>
        </w:tc>
        <w:tc>
          <w:tcPr>
            <w:tcW w:w="1103" w:type="dxa"/>
            <w:tcBorders>
              <w:top w:val="single" w:sz="4" w:space="0" w:color="1F497D"/>
              <w:left w:val="nil"/>
              <w:bottom w:val="single" w:sz="4" w:space="0" w:color="1F497D"/>
              <w:right w:val="single" w:sz="4" w:space="0" w:color="1F497D"/>
            </w:tcBorders>
            <w:shd w:val="clear" w:color="auto" w:fill="auto"/>
            <w:noWrap/>
            <w:vAlign w:val="center"/>
            <w:hideMark/>
          </w:tcPr>
          <w:p w:rsidR="009E22F9" w:rsidRPr="00EF1B2E" w:rsidRDefault="009E22F9" w:rsidP="00EF1B2E">
            <w:pPr>
              <w:jc w:val="center"/>
              <w:rPr>
                <w:b/>
                <w:bCs/>
                <w:color w:val="1F497D"/>
                <w:sz w:val="20"/>
                <w:lang w:eastAsia="ko-KR"/>
              </w:rPr>
            </w:pPr>
            <w:r w:rsidRPr="00EF1B2E">
              <w:rPr>
                <w:b/>
                <w:bCs/>
                <w:color w:val="1F497D" w:themeColor="text2"/>
                <w:sz w:val="20"/>
                <w:lang w:eastAsia="ko-KR"/>
              </w:rPr>
              <w:t>24</w:t>
            </w:r>
          </w:p>
        </w:tc>
        <w:tc>
          <w:tcPr>
            <w:tcW w:w="1260" w:type="dxa"/>
            <w:tcBorders>
              <w:top w:val="single" w:sz="4" w:space="0" w:color="1F497D"/>
              <w:left w:val="nil"/>
              <w:bottom w:val="single" w:sz="4" w:space="0" w:color="1F497D"/>
              <w:right w:val="single" w:sz="4" w:space="0" w:color="1F497D"/>
            </w:tcBorders>
            <w:shd w:val="clear" w:color="auto" w:fill="auto"/>
            <w:vAlign w:val="center"/>
          </w:tcPr>
          <w:p w:rsidR="009E22F9" w:rsidRPr="00EF1B2E" w:rsidRDefault="008A452E" w:rsidP="00EF1B2E">
            <w:pPr>
              <w:jc w:val="center"/>
              <w:rPr>
                <w:b/>
                <w:bCs/>
                <w:color w:val="1F497D"/>
                <w:sz w:val="20"/>
                <w:lang w:eastAsia="ko-KR"/>
              </w:rPr>
            </w:pPr>
            <w:r>
              <w:rPr>
                <w:b/>
                <w:bCs/>
                <w:color w:val="1F497D"/>
                <w:sz w:val="20"/>
                <w:lang w:eastAsia="ko-KR"/>
              </w:rPr>
              <w:t>10</w:t>
            </w:r>
          </w:p>
        </w:tc>
      </w:tr>
      <w:tr w:rsidR="009E22F9" w:rsidRPr="00EF1B2E" w:rsidTr="00AB5DCB">
        <w:trPr>
          <w:trHeight w:val="300"/>
        </w:trPr>
        <w:tc>
          <w:tcPr>
            <w:tcW w:w="1351" w:type="dxa"/>
            <w:vMerge/>
            <w:tcBorders>
              <w:top w:val="single" w:sz="4" w:space="0" w:color="1F497D"/>
              <w:left w:val="single" w:sz="4" w:space="0" w:color="1F497D"/>
              <w:bottom w:val="single" w:sz="4" w:space="0" w:color="1F497D"/>
            </w:tcBorders>
            <w:vAlign w:val="center"/>
            <w:hideMark/>
          </w:tcPr>
          <w:p w:rsidR="009E22F9" w:rsidRPr="00EF1B2E" w:rsidRDefault="009E22F9" w:rsidP="00EF1B2E">
            <w:pPr>
              <w:rPr>
                <w:b/>
                <w:bCs/>
                <w:color w:val="1F497D"/>
                <w:sz w:val="20"/>
                <w:lang w:eastAsia="ko-KR"/>
              </w:rPr>
            </w:pPr>
          </w:p>
        </w:tc>
        <w:tc>
          <w:tcPr>
            <w:tcW w:w="3074" w:type="dxa"/>
            <w:tcBorders>
              <w:top w:val="nil"/>
              <w:left w:val="nil"/>
              <w:bottom w:val="single" w:sz="4" w:space="0" w:color="1F497D"/>
              <w:right w:val="nil"/>
            </w:tcBorders>
            <w:shd w:val="clear" w:color="auto" w:fill="auto"/>
            <w:noWrap/>
            <w:vAlign w:val="center"/>
            <w:hideMark/>
          </w:tcPr>
          <w:p w:rsidR="009E22F9" w:rsidRPr="00EF1B2E" w:rsidRDefault="009E22F9" w:rsidP="00EF1B2E">
            <w:pPr>
              <w:rPr>
                <w:color w:val="1F497D"/>
                <w:sz w:val="20"/>
                <w:lang w:eastAsia="ko-KR"/>
              </w:rPr>
            </w:pPr>
            <w:r w:rsidRPr="00EF1B2E">
              <w:rPr>
                <w:color w:val="1F497D"/>
                <w:sz w:val="20"/>
                <w:lang w:eastAsia="ko-KR"/>
              </w:rPr>
              <w:t>Monthly Average</w:t>
            </w:r>
          </w:p>
        </w:tc>
        <w:tc>
          <w:tcPr>
            <w:tcW w:w="1102" w:type="dxa"/>
            <w:tcBorders>
              <w:top w:val="nil"/>
              <w:left w:val="single" w:sz="4" w:space="0" w:color="1F497D"/>
              <w:bottom w:val="single" w:sz="4" w:space="0" w:color="1F497D"/>
              <w:right w:val="single" w:sz="4" w:space="0" w:color="1F497D"/>
            </w:tcBorders>
            <w:shd w:val="clear" w:color="auto" w:fill="auto"/>
            <w:noWrap/>
            <w:vAlign w:val="center"/>
            <w:hideMark/>
          </w:tcPr>
          <w:p w:rsidR="009E22F9" w:rsidRPr="00EF1B2E" w:rsidRDefault="009E22F9" w:rsidP="00EF1B2E">
            <w:pPr>
              <w:jc w:val="center"/>
              <w:rPr>
                <w:b/>
                <w:bCs/>
                <w:color w:val="1F497D"/>
                <w:sz w:val="20"/>
                <w:lang w:eastAsia="ko-KR"/>
              </w:rPr>
            </w:pPr>
            <w:r w:rsidRPr="00EF1B2E">
              <w:rPr>
                <w:b/>
                <w:bCs/>
                <w:color w:val="1F497D"/>
                <w:sz w:val="20"/>
                <w:lang w:eastAsia="ko-KR"/>
              </w:rPr>
              <w:t>2.8</w:t>
            </w:r>
          </w:p>
        </w:tc>
        <w:tc>
          <w:tcPr>
            <w:tcW w:w="1103" w:type="dxa"/>
            <w:tcBorders>
              <w:top w:val="nil"/>
              <w:left w:val="nil"/>
              <w:bottom w:val="single" w:sz="4" w:space="0" w:color="1F497D"/>
              <w:right w:val="single" w:sz="4" w:space="0" w:color="1F497D"/>
            </w:tcBorders>
            <w:shd w:val="clear" w:color="auto" w:fill="auto"/>
            <w:noWrap/>
            <w:vAlign w:val="center"/>
            <w:hideMark/>
          </w:tcPr>
          <w:p w:rsidR="009E22F9" w:rsidRPr="00EF1B2E" w:rsidRDefault="009E22F9" w:rsidP="00EF1B2E">
            <w:pPr>
              <w:jc w:val="center"/>
              <w:rPr>
                <w:b/>
                <w:bCs/>
                <w:color w:val="1F497D"/>
                <w:sz w:val="20"/>
                <w:lang w:eastAsia="ko-KR"/>
              </w:rPr>
            </w:pPr>
            <w:r w:rsidRPr="00EF1B2E">
              <w:rPr>
                <w:b/>
                <w:bCs/>
                <w:color w:val="1F497D"/>
                <w:sz w:val="20"/>
                <w:lang w:eastAsia="ko-KR"/>
              </w:rPr>
              <w:t>1.9</w:t>
            </w:r>
          </w:p>
        </w:tc>
        <w:tc>
          <w:tcPr>
            <w:tcW w:w="1102" w:type="dxa"/>
            <w:tcBorders>
              <w:top w:val="nil"/>
              <w:left w:val="nil"/>
              <w:bottom w:val="single" w:sz="4" w:space="0" w:color="1F497D"/>
              <w:right w:val="single" w:sz="4" w:space="0" w:color="1F497D"/>
            </w:tcBorders>
            <w:shd w:val="clear" w:color="auto" w:fill="auto"/>
            <w:noWrap/>
            <w:vAlign w:val="center"/>
            <w:hideMark/>
          </w:tcPr>
          <w:p w:rsidR="009E22F9" w:rsidRPr="00EF1B2E" w:rsidRDefault="009E22F9" w:rsidP="00EF1B2E">
            <w:pPr>
              <w:jc w:val="center"/>
              <w:rPr>
                <w:b/>
                <w:bCs/>
                <w:color w:val="1F497D"/>
                <w:sz w:val="20"/>
                <w:lang w:eastAsia="ko-KR"/>
              </w:rPr>
            </w:pPr>
            <w:r w:rsidRPr="00EF1B2E">
              <w:rPr>
                <w:b/>
                <w:bCs/>
                <w:color w:val="1F497D"/>
                <w:sz w:val="20"/>
                <w:lang w:eastAsia="ko-KR"/>
              </w:rPr>
              <w:t>1.8</w:t>
            </w:r>
          </w:p>
        </w:tc>
        <w:tc>
          <w:tcPr>
            <w:tcW w:w="1103" w:type="dxa"/>
            <w:tcBorders>
              <w:top w:val="nil"/>
              <w:left w:val="nil"/>
              <w:bottom w:val="single" w:sz="4" w:space="0" w:color="1F497D"/>
              <w:right w:val="single" w:sz="4" w:space="0" w:color="1F497D"/>
            </w:tcBorders>
            <w:shd w:val="clear" w:color="auto" w:fill="auto"/>
            <w:noWrap/>
            <w:vAlign w:val="center"/>
            <w:hideMark/>
          </w:tcPr>
          <w:p w:rsidR="009E22F9" w:rsidRPr="00EF1B2E" w:rsidRDefault="009E22F9" w:rsidP="00EF1B2E">
            <w:pPr>
              <w:jc w:val="center"/>
              <w:rPr>
                <w:b/>
                <w:bCs/>
                <w:color w:val="1F497D"/>
                <w:sz w:val="20"/>
                <w:lang w:eastAsia="ko-KR"/>
              </w:rPr>
            </w:pPr>
            <w:r w:rsidRPr="00EF1B2E">
              <w:rPr>
                <w:b/>
                <w:bCs/>
                <w:color w:val="1F497D"/>
                <w:sz w:val="20"/>
                <w:lang w:eastAsia="ko-KR"/>
              </w:rPr>
              <w:t>2.0</w:t>
            </w:r>
          </w:p>
        </w:tc>
        <w:tc>
          <w:tcPr>
            <w:tcW w:w="1260" w:type="dxa"/>
            <w:tcBorders>
              <w:top w:val="nil"/>
              <w:left w:val="nil"/>
              <w:bottom w:val="single" w:sz="4" w:space="0" w:color="1F497D"/>
              <w:right w:val="single" w:sz="4" w:space="0" w:color="1F497D"/>
            </w:tcBorders>
            <w:shd w:val="clear" w:color="auto" w:fill="auto"/>
            <w:vAlign w:val="center"/>
          </w:tcPr>
          <w:p w:rsidR="009E22F9" w:rsidRPr="00EF1B2E" w:rsidRDefault="008A452E" w:rsidP="00EF1B2E">
            <w:pPr>
              <w:jc w:val="center"/>
              <w:rPr>
                <w:b/>
                <w:bCs/>
                <w:color w:val="1F497D"/>
                <w:sz w:val="20"/>
                <w:lang w:eastAsia="ko-KR"/>
              </w:rPr>
            </w:pPr>
            <w:r>
              <w:rPr>
                <w:b/>
                <w:bCs/>
                <w:color w:val="1F497D"/>
                <w:sz w:val="20"/>
                <w:lang w:eastAsia="ko-KR"/>
              </w:rPr>
              <w:t>0.8</w:t>
            </w:r>
          </w:p>
        </w:tc>
      </w:tr>
      <w:tr w:rsidR="009E22F9" w:rsidRPr="00EF1B2E" w:rsidTr="00AB5DCB">
        <w:trPr>
          <w:trHeight w:val="300"/>
        </w:trPr>
        <w:tc>
          <w:tcPr>
            <w:tcW w:w="1351" w:type="dxa"/>
            <w:vMerge/>
            <w:tcBorders>
              <w:top w:val="single" w:sz="4" w:space="0" w:color="1F497D"/>
              <w:left w:val="single" w:sz="4" w:space="0" w:color="1F497D"/>
              <w:bottom w:val="single" w:sz="4" w:space="0" w:color="1F497D"/>
            </w:tcBorders>
            <w:vAlign w:val="center"/>
            <w:hideMark/>
          </w:tcPr>
          <w:p w:rsidR="009E22F9" w:rsidRPr="00EF1B2E" w:rsidRDefault="009E22F9" w:rsidP="00EF1B2E">
            <w:pPr>
              <w:rPr>
                <w:b/>
                <w:bCs/>
                <w:color w:val="1F497D"/>
                <w:sz w:val="20"/>
                <w:lang w:eastAsia="ko-KR"/>
              </w:rPr>
            </w:pPr>
          </w:p>
        </w:tc>
        <w:tc>
          <w:tcPr>
            <w:tcW w:w="3074" w:type="dxa"/>
            <w:tcBorders>
              <w:top w:val="nil"/>
              <w:left w:val="nil"/>
              <w:bottom w:val="single" w:sz="4" w:space="0" w:color="1F497D"/>
              <w:right w:val="nil"/>
            </w:tcBorders>
            <w:shd w:val="clear" w:color="000000" w:fill="C6D9F1"/>
            <w:noWrap/>
            <w:vAlign w:val="center"/>
            <w:hideMark/>
          </w:tcPr>
          <w:p w:rsidR="009E22F9" w:rsidRPr="00EF1B2E" w:rsidRDefault="009E22F9" w:rsidP="00EF1B2E">
            <w:pPr>
              <w:rPr>
                <w:b/>
                <w:bCs/>
                <w:color w:val="1F497D"/>
                <w:sz w:val="20"/>
                <w:lang w:eastAsia="ko-KR"/>
              </w:rPr>
            </w:pPr>
            <w:r w:rsidRPr="00EF1B2E">
              <w:rPr>
                <w:b/>
                <w:bCs/>
                <w:color w:val="1F497D" w:themeColor="text2"/>
                <w:sz w:val="20"/>
                <w:lang w:eastAsia="ko-KR"/>
              </w:rPr>
              <w:t>Rate</w:t>
            </w:r>
          </w:p>
        </w:tc>
        <w:tc>
          <w:tcPr>
            <w:tcW w:w="1102" w:type="dxa"/>
            <w:tcBorders>
              <w:top w:val="nil"/>
              <w:left w:val="single" w:sz="4" w:space="0" w:color="1F497D"/>
              <w:bottom w:val="single" w:sz="4" w:space="0" w:color="1F497D"/>
              <w:right w:val="single" w:sz="4" w:space="0" w:color="1F497D"/>
            </w:tcBorders>
            <w:shd w:val="clear" w:color="000000" w:fill="C6D9F1"/>
            <w:noWrap/>
            <w:vAlign w:val="center"/>
            <w:hideMark/>
          </w:tcPr>
          <w:p w:rsidR="009E22F9" w:rsidRPr="00EF1B2E" w:rsidRDefault="009E22F9" w:rsidP="00EF1B2E">
            <w:pPr>
              <w:jc w:val="center"/>
              <w:rPr>
                <w:b/>
                <w:bCs/>
                <w:color w:val="1F497D"/>
                <w:sz w:val="20"/>
                <w:lang w:eastAsia="ko-KR"/>
              </w:rPr>
            </w:pPr>
            <w:r w:rsidRPr="00EF1B2E">
              <w:rPr>
                <w:b/>
                <w:bCs/>
                <w:color w:val="1F497D" w:themeColor="text2"/>
                <w:sz w:val="20"/>
                <w:lang w:eastAsia="ko-KR"/>
              </w:rPr>
              <w:t>6.8%</w:t>
            </w:r>
          </w:p>
        </w:tc>
        <w:tc>
          <w:tcPr>
            <w:tcW w:w="1103" w:type="dxa"/>
            <w:tcBorders>
              <w:top w:val="nil"/>
              <w:left w:val="nil"/>
              <w:bottom w:val="single" w:sz="4" w:space="0" w:color="1F497D"/>
              <w:right w:val="single" w:sz="4" w:space="0" w:color="1F497D"/>
            </w:tcBorders>
            <w:shd w:val="clear" w:color="000000" w:fill="C6D9F1"/>
            <w:noWrap/>
            <w:vAlign w:val="center"/>
            <w:hideMark/>
          </w:tcPr>
          <w:p w:rsidR="009E22F9" w:rsidRPr="00EF1B2E" w:rsidRDefault="009E22F9" w:rsidP="00EF1B2E">
            <w:pPr>
              <w:jc w:val="center"/>
              <w:rPr>
                <w:b/>
                <w:bCs/>
                <w:color w:val="1F497D"/>
                <w:sz w:val="20"/>
                <w:lang w:eastAsia="ko-KR"/>
              </w:rPr>
            </w:pPr>
            <w:r w:rsidRPr="00EF1B2E">
              <w:rPr>
                <w:b/>
                <w:bCs/>
                <w:color w:val="1F497D" w:themeColor="text2"/>
                <w:sz w:val="20"/>
                <w:lang w:eastAsia="ko-KR"/>
              </w:rPr>
              <w:t>5.2%</w:t>
            </w:r>
          </w:p>
        </w:tc>
        <w:tc>
          <w:tcPr>
            <w:tcW w:w="1102" w:type="dxa"/>
            <w:tcBorders>
              <w:top w:val="nil"/>
              <w:left w:val="nil"/>
              <w:bottom w:val="single" w:sz="4" w:space="0" w:color="1F497D"/>
              <w:right w:val="single" w:sz="4" w:space="0" w:color="1F497D"/>
            </w:tcBorders>
            <w:shd w:val="clear" w:color="000000" w:fill="C6D9F1"/>
            <w:noWrap/>
            <w:vAlign w:val="center"/>
            <w:hideMark/>
          </w:tcPr>
          <w:p w:rsidR="009E22F9" w:rsidRPr="00EF1B2E" w:rsidRDefault="009E22F9" w:rsidP="00EF1B2E">
            <w:pPr>
              <w:jc w:val="center"/>
              <w:rPr>
                <w:b/>
                <w:bCs/>
                <w:color w:val="1F497D"/>
                <w:sz w:val="20"/>
                <w:lang w:eastAsia="ko-KR"/>
              </w:rPr>
            </w:pPr>
            <w:r w:rsidRPr="00EF1B2E">
              <w:rPr>
                <w:b/>
                <w:bCs/>
                <w:color w:val="1F497D" w:themeColor="text2"/>
                <w:sz w:val="20"/>
                <w:lang w:eastAsia="ko-KR"/>
              </w:rPr>
              <w:t>5.4%</w:t>
            </w:r>
          </w:p>
        </w:tc>
        <w:tc>
          <w:tcPr>
            <w:tcW w:w="1103" w:type="dxa"/>
            <w:tcBorders>
              <w:top w:val="nil"/>
              <w:left w:val="nil"/>
              <w:bottom w:val="single" w:sz="4" w:space="0" w:color="1F497D"/>
              <w:right w:val="single" w:sz="4" w:space="0" w:color="1F497D"/>
            </w:tcBorders>
            <w:shd w:val="clear" w:color="000000" w:fill="C6D9F1"/>
            <w:noWrap/>
            <w:vAlign w:val="center"/>
            <w:hideMark/>
          </w:tcPr>
          <w:p w:rsidR="009E22F9" w:rsidRPr="00EF1B2E" w:rsidRDefault="009E22F9" w:rsidP="00EF1B2E">
            <w:pPr>
              <w:jc w:val="center"/>
              <w:rPr>
                <w:b/>
                <w:bCs/>
                <w:color w:val="1F497D"/>
                <w:sz w:val="20"/>
                <w:lang w:eastAsia="ko-KR"/>
              </w:rPr>
            </w:pPr>
            <w:r w:rsidRPr="00EF1B2E">
              <w:rPr>
                <w:b/>
                <w:bCs/>
                <w:color w:val="1F497D" w:themeColor="text2"/>
                <w:sz w:val="20"/>
                <w:lang w:eastAsia="ko-KR"/>
              </w:rPr>
              <w:t>5.6%</w:t>
            </w:r>
          </w:p>
        </w:tc>
        <w:tc>
          <w:tcPr>
            <w:tcW w:w="1260" w:type="dxa"/>
            <w:tcBorders>
              <w:top w:val="nil"/>
              <w:left w:val="nil"/>
              <w:bottom w:val="single" w:sz="4" w:space="0" w:color="1F497D"/>
              <w:right w:val="single" w:sz="4" w:space="0" w:color="1F497D"/>
            </w:tcBorders>
            <w:shd w:val="clear" w:color="000000" w:fill="C6D9F1"/>
            <w:vAlign w:val="center"/>
          </w:tcPr>
          <w:p w:rsidR="009E22F9" w:rsidRPr="00EF1B2E" w:rsidRDefault="008A452E" w:rsidP="00EF1B2E">
            <w:pPr>
              <w:jc w:val="center"/>
              <w:rPr>
                <w:b/>
                <w:bCs/>
                <w:color w:val="1F497D"/>
                <w:sz w:val="20"/>
                <w:lang w:eastAsia="ko-KR"/>
              </w:rPr>
            </w:pPr>
            <w:r>
              <w:rPr>
                <w:b/>
                <w:bCs/>
                <w:color w:val="1F497D"/>
                <w:sz w:val="20"/>
                <w:lang w:eastAsia="ko-KR"/>
              </w:rPr>
              <w:t>2.3%</w:t>
            </w:r>
          </w:p>
        </w:tc>
      </w:tr>
      <w:tr w:rsidR="009E22F9" w:rsidRPr="00EF1B2E" w:rsidTr="00AB5DCB">
        <w:trPr>
          <w:trHeight w:val="300"/>
        </w:trPr>
        <w:tc>
          <w:tcPr>
            <w:tcW w:w="1351" w:type="dxa"/>
            <w:vMerge/>
            <w:tcBorders>
              <w:top w:val="single" w:sz="4" w:space="0" w:color="1F497D"/>
              <w:left w:val="single" w:sz="4" w:space="0" w:color="1F497D"/>
              <w:bottom w:val="single" w:sz="4" w:space="0" w:color="1F497D"/>
            </w:tcBorders>
            <w:vAlign w:val="center"/>
            <w:hideMark/>
          </w:tcPr>
          <w:p w:rsidR="009E22F9" w:rsidRPr="00EF1B2E" w:rsidRDefault="009E22F9" w:rsidP="00EF1B2E">
            <w:pPr>
              <w:rPr>
                <w:b/>
                <w:bCs/>
                <w:color w:val="1F497D"/>
                <w:sz w:val="20"/>
                <w:lang w:eastAsia="ko-KR"/>
              </w:rPr>
            </w:pPr>
          </w:p>
        </w:tc>
        <w:tc>
          <w:tcPr>
            <w:tcW w:w="3074" w:type="dxa"/>
            <w:tcBorders>
              <w:top w:val="nil"/>
              <w:left w:val="nil"/>
              <w:bottom w:val="single" w:sz="4" w:space="0" w:color="1F497D"/>
              <w:right w:val="nil"/>
            </w:tcBorders>
            <w:shd w:val="clear" w:color="auto" w:fill="auto"/>
            <w:noWrap/>
            <w:vAlign w:val="center"/>
            <w:hideMark/>
          </w:tcPr>
          <w:p w:rsidR="009E22F9" w:rsidRPr="00EF1B2E" w:rsidRDefault="009E22F9" w:rsidP="002E69BF">
            <w:pPr>
              <w:rPr>
                <w:color w:val="1F497D"/>
                <w:sz w:val="20"/>
                <w:lang w:eastAsia="ko-KR"/>
              </w:rPr>
            </w:pPr>
            <w:r>
              <w:rPr>
                <w:color w:val="1F497D"/>
                <w:sz w:val="20"/>
                <w:lang w:eastAsia="ko-KR"/>
              </w:rPr>
              <w:t xml:space="preserve">Unique </w:t>
            </w:r>
            <w:r w:rsidRPr="00EF1B2E">
              <w:rPr>
                <w:color w:val="1F497D"/>
                <w:sz w:val="20"/>
                <w:lang w:eastAsia="ko-KR"/>
              </w:rPr>
              <w:t>IICs of &gt;=</w:t>
            </w:r>
            <w:r>
              <w:rPr>
                <w:color w:val="1F497D"/>
                <w:sz w:val="20"/>
                <w:lang w:eastAsia="ko-KR"/>
              </w:rPr>
              <w:t>1</w:t>
            </w:r>
            <w:r w:rsidRPr="00EF1B2E">
              <w:rPr>
                <w:color w:val="1F497D"/>
                <w:sz w:val="20"/>
                <w:lang w:eastAsia="ko-KR"/>
              </w:rPr>
              <w:t xml:space="preserve"> readmission</w:t>
            </w:r>
          </w:p>
        </w:tc>
        <w:tc>
          <w:tcPr>
            <w:tcW w:w="1102" w:type="dxa"/>
            <w:tcBorders>
              <w:top w:val="nil"/>
              <w:left w:val="single" w:sz="4" w:space="0" w:color="1F497D"/>
              <w:bottom w:val="single" w:sz="4" w:space="0" w:color="1F497D"/>
              <w:right w:val="single" w:sz="4" w:space="0" w:color="1F497D"/>
            </w:tcBorders>
            <w:shd w:val="clear" w:color="auto" w:fill="auto"/>
            <w:noWrap/>
            <w:vAlign w:val="center"/>
            <w:hideMark/>
          </w:tcPr>
          <w:p w:rsidR="009E22F9" w:rsidRPr="00EF1B2E" w:rsidRDefault="009E22F9" w:rsidP="00EF1B2E">
            <w:pPr>
              <w:jc w:val="center"/>
              <w:rPr>
                <w:color w:val="1F497D"/>
                <w:sz w:val="20"/>
                <w:lang w:eastAsia="ko-KR"/>
              </w:rPr>
            </w:pPr>
            <w:r w:rsidRPr="00EF1B2E">
              <w:rPr>
                <w:color w:val="1F497D" w:themeColor="text2"/>
                <w:sz w:val="20"/>
                <w:lang w:eastAsia="ko-KR"/>
              </w:rPr>
              <w:t>32</w:t>
            </w:r>
          </w:p>
        </w:tc>
        <w:tc>
          <w:tcPr>
            <w:tcW w:w="1103" w:type="dxa"/>
            <w:tcBorders>
              <w:top w:val="nil"/>
              <w:left w:val="nil"/>
              <w:bottom w:val="single" w:sz="4" w:space="0" w:color="1F497D"/>
              <w:right w:val="single" w:sz="4" w:space="0" w:color="1F497D"/>
            </w:tcBorders>
            <w:shd w:val="clear" w:color="auto" w:fill="auto"/>
            <w:noWrap/>
            <w:vAlign w:val="center"/>
            <w:hideMark/>
          </w:tcPr>
          <w:p w:rsidR="009E22F9" w:rsidRPr="00EF1B2E" w:rsidRDefault="009E22F9" w:rsidP="00EF1B2E">
            <w:pPr>
              <w:jc w:val="center"/>
              <w:rPr>
                <w:color w:val="1F497D"/>
                <w:sz w:val="20"/>
                <w:lang w:eastAsia="ko-KR"/>
              </w:rPr>
            </w:pPr>
            <w:r w:rsidRPr="00EF1B2E">
              <w:rPr>
                <w:color w:val="1F497D" w:themeColor="text2"/>
                <w:sz w:val="20"/>
                <w:lang w:eastAsia="ko-KR"/>
              </w:rPr>
              <w:t>22</w:t>
            </w:r>
          </w:p>
        </w:tc>
        <w:tc>
          <w:tcPr>
            <w:tcW w:w="1102" w:type="dxa"/>
            <w:tcBorders>
              <w:top w:val="nil"/>
              <w:left w:val="nil"/>
              <w:bottom w:val="single" w:sz="4" w:space="0" w:color="1F497D"/>
              <w:right w:val="single" w:sz="4" w:space="0" w:color="1F497D"/>
            </w:tcBorders>
            <w:shd w:val="clear" w:color="auto" w:fill="auto"/>
            <w:noWrap/>
            <w:vAlign w:val="center"/>
            <w:hideMark/>
          </w:tcPr>
          <w:p w:rsidR="009E22F9" w:rsidRPr="00EF1B2E" w:rsidRDefault="009E22F9" w:rsidP="00EF1B2E">
            <w:pPr>
              <w:jc w:val="center"/>
              <w:rPr>
                <w:color w:val="1F497D"/>
                <w:sz w:val="20"/>
                <w:lang w:eastAsia="ko-KR"/>
              </w:rPr>
            </w:pPr>
            <w:r w:rsidRPr="00EF1B2E">
              <w:rPr>
                <w:color w:val="1F497D" w:themeColor="text2"/>
                <w:sz w:val="20"/>
                <w:lang w:eastAsia="ko-KR"/>
              </w:rPr>
              <w:t>20</w:t>
            </w:r>
          </w:p>
        </w:tc>
        <w:tc>
          <w:tcPr>
            <w:tcW w:w="1103" w:type="dxa"/>
            <w:tcBorders>
              <w:top w:val="nil"/>
              <w:left w:val="nil"/>
              <w:bottom w:val="single" w:sz="4" w:space="0" w:color="1F497D"/>
              <w:right w:val="single" w:sz="4" w:space="0" w:color="1F497D"/>
            </w:tcBorders>
            <w:shd w:val="clear" w:color="auto" w:fill="auto"/>
            <w:noWrap/>
            <w:vAlign w:val="center"/>
            <w:hideMark/>
          </w:tcPr>
          <w:p w:rsidR="009E22F9" w:rsidRPr="00EF1B2E" w:rsidRDefault="009E22F9" w:rsidP="00EF1B2E">
            <w:pPr>
              <w:jc w:val="center"/>
              <w:rPr>
                <w:color w:val="1F497D"/>
                <w:sz w:val="20"/>
                <w:lang w:eastAsia="ko-KR"/>
              </w:rPr>
            </w:pPr>
            <w:r w:rsidRPr="00EF1B2E">
              <w:rPr>
                <w:color w:val="1F497D"/>
                <w:sz w:val="20"/>
                <w:lang w:eastAsia="ko-KR"/>
              </w:rPr>
              <w:t>21</w:t>
            </w:r>
          </w:p>
        </w:tc>
        <w:tc>
          <w:tcPr>
            <w:tcW w:w="1260" w:type="dxa"/>
            <w:tcBorders>
              <w:top w:val="nil"/>
              <w:left w:val="nil"/>
              <w:bottom w:val="single" w:sz="4" w:space="0" w:color="1F497D"/>
              <w:right w:val="single" w:sz="4" w:space="0" w:color="1F497D"/>
            </w:tcBorders>
            <w:shd w:val="clear" w:color="auto" w:fill="auto"/>
            <w:vAlign w:val="center"/>
          </w:tcPr>
          <w:p w:rsidR="009E22F9" w:rsidRPr="00EF1B2E" w:rsidRDefault="008A452E" w:rsidP="00EF1B2E">
            <w:pPr>
              <w:jc w:val="center"/>
              <w:rPr>
                <w:color w:val="1F497D"/>
                <w:sz w:val="20"/>
                <w:lang w:eastAsia="ko-KR"/>
              </w:rPr>
            </w:pPr>
            <w:r>
              <w:rPr>
                <w:color w:val="1F497D"/>
                <w:sz w:val="20"/>
                <w:lang w:eastAsia="ko-KR"/>
              </w:rPr>
              <w:t>10</w:t>
            </w:r>
          </w:p>
        </w:tc>
      </w:tr>
      <w:tr w:rsidR="009E22F9" w:rsidRPr="00EF1B2E" w:rsidTr="00AB5DCB">
        <w:trPr>
          <w:trHeight w:val="300"/>
        </w:trPr>
        <w:tc>
          <w:tcPr>
            <w:tcW w:w="1351" w:type="dxa"/>
            <w:vMerge/>
            <w:tcBorders>
              <w:top w:val="single" w:sz="4" w:space="0" w:color="1F497D"/>
              <w:left w:val="single" w:sz="4" w:space="0" w:color="1F497D"/>
              <w:bottom w:val="single" w:sz="4" w:space="0" w:color="1F497D"/>
            </w:tcBorders>
            <w:vAlign w:val="center"/>
            <w:hideMark/>
          </w:tcPr>
          <w:p w:rsidR="009E22F9" w:rsidRPr="00EF1B2E" w:rsidRDefault="009E22F9" w:rsidP="00EF1B2E">
            <w:pPr>
              <w:rPr>
                <w:b/>
                <w:bCs/>
                <w:color w:val="1F497D"/>
                <w:sz w:val="20"/>
                <w:lang w:eastAsia="ko-KR"/>
              </w:rPr>
            </w:pPr>
          </w:p>
        </w:tc>
        <w:tc>
          <w:tcPr>
            <w:tcW w:w="3074" w:type="dxa"/>
            <w:tcBorders>
              <w:top w:val="nil"/>
              <w:left w:val="nil"/>
              <w:bottom w:val="single" w:sz="4" w:space="0" w:color="1F497D"/>
              <w:right w:val="nil"/>
            </w:tcBorders>
            <w:shd w:val="clear" w:color="auto" w:fill="auto"/>
            <w:noWrap/>
            <w:vAlign w:val="center"/>
            <w:hideMark/>
          </w:tcPr>
          <w:p w:rsidR="009E22F9" w:rsidRPr="00EF1B2E" w:rsidRDefault="009E22F9" w:rsidP="002E69BF">
            <w:pPr>
              <w:rPr>
                <w:color w:val="1F497D"/>
                <w:sz w:val="20"/>
                <w:lang w:eastAsia="ko-KR"/>
              </w:rPr>
            </w:pPr>
            <w:r>
              <w:rPr>
                <w:color w:val="1F497D"/>
                <w:sz w:val="20"/>
                <w:lang w:eastAsia="ko-KR"/>
              </w:rPr>
              <w:t xml:space="preserve">Unique </w:t>
            </w:r>
            <w:r w:rsidRPr="00EF1B2E">
              <w:rPr>
                <w:color w:val="1F497D"/>
                <w:sz w:val="20"/>
                <w:lang w:eastAsia="ko-KR"/>
              </w:rPr>
              <w:t>IICs of &gt;=2 readmissions</w:t>
            </w:r>
          </w:p>
        </w:tc>
        <w:tc>
          <w:tcPr>
            <w:tcW w:w="1102" w:type="dxa"/>
            <w:tcBorders>
              <w:top w:val="nil"/>
              <w:left w:val="single" w:sz="4" w:space="0" w:color="1F497D"/>
              <w:bottom w:val="single" w:sz="4" w:space="0" w:color="1F497D"/>
              <w:right w:val="single" w:sz="4" w:space="0" w:color="1F497D"/>
            </w:tcBorders>
            <w:shd w:val="clear" w:color="auto" w:fill="auto"/>
            <w:noWrap/>
            <w:vAlign w:val="center"/>
            <w:hideMark/>
          </w:tcPr>
          <w:p w:rsidR="009E22F9" w:rsidRPr="00EF1B2E" w:rsidRDefault="009E22F9" w:rsidP="00EF1B2E">
            <w:pPr>
              <w:jc w:val="center"/>
              <w:rPr>
                <w:color w:val="1F497D"/>
                <w:sz w:val="20"/>
                <w:lang w:eastAsia="ko-KR"/>
              </w:rPr>
            </w:pPr>
            <w:r w:rsidRPr="00EF1B2E">
              <w:rPr>
                <w:color w:val="1F497D" w:themeColor="text2"/>
                <w:sz w:val="20"/>
                <w:lang w:eastAsia="ko-KR"/>
              </w:rPr>
              <w:t>1</w:t>
            </w:r>
          </w:p>
        </w:tc>
        <w:tc>
          <w:tcPr>
            <w:tcW w:w="1103" w:type="dxa"/>
            <w:tcBorders>
              <w:top w:val="nil"/>
              <w:left w:val="nil"/>
              <w:bottom w:val="single" w:sz="4" w:space="0" w:color="1F497D"/>
              <w:right w:val="single" w:sz="4" w:space="0" w:color="1F497D"/>
            </w:tcBorders>
            <w:shd w:val="clear" w:color="auto" w:fill="auto"/>
            <w:noWrap/>
            <w:vAlign w:val="center"/>
            <w:hideMark/>
          </w:tcPr>
          <w:p w:rsidR="009E22F9" w:rsidRPr="00EF1B2E" w:rsidRDefault="009E22F9" w:rsidP="00EF1B2E">
            <w:pPr>
              <w:jc w:val="center"/>
              <w:rPr>
                <w:color w:val="1F497D"/>
                <w:sz w:val="20"/>
                <w:lang w:eastAsia="ko-KR"/>
              </w:rPr>
            </w:pPr>
            <w:r w:rsidRPr="00EF1B2E">
              <w:rPr>
                <w:color w:val="1F497D" w:themeColor="text2"/>
                <w:sz w:val="20"/>
                <w:lang w:eastAsia="ko-KR"/>
              </w:rPr>
              <w:t>1</w:t>
            </w:r>
          </w:p>
        </w:tc>
        <w:tc>
          <w:tcPr>
            <w:tcW w:w="1102" w:type="dxa"/>
            <w:tcBorders>
              <w:top w:val="nil"/>
              <w:left w:val="nil"/>
              <w:bottom w:val="single" w:sz="4" w:space="0" w:color="1F497D"/>
              <w:right w:val="single" w:sz="4" w:space="0" w:color="1F497D"/>
            </w:tcBorders>
            <w:shd w:val="clear" w:color="auto" w:fill="auto"/>
            <w:noWrap/>
            <w:vAlign w:val="center"/>
            <w:hideMark/>
          </w:tcPr>
          <w:p w:rsidR="009E22F9" w:rsidRPr="00EF1B2E" w:rsidRDefault="009E22F9" w:rsidP="00EF1B2E">
            <w:pPr>
              <w:jc w:val="center"/>
              <w:rPr>
                <w:color w:val="1F497D"/>
                <w:sz w:val="20"/>
                <w:lang w:eastAsia="ko-KR"/>
              </w:rPr>
            </w:pPr>
            <w:r w:rsidRPr="00EF1B2E">
              <w:rPr>
                <w:color w:val="1F497D" w:themeColor="text2"/>
                <w:sz w:val="20"/>
                <w:lang w:eastAsia="ko-KR"/>
              </w:rPr>
              <w:t>2</w:t>
            </w:r>
          </w:p>
        </w:tc>
        <w:tc>
          <w:tcPr>
            <w:tcW w:w="1103" w:type="dxa"/>
            <w:tcBorders>
              <w:top w:val="nil"/>
              <w:left w:val="nil"/>
              <w:bottom w:val="single" w:sz="4" w:space="0" w:color="1F497D"/>
              <w:right w:val="single" w:sz="4" w:space="0" w:color="1F497D"/>
            </w:tcBorders>
            <w:shd w:val="clear" w:color="auto" w:fill="auto"/>
            <w:noWrap/>
            <w:vAlign w:val="center"/>
            <w:hideMark/>
          </w:tcPr>
          <w:p w:rsidR="009E22F9" w:rsidRPr="00EF1B2E" w:rsidRDefault="009E22F9" w:rsidP="00EF1B2E">
            <w:pPr>
              <w:jc w:val="center"/>
              <w:rPr>
                <w:color w:val="1F497D"/>
                <w:sz w:val="20"/>
                <w:lang w:eastAsia="ko-KR"/>
              </w:rPr>
            </w:pPr>
            <w:r w:rsidRPr="00EF1B2E">
              <w:rPr>
                <w:color w:val="1F497D"/>
                <w:sz w:val="20"/>
                <w:lang w:eastAsia="ko-KR"/>
              </w:rPr>
              <w:t>2</w:t>
            </w:r>
          </w:p>
        </w:tc>
        <w:tc>
          <w:tcPr>
            <w:tcW w:w="1260" w:type="dxa"/>
            <w:tcBorders>
              <w:top w:val="nil"/>
              <w:left w:val="nil"/>
              <w:bottom w:val="single" w:sz="4" w:space="0" w:color="1F497D"/>
              <w:right w:val="single" w:sz="4" w:space="0" w:color="1F497D"/>
            </w:tcBorders>
            <w:shd w:val="clear" w:color="auto" w:fill="auto"/>
            <w:vAlign w:val="center"/>
          </w:tcPr>
          <w:p w:rsidR="009E22F9" w:rsidRPr="00EF1B2E" w:rsidRDefault="008A452E" w:rsidP="00EF1B2E">
            <w:pPr>
              <w:jc w:val="center"/>
              <w:rPr>
                <w:color w:val="1F497D"/>
                <w:sz w:val="20"/>
                <w:lang w:eastAsia="ko-KR"/>
              </w:rPr>
            </w:pPr>
            <w:r>
              <w:rPr>
                <w:color w:val="1F497D"/>
                <w:sz w:val="20"/>
                <w:lang w:eastAsia="ko-KR"/>
              </w:rPr>
              <w:t>0</w:t>
            </w:r>
          </w:p>
        </w:tc>
      </w:tr>
      <w:tr w:rsidR="009E22F9" w:rsidRPr="00EF1B2E" w:rsidTr="00AB5DCB">
        <w:trPr>
          <w:trHeight w:val="300"/>
        </w:trPr>
        <w:tc>
          <w:tcPr>
            <w:tcW w:w="1351" w:type="dxa"/>
            <w:vMerge w:val="restart"/>
            <w:tcBorders>
              <w:top w:val="nil"/>
              <w:left w:val="single" w:sz="4" w:space="0" w:color="1F497D"/>
              <w:bottom w:val="single" w:sz="4" w:space="0" w:color="1F497D"/>
            </w:tcBorders>
            <w:shd w:val="clear" w:color="auto" w:fill="auto"/>
            <w:vAlign w:val="center"/>
            <w:hideMark/>
          </w:tcPr>
          <w:p w:rsidR="009E22F9" w:rsidRPr="00EF1B2E" w:rsidRDefault="009E22F9" w:rsidP="00EF1B2E">
            <w:pPr>
              <w:rPr>
                <w:b/>
                <w:bCs/>
                <w:color w:val="1F497D"/>
                <w:sz w:val="20"/>
                <w:lang w:eastAsia="ko-KR"/>
              </w:rPr>
            </w:pPr>
            <w:r w:rsidRPr="00EF1B2E">
              <w:rPr>
                <w:b/>
                <w:bCs/>
                <w:color w:val="1F497D"/>
                <w:sz w:val="20"/>
                <w:u w:val="single"/>
                <w:lang w:eastAsia="ko-KR"/>
              </w:rPr>
              <w:t>90-Day</w:t>
            </w:r>
            <w:r w:rsidRPr="00EF1B2E">
              <w:rPr>
                <w:b/>
                <w:bCs/>
                <w:color w:val="1F497D"/>
                <w:sz w:val="20"/>
                <w:lang w:eastAsia="ko-KR"/>
              </w:rPr>
              <w:t xml:space="preserve"> Readmission</w:t>
            </w:r>
          </w:p>
        </w:tc>
        <w:tc>
          <w:tcPr>
            <w:tcW w:w="3074" w:type="dxa"/>
            <w:tcBorders>
              <w:top w:val="nil"/>
              <w:left w:val="nil"/>
              <w:bottom w:val="single" w:sz="4" w:space="0" w:color="1F497D"/>
              <w:right w:val="nil"/>
            </w:tcBorders>
            <w:shd w:val="clear" w:color="auto" w:fill="auto"/>
            <w:vAlign w:val="center"/>
            <w:hideMark/>
          </w:tcPr>
          <w:p w:rsidR="009E22F9" w:rsidRPr="00EF1B2E" w:rsidRDefault="009E22F9" w:rsidP="00EF1B2E">
            <w:pPr>
              <w:rPr>
                <w:color w:val="1F497D"/>
                <w:sz w:val="20"/>
                <w:lang w:eastAsia="ko-KR"/>
              </w:rPr>
            </w:pPr>
            <w:r w:rsidRPr="00EF1B2E">
              <w:rPr>
                <w:color w:val="1F497D" w:themeColor="text2"/>
                <w:sz w:val="20"/>
                <w:lang w:eastAsia="ko-KR"/>
              </w:rPr>
              <w:t>Total</w:t>
            </w:r>
          </w:p>
        </w:tc>
        <w:tc>
          <w:tcPr>
            <w:tcW w:w="1102" w:type="dxa"/>
            <w:tcBorders>
              <w:top w:val="nil"/>
              <w:left w:val="single" w:sz="4" w:space="0" w:color="1F497D"/>
              <w:bottom w:val="single" w:sz="4" w:space="0" w:color="1F497D"/>
              <w:right w:val="single" w:sz="4" w:space="0" w:color="1F497D"/>
            </w:tcBorders>
            <w:shd w:val="clear" w:color="auto" w:fill="auto"/>
            <w:noWrap/>
            <w:vAlign w:val="center"/>
            <w:hideMark/>
          </w:tcPr>
          <w:p w:rsidR="009E22F9" w:rsidRPr="00EF1B2E" w:rsidRDefault="009E22F9" w:rsidP="00EF1B2E">
            <w:pPr>
              <w:jc w:val="center"/>
              <w:rPr>
                <w:b/>
                <w:bCs/>
                <w:color w:val="1F497D"/>
                <w:sz w:val="20"/>
                <w:lang w:eastAsia="ko-KR"/>
              </w:rPr>
            </w:pPr>
            <w:r w:rsidRPr="00EF1B2E">
              <w:rPr>
                <w:b/>
                <w:bCs/>
                <w:color w:val="1F497D" w:themeColor="text2"/>
                <w:sz w:val="20"/>
                <w:lang w:eastAsia="ko-KR"/>
              </w:rPr>
              <w:t>63</w:t>
            </w:r>
          </w:p>
        </w:tc>
        <w:tc>
          <w:tcPr>
            <w:tcW w:w="1103" w:type="dxa"/>
            <w:tcBorders>
              <w:top w:val="nil"/>
              <w:left w:val="nil"/>
              <w:bottom w:val="single" w:sz="4" w:space="0" w:color="1F497D"/>
              <w:right w:val="single" w:sz="4" w:space="0" w:color="1F497D"/>
            </w:tcBorders>
            <w:shd w:val="clear" w:color="auto" w:fill="auto"/>
            <w:noWrap/>
            <w:vAlign w:val="center"/>
            <w:hideMark/>
          </w:tcPr>
          <w:p w:rsidR="009E22F9" w:rsidRPr="00EF1B2E" w:rsidRDefault="009E22F9" w:rsidP="00EF1B2E">
            <w:pPr>
              <w:jc w:val="center"/>
              <w:rPr>
                <w:b/>
                <w:bCs/>
                <w:color w:val="1F497D"/>
                <w:sz w:val="20"/>
                <w:lang w:eastAsia="ko-KR"/>
              </w:rPr>
            </w:pPr>
            <w:r w:rsidRPr="00EF1B2E">
              <w:rPr>
                <w:b/>
                <w:bCs/>
                <w:color w:val="1F497D" w:themeColor="text2"/>
                <w:sz w:val="20"/>
                <w:lang w:eastAsia="ko-KR"/>
              </w:rPr>
              <w:t>52</w:t>
            </w:r>
          </w:p>
        </w:tc>
        <w:tc>
          <w:tcPr>
            <w:tcW w:w="1102" w:type="dxa"/>
            <w:tcBorders>
              <w:top w:val="nil"/>
              <w:left w:val="nil"/>
              <w:bottom w:val="single" w:sz="4" w:space="0" w:color="1F497D"/>
              <w:right w:val="single" w:sz="4" w:space="0" w:color="1F497D"/>
            </w:tcBorders>
            <w:shd w:val="clear" w:color="auto" w:fill="auto"/>
            <w:noWrap/>
            <w:vAlign w:val="center"/>
            <w:hideMark/>
          </w:tcPr>
          <w:p w:rsidR="009E22F9" w:rsidRPr="00EF1B2E" w:rsidRDefault="009E22F9" w:rsidP="00EF1B2E">
            <w:pPr>
              <w:jc w:val="center"/>
              <w:rPr>
                <w:b/>
                <w:bCs/>
                <w:color w:val="1F497D"/>
                <w:sz w:val="20"/>
                <w:lang w:eastAsia="ko-KR"/>
              </w:rPr>
            </w:pPr>
            <w:r w:rsidRPr="00EF1B2E">
              <w:rPr>
                <w:b/>
                <w:bCs/>
                <w:color w:val="1F497D" w:themeColor="text2"/>
                <w:sz w:val="20"/>
                <w:lang w:eastAsia="ko-KR"/>
              </w:rPr>
              <w:t>53</w:t>
            </w:r>
          </w:p>
        </w:tc>
        <w:tc>
          <w:tcPr>
            <w:tcW w:w="1103" w:type="dxa"/>
            <w:tcBorders>
              <w:top w:val="nil"/>
              <w:left w:val="nil"/>
              <w:bottom w:val="single" w:sz="4" w:space="0" w:color="1F497D"/>
              <w:right w:val="single" w:sz="4" w:space="0" w:color="1F497D"/>
            </w:tcBorders>
            <w:shd w:val="clear" w:color="auto" w:fill="auto"/>
            <w:noWrap/>
            <w:vAlign w:val="center"/>
            <w:hideMark/>
          </w:tcPr>
          <w:p w:rsidR="009E22F9" w:rsidRPr="00EF1B2E" w:rsidRDefault="009E22F9" w:rsidP="00EF1B2E">
            <w:pPr>
              <w:jc w:val="center"/>
              <w:rPr>
                <w:b/>
                <w:bCs/>
                <w:color w:val="1F497D"/>
                <w:sz w:val="20"/>
                <w:lang w:eastAsia="ko-KR"/>
              </w:rPr>
            </w:pPr>
            <w:r w:rsidRPr="00EF1B2E">
              <w:rPr>
                <w:b/>
                <w:bCs/>
                <w:color w:val="1F497D" w:themeColor="text2"/>
                <w:sz w:val="20"/>
                <w:lang w:eastAsia="ko-KR"/>
              </w:rPr>
              <w:t>59</w:t>
            </w:r>
          </w:p>
        </w:tc>
        <w:tc>
          <w:tcPr>
            <w:tcW w:w="1260" w:type="dxa"/>
            <w:tcBorders>
              <w:top w:val="nil"/>
              <w:left w:val="nil"/>
              <w:bottom w:val="single" w:sz="4" w:space="0" w:color="1F497D"/>
              <w:right w:val="single" w:sz="4" w:space="0" w:color="1F497D"/>
            </w:tcBorders>
            <w:shd w:val="clear" w:color="auto" w:fill="auto"/>
            <w:vAlign w:val="center"/>
          </w:tcPr>
          <w:p w:rsidR="009E22F9" w:rsidRPr="00EF1B2E" w:rsidRDefault="008A452E" w:rsidP="00EF1B2E">
            <w:pPr>
              <w:jc w:val="center"/>
              <w:rPr>
                <w:b/>
                <w:bCs/>
                <w:color w:val="1F497D"/>
                <w:sz w:val="20"/>
                <w:lang w:eastAsia="ko-KR"/>
              </w:rPr>
            </w:pPr>
            <w:r>
              <w:rPr>
                <w:b/>
                <w:bCs/>
                <w:color w:val="1F497D"/>
                <w:sz w:val="20"/>
                <w:lang w:eastAsia="ko-KR"/>
              </w:rPr>
              <w:t>37</w:t>
            </w:r>
          </w:p>
        </w:tc>
      </w:tr>
      <w:tr w:rsidR="009E22F9" w:rsidRPr="00EF1B2E" w:rsidTr="00AB5DCB">
        <w:trPr>
          <w:trHeight w:val="300"/>
        </w:trPr>
        <w:tc>
          <w:tcPr>
            <w:tcW w:w="1351" w:type="dxa"/>
            <w:vMerge/>
            <w:tcBorders>
              <w:top w:val="nil"/>
              <w:left w:val="single" w:sz="4" w:space="0" w:color="1F497D"/>
              <w:bottom w:val="single" w:sz="4" w:space="0" w:color="1F497D"/>
            </w:tcBorders>
            <w:vAlign w:val="center"/>
            <w:hideMark/>
          </w:tcPr>
          <w:p w:rsidR="009E22F9" w:rsidRPr="00EF1B2E" w:rsidRDefault="009E22F9" w:rsidP="00EF1B2E">
            <w:pPr>
              <w:rPr>
                <w:b/>
                <w:bCs/>
                <w:color w:val="1F497D"/>
                <w:sz w:val="20"/>
                <w:lang w:eastAsia="ko-KR"/>
              </w:rPr>
            </w:pPr>
          </w:p>
        </w:tc>
        <w:tc>
          <w:tcPr>
            <w:tcW w:w="3074" w:type="dxa"/>
            <w:tcBorders>
              <w:top w:val="nil"/>
              <w:left w:val="nil"/>
              <w:bottom w:val="single" w:sz="4" w:space="0" w:color="1F497D"/>
              <w:right w:val="nil"/>
            </w:tcBorders>
            <w:shd w:val="clear" w:color="auto" w:fill="auto"/>
            <w:vAlign w:val="center"/>
            <w:hideMark/>
          </w:tcPr>
          <w:p w:rsidR="009E22F9" w:rsidRPr="00EF1B2E" w:rsidRDefault="009E22F9" w:rsidP="00EF1B2E">
            <w:pPr>
              <w:rPr>
                <w:color w:val="1F497D"/>
                <w:sz w:val="20"/>
                <w:lang w:eastAsia="ko-KR"/>
              </w:rPr>
            </w:pPr>
            <w:r w:rsidRPr="00EF1B2E">
              <w:rPr>
                <w:color w:val="1F497D" w:themeColor="text2"/>
                <w:sz w:val="20"/>
                <w:lang w:eastAsia="ko-KR"/>
              </w:rPr>
              <w:t>Monthly Average</w:t>
            </w:r>
          </w:p>
        </w:tc>
        <w:tc>
          <w:tcPr>
            <w:tcW w:w="1102" w:type="dxa"/>
            <w:tcBorders>
              <w:top w:val="nil"/>
              <w:left w:val="single" w:sz="4" w:space="0" w:color="1F497D"/>
              <w:bottom w:val="single" w:sz="4" w:space="0" w:color="1F497D"/>
              <w:right w:val="single" w:sz="4" w:space="0" w:color="1F497D"/>
            </w:tcBorders>
            <w:shd w:val="clear" w:color="auto" w:fill="auto"/>
            <w:noWrap/>
            <w:vAlign w:val="center"/>
            <w:hideMark/>
          </w:tcPr>
          <w:p w:rsidR="009E22F9" w:rsidRPr="00EF1B2E" w:rsidRDefault="009E22F9" w:rsidP="00EF1B2E">
            <w:pPr>
              <w:jc w:val="center"/>
              <w:rPr>
                <w:b/>
                <w:bCs/>
                <w:color w:val="1F497D"/>
                <w:sz w:val="20"/>
                <w:lang w:eastAsia="ko-KR"/>
              </w:rPr>
            </w:pPr>
            <w:r w:rsidRPr="00EF1B2E">
              <w:rPr>
                <w:b/>
                <w:bCs/>
                <w:color w:val="1F497D"/>
                <w:sz w:val="20"/>
                <w:lang w:eastAsia="ko-KR"/>
              </w:rPr>
              <w:t>5.3</w:t>
            </w:r>
          </w:p>
        </w:tc>
        <w:tc>
          <w:tcPr>
            <w:tcW w:w="1103" w:type="dxa"/>
            <w:tcBorders>
              <w:top w:val="nil"/>
              <w:left w:val="nil"/>
              <w:bottom w:val="single" w:sz="4" w:space="0" w:color="1F497D"/>
              <w:right w:val="single" w:sz="4" w:space="0" w:color="1F497D"/>
            </w:tcBorders>
            <w:shd w:val="clear" w:color="auto" w:fill="auto"/>
            <w:noWrap/>
            <w:vAlign w:val="center"/>
            <w:hideMark/>
          </w:tcPr>
          <w:p w:rsidR="009E22F9" w:rsidRPr="00EF1B2E" w:rsidRDefault="009E22F9" w:rsidP="00EF1B2E">
            <w:pPr>
              <w:jc w:val="center"/>
              <w:rPr>
                <w:b/>
                <w:bCs/>
                <w:color w:val="1F497D"/>
                <w:sz w:val="20"/>
                <w:lang w:eastAsia="ko-KR"/>
              </w:rPr>
            </w:pPr>
            <w:r w:rsidRPr="00EF1B2E">
              <w:rPr>
                <w:b/>
                <w:bCs/>
                <w:color w:val="1F497D"/>
                <w:sz w:val="20"/>
                <w:lang w:eastAsia="ko-KR"/>
              </w:rPr>
              <w:t>4.3</w:t>
            </w:r>
          </w:p>
        </w:tc>
        <w:tc>
          <w:tcPr>
            <w:tcW w:w="1102" w:type="dxa"/>
            <w:tcBorders>
              <w:top w:val="nil"/>
              <w:left w:val="nil"/>
              <w:bottom w:val="single" w:sz="4" w:space="0" w:color="1F497D"/>
              <w:right w:val="single" w:sz="4" w:space="0" w:color="1F497D"/>
            </w:tcBorders>
            <w:shd w:val="clear" w:color="auto" w:fill="auto"/>
            <w:noWrap/>
            <w:vAlign w:val="center"/>
            <w:hideMark/>
          </w:tcPr>
          <w:p w:rsidR="009E22F9" w:rsidRPr="00EF1B2E" w:rsidRDefault="009E22F9" w:rsidP="00EF1B2E">
            <w:pPr>
              <w:jc w:val="center"/>
              <w:rPr>
                <w:b/>
                <w:bCs/>
                <w:color w:val="1F497D"/>
                <w:sz w:val="20"/>
                <w:lang w:eastAsia="ko-KR"/>
              </w:rPr>
            </w:pPr>
            <w:r w:rsidRPr="00EF1B2E">
              <w:rPr>
                <w:b/>
                <w:bCs/>
                <w:color w:val="1F497D"/>
                <w:sz w:val="20"/>
                <w:lang w:eastAsia="ko-KR"/>
              </w:rPr>
              <w:t>4.4</w:t>
            </w:r>
          </w:p>
        </w:tc>
        <w:tc>
          <w:tcPr>
            <w:tcW w:w="1103" w:type="dxa"/>
            <w:tcBorders>
              <w:top w:val="nil"/>
              <w:left w:val="nil"/>
              <w:bottom w:val="single" w:sz="4" w:space="0" w:color="1F497D"/>
              <w:right w:val="single" w:sz="4" w:space="0" w:color="1F497D"/>
            </w:tcBorders>
            <w:shd w:val="clear" w:color="auto" w:fill="auto"/>
            <w:noWrap/>
            <w:vAlign w:val="center"/>
            <w:hideMark/>
          </w:tcPr>
          <w:p w:rsidR="009E22F9" w:rsidRPr="00EF1B2E" w:rsidRDefault="009E22F9" w:rsidP="00EF1B2E">
            <w:pPr>
              <w:jc w:val="center"/>
              <w:rPr>
                <w:b/>
                <w:bCs/>
                <w:color w:val="1F497D"/>
                <w:sz w:val="20"/>
                <w:lang w:eastAsia="ko-KR"/>
              </w:rPr>
            </w:pPr>
            <w:r w:rsidRPr="00EF1B2E">
              <w:rPr>
                <w:b/>
                <w:bCs/>
                <w:color w:val="1F497D"/>
                <w:sz w:val="20"/>
                <w:lang w:eastAsia="ko-KR"/>
              </w:rPr>
              <w:t>4.9</w:t>
            </w:r>
          </w:p>
        </w:tc>
        <w:tc>
          <w:tcPr>
            <w:tcW w:w="1260" w:type="dxa"/>
            <w:tcBorders>
              <w:top w:val="nil"/>
              <w:left w:val="nil"/>
              <w:bottom w:val="single" w:sz="4" w:space="0" w:color="1F497D"/>
              <w:right w:val="single" w:sz="4" w:space="0" w:color="1F497D"/>
            </w:tcBorders>
            <w:shd w:val="clear" w:color="auto" w:fill="auto"/>
            <w:vAlign w:val="center"/>
          </w:tcPr>
          <w:p w:rsidR="009E22F9" w:rsidRPr="00EF1B2E" w:rsidRDefault="008A452E" w:rsidP="00EF1B2E">
            <w:pPr>
              <w:jc w:val="center"/>
              <w:rPr>
                <w:b/>
                <w:bCs/>
                <w:color w:val="1F497D"/>
                <w:sz w:val="20"/>
                <w:lang w:eastAsia="ko-KR"/>
              </w:rPr>
            </w:pPr>
            <w:r>
              <w:rPr>
                <w:b/>
                <w:bCs/>
                <w:color w:val="1F497D"/>
                <w:sz w:val="20"/>
                <w:lang w:eastAsia="ko-KR"/>
              </w:rPr>
              <w:t>3.1</w:t>
            </w:r>
          </w:p>
        </w:tc>
      </w:tr>
      <w:tr w:rsidR="009E22F9" w:rsidRPr="00EF1B2E" w:rsidTr="00AB5DCB">
        <w:trPr>
          <w:trHeight w:val="300"/>
        </w:trPr>
        <w:tc>
          <w:tcPr>
            <w:tcW w:w="1351" w:type="dxa"/>
            <w:vMerge/>
            <w:tcBorders>
              <w:top w:val="nil"/>
              <w:left w:val="single" w:sz="4" w:space="0" w:color="1F497D"/>
              <w:bottom w:val="single" w:sz="4" w:space="0" w:color="1F497D"/>
            </w:tcBorders>
            <w:vAlign w:val="center"/>
            <w:hideMark/>
          </w:tcPr>
          <w:p w:rsidR="009E22F9" w:rsidRPr="00EF1B2E" w:rsidRDefault="009E22F9" w:rsidP="00EF1B2E">
            <w:pPr>
              <w:rPr>
                <w:b/>
                <w:bCs/>
                <w:color w:val="1F497D"/>
                <w:sz w:val="20"/>
                <w:lang w:eastAsia="ko-KR"/>
              </w:rPr>
            </w:pPr>
          </w:p>
        </w:tc>
        <w:tc>
          <w:tcPr>
            <w:tcW w:w="3074" w:type="dxa"/>
            <w:tcBorders>
              <w:top w:val="nil"/>
              <w:left w:val="nil"/>
              <w:bottom w:val="single" w:sz="4" w:space="0" w:color="1F497D"/>
              <w:right w:val="nil"/>
            </w:tcBorders>
            <w:shd w:val="clear" w:color="000000" w:fill="C6D9F1"/>
            <w:noWrap/>
            <w:vAlign w:val="center"/>
            <w:hideMark/>
          </w:tcPr>
          <w:p w:rsidR="009E22F9" w:rsidRPr="00EF1B2E" w:rsidRDefault="009E22F9" w:rsidP="00EF1B2E">
            <w:pPr>
              <w:rPr>
                <w:b/>
                <w:bCs/>
                <w:color w:val="1F497D"/>
                <w:sz w:val="20"/>
                <w:lang w:eastAsia="ko-KR"/>
              </w:rPr>
            </w:pPr>
            <w:r w:rsidRPr="00EF1B2E">
              <w:rPr>
                <w:b/>
                <w:bCs/>
                <w:color w:val="1F497D"/>
                <w:sz w:val="20"/>
                <w:lang w:eastAsia="ko-KR"/>
              </w:rPr>
              <w:t>Rate</w:t>
            </w:r>
          </w:p>
        </w:tc>
        <w:tc>
          <w:tcPr>
            <w:tcW w:w="1102" w:type="dxa"/>
            <w:tcBorders>
              <w:top w:val="nil"/>
              <w:left w:val="single" w:sz="4" w:space="0" w:color="1F497D"/>
              <w:bottom w:val="single" w:sz="4" w:space="0" w:color="1F497D"/>
              <w:right w:val="single" w:sz="4" w:space="0" w:color="1F497D"/>
            </w:tcBorders>
            <w:shd w:val="clear" w:color="000000" w:fill="C6D9F1"/>
            <w:noWrap/>
            <w:vAlign w:val="center"/>
            <w:hideMark/>
          </w:tcPr>
          <w:p w:rsidR="009E22F9" w:rsidRPr="00EF1B2E" w:rsidRDefault="009E22F9" w:rsidP="00EF1B2E">
            <w:pPr>
              <w:jc w:val="center"/>
              <w:rPr>
                <w:b/>
                <w:bCs/>
                <w:color w:val="1F497D"/>
                <w:sz w:val="20"/>
                <w:lang w:eastAsia="ko-KR"/>
              </w:rPr>
            </w:pPr>
            <w:r w:rsidRPr="00EF1B2E">
              <w:rPr>
                <w:b/>
                <w:bCs/>
                <w:color w:val="1F497D" w:themeColor="text2"/>
                <w:sz w:val="20"/>
                <w:lang w:eastAsia="ko-KR"/>
              </w:rPr>
              <w:t>13.0%</w:t>
            </w:r>
          </w:p>
        </w:tc>
        <w:tc>
          <w:tcPr>
            <w:tcW w:w="1103" w:type="dxa"/>
            <w:tcBorders>
              <w:top w:val="nil"/>
              <w:left w:val="nil"/>
              <w:bottom w:val="single" w:sz="4" w:space="0" w:color="1F497D"/>
              <w:right w:val="single" w:sz="4" w:space="0" w:color="1F497D"/>
            </w:tcBorders>
            <w:shd w:val="clear" w:color="000000" w:fill="C6D9F1"/>
            <w:noWrap/>
            <w:vAlign w:val="center"/>
            <w:hideMark/>
          </w:tcPr>
          <w:p w:rsidR="009E22F9" w:rsidRPr="00EF1B2E" w:rsidRDefault="009E22F9" w:rsidP="00EF1B2E">
            <w:pPr>
              <w:jc w:val="center"/>
              <w:rPr>
                <w:b/>
                <w:bCs/>
                <w:color w:val="1F497D"/>
                <w:sz w:val="20"/>
                <w:lang w:eastAsia="ko-KR"/>
              </w:rPr>
            </w:pPr>
            <w:r w:rsidRPr="00EF1B2E">
              <w:rPr>
                <w:b/>
                <w:bCs/>
                <w:color w:val="1F497D" w:themeColor="text2"/>
                <w:sz w:val="20"/>
                <w:lang w:eastAsia="ko-KR"/>
              </w:rPr>
              <w:t>11.7%</w:t>
            </w:r>
          </w:p>
        </w:tc>
        <w:tc>
          <w:tcPr>
            <w:tcW w:w="1102" w:type="dxa"/>
            <w:tcBorders>
              <w:top w:val="nil"/>
              <w:left w:val="nil"/>
              <w:bottom w:val="single" w:sz="4" w:space="0" w:color="1F497D"/>
              <w:right w:val="single" w:sz="4" w:space="0" w:color="1F497D"/>
            </w:tcBorders>
            <w:shd w:val="clear" w:color="000000" w:fill="C6D9F1"/>
            <w:noWrap/>
            <w:vAlign w:val="center"/>
            <w:hideMark/>
          </w:tcPr>
          <w:p w:rsidR="009E22F9" w:rsidRPr="00EF1B2E" w:rsidRDefault="009E22F9" w:rsidP="00EF1B2E">
            <w:pPr>
              <w:jc w:val="center"/>
              <w:rPr>
                <w:b/>
                <w:bCs/>
                <w:color w:val="1F497D"/>
                <w:sz w:val="20"/>
                <w:lang w:eastAsia="ko-KR"/>
              </w:rPr>
            </w:pPr>
            <w:r w:rsidRPr="00EF1B2E">
              <w:rPr>
                <w:b/>
                <w:bCs/>
                <w:color w:val="1F497D" w:themeColor="text2"/>
                <w:sz w:val="20"/>
                <w:lang w:eastAsia="ko-KR"/>
              </w:rPr>
              <w:t>12.9%</w:t>
            </w:r>
          </w:p>
        </w:tc>
        <w:tc>
          <w:tcPr>
            <w:tcW w:w="1103" w:type="dxa"/>
            <w:tcBorders>
              <w:top w:val="nil"/>
              <w:left w:val="nil"/>
              <w:bottom w:val="single" w:sz="4" w:space="0" w:color="1F497D"/>
              <w:right w:val="single" w:sz="4" w:space="0" w:color="1F497D"/>
            </w:tcBorders>
            <w:shd w:val="clear" w:color="000000" w:fill="C6D9F1"/>
            <w:noWrap/>
            <w:vAlign w:val="center"/>
            <w:hideMark/>
          </w:tcPr>
          <w:p w:rsidR="009E22F9" w:rsidRPr="00EF1B2E" w:rsidRDefault="009E22F9" w:rsidP="00EF1B2E">
            <w:pPr>
              <w:jc w:val="center"/>
              <w:rPr>
                <w:b/>
                <w:bCs/>
                <w:color w:val="1F497D"/>
                <w:sz w:val="20"/>
                <w:lang w:eastAsia="ko-KR"/>
              </w:rPr>
            </w:pPr>
            <w:r w:rsidRPr="00EF1B2E">
              <w:rPr>
                <w:b/>
                <w:bCs/>
                <w:color w:val="1F497D" w:themeColor="text2"/>
                <w:sz w:val="20"/>
                <w:lang w:eastAsia="ko-KR"/>
              </w:rPr>
              <w:t>13.8%</w:t>
            </w:r>
          </w:p>
        </w:tc>
        <w:tc>
          <w:tcPr>
            <w:tcW w:w="1260" w:type="dxa"/>
            <w:tcBorders>
              <w:top w:val="nil"/>
              <w:left w:val="nil"/>
              <w:bottom w:val="single" w:sz="4" w:space="0" w:color="1F497D"/>
              <w:right w:val="single" w:sz="4" w:space="0" w:color="1F497D"/>
            </w:tcBorders>
            <w:shd w:val="clear" w:color="000000" w:fill="C6D9F1"/>
            <w:vAlign w:val="center"/>
          </w:tcPr>
          <w:p w:rsidR="009E22F9" w:rsidRPr="00EF1B2E" w:rsidRDefault="008A452E" w:rsidP="00EF1B2E">
            <w:pPr>
              <w:jc w:val="center"/>
              <w:rPr>
                <w:b/>
                <w:bCs/>
                <w:color w:val="1F497D"/>
                <w:sz w:val="20"/>
                <w:lang w:eastAsia="ko-KR"/>
              </w:rPr>
            </w:pPr>
            <w:r>
              <w:rPr>
                <w:b/>
                <w:bCs/>
                <w:color w:val="1F497D"/>
                <w:sz w:val="20"/>
                <w:lang w:eastAsia="ko-KR"/>
              </w:rPr>
              <w:t>8.6%</w:t>
            </w:r>
          </w:p>
        </w:tc>
      </w:tr>
      <w:tr w:rsidR="009E22F9" w:rsidRPr="00EF1B2E" w:rsidTr="00AB5DCB">
        <w:trPr>
          <w:trHeight w:val="300"/>
        </w:trPr>
        <w:tc>
          <w:tcPr>
            <w:tcW w:w="1351" w:type="dxa"/>
            <w:vMerge/>
            <w:tcBorders>
              <w:top w:val="nil"/>
              <w:left w:val="single" w:sz="4" w:space="0" w:color="1F497D"/>
              <w:bottom w:val="single" w:sz="4" w:space="0" w:color="1F497D"/>
            </w:tcBorders>
            <w:vAlign w:val="center"/>
            <w:hideMark/>
          </w:tcPr>
          <w:p w:rsidR="009E22F9" w:rsidRPr="00EF1B2E" w:rsidRDefault="009E22F9" w:rsidP="00EF1B2E">
            <w:pPr>
              <w:rPr>
                <w:b/>
                <w:bCs/>
                <w:color w:val="1F497D"/>
                <w:sz w:val="20"/>
                <w:lang w:eastAsia="ko-KR"/>
              </w:rPr>
            </w:pPr>
          </w:p>
        </w:tc>
        <w:tc>
          <w:tcPr>
            <w:tcW w:w="3074" w:type="dxa"/>
            <w:tcBorders>
              <w:top w:val="nil"/>
              <w:left w:val="nil"/>
              <w:bottom w:val="single" w:sz="4" w:space="0" w:color="1F497D"/>
              <w:right w:val="nil"/>
            </w:tcBorders>
            <w:shd w:val="clear" w:color="auto" w:fill="auto"/>
            <w:noWrap/>
            <w:vAlign w:val="center"/>
            <w:hideMark/>
          </w:tcPr>
          <w:p w:rsidR="009E22F9" w:rsidRPr="00EF1B2E" w:rsidRDefault="009E22F9" w:rsidP="002E69BF">
            <w:pPr>
              <w:rPr>
                <w:color w:val="1F497D"/>
                <w:sz w:val="20"/>
                <w:lang w:eastAsia="ko-KR"/>
              </w:rPr>
            </w:pPr>
            <w:r>
              <w:rPr>
                <w:color w:val="1F497D"/>
                <w:sz w:val="20"/>
                <w:lang w:eastAsia="ko-KR"/>
              </w:rPr>
              <w:t xml:space="preserve">Unique </w:t>
            </w:r>
            <w:r w:rsidRPr="00EF1B2E">
              <w:rPr>
                <w:color w:val="1F497D"/>
                <w:sz w:val="20"/>
                <w:lang w:eastAsia="ko-KR"/>
              </w:rPr>
              <w:t>IICs of &gt;=</w:t>
            </w:r>
            <w:r>
              <w:rPr>
                <w:color w:val="1F497D"/>
                <w:sz w:val="20"/>
                <w:lang w:eastAsia="ko-KR"/>
              </w:rPr>
              <w:t>1</w:t>
            </w:r>
            <w:r w:rsidRPr="00EF1B2E">
              <w:rPr>
                <w:color w:val="1F497D"/>
                <w:sz w:val="20"/>
                <w:lang w:eastAsia="ko-KR"/>
              </w:rPr>
              <w:t xml:space="preserve"> readmission</w:t>
            </w:r>
          </w:p>
        </w:tc>
        <w:tc>
          <w:tcPr>
            <w:tcW w:w="1102" w:type="dxa"/>
            <w:tcBorders>
              <w:top w:val="nil"/>
              <w:left w:val="single" w:sz="4" w:space="0" w:color="1F497D"/>
              <w:bottom w:val="single" w:sz="4" w:space="0" w:color="1F497D"/>
              <w:right w:val="single" w:sz="4" w:space="0" w:color="1F497D"/>
            </w:tcBorders>
            <w:shd w:val="clear" w:color="auto" w:fill="auto"/>
            <w:noWrap/>
            <w:vAlign w:val="center"/>
            <w:hideMark/>
          </w:tcPr>
          <w:p w:rsidR="009E22F9" w:rsidRPr="00EF1B2E" w:rsidRDefault="009E22F9" w:rsidP="00EF1B2E">
            <w:pPr>
              <w:jc w:val="center"/>
              <w:rPr>
                <w:color w:val="1F497D"/>
                <w:sz w:val="20"/>
                <w:lang w:eastAsia="ko-KR"/>
              </w:rPr>
            </w:pPr>
            <w:r w:rsidRPr="00EF1B2E">
              <w:rPr>
                <w:color w:val="1F497D" w:themeColor="text2"/>
                <w:sz w:val="20"/>
                <w:lang w:eastAsia="ko-KR"/>
              </w:rPr>
              <w:t>58</w:t>
            </w:r>
          </w:p>
        </w:tc>
        <w:tc>
          <w:tcPr>
            <w:tcW w:w="1103" w:type="dxa"/>
            <w:tcBorders>
              <w:top w:val="nil"/>
              <w:left w:val="nil"/>
              <w:bottom w:val="single" w:sz="4" w:space="0" w:color="1F497D"/>
              <w:right w:val="single" w:sz="4" w:space="0" w:color="1F497D"/>
            </w:tcBorders>
            <w:shd w:val="clear" w:color="auto" w:fill="auto"/>
            <w:noWrap/>
            <w:vAlign w:val="center"/>
            <w:hideMark/>
          </w:tcPr>
          <w:p w:rsidR="009E22F9" w:rsidRPr="00EF1B2E" w:rsidRDefault="009E22F9" w:rsidP="00EF1B2E">
            <w:pPr>
              <w:jc w:val="center"/>
              <w:rPr>
                <w:color w:val="1F497D"/>
                <w:sz w:val="20"/>
                <w:lang w:eastAsia="ko-KR"/>
              </w:rPr>
            </w:pPr>
            <w:r w:rsidRPr="00EF1B2E">
              <w:rPr>
                <w:color w:val="1F497D" w:themeColor="text2"/>
                <w:sz w:val="20"/>
                <w:lang w:eastAsia="ko-KR"/>
              </w:rPr>
              <w:t>42</w:t>
            </w:r>
          </w:p>
        </w:tc>
        <w:tc>
          <w:tcPr>
            <w:tcW w:w="1102" w:type="dxa"/>
            <w:tcBorders>
              <w:top w:val="nil"/>
              <w:left w:val="nil"/>
              <w:bottom w:val="single" w:sz="4" w:space="0" w:color="1F497D"/>
              <w:right w:val="single" w:sz="4" w:space="0" w:color="1F497D"/>
            </w:tcBorders>
            <w:shd w:val="clear" w:color="auto" w:fill="auto"/>
            <w:noWrap/>
            <w:vAlign w:val="center"/>
            <w:hideMark/>
          </w:tcPr>
          <w:p w:rsidR="009E22F9" w:rsidRPr="00EF1B2E" w:rsidRDefault="009E22F9" w:rsidP="00EF1B2E">
            <w:pPr>
              <w:jc w:val="center"/>
              <w:rPr>
                <w:color w:val="1F497D"/>
                <w:sz w:val="20"/>
                <w:lang w:eastAsia="ko-KR"/>
              </w:rPr>
            </w:pPr>
            <w:r w:rsidRPr="00EF1B2E">
              <w:rPr>
                <w:color w:val="1F497D" w:themeColor="text2"/>
                <w:sz w:val="20"/>
                <w:lang w:eastAsia="ko-KR"/>
              </w:rPr>
              <w:t>41</w:t>
            </w:r>
          </w:p>
        </w:tc>
        <w:tc>
          <w:tcPr>
            <w:tcW w:w="1103" w:type="dxa"/>
            <w:tcBorders>
              <w:top w:val="nil"/>
              <w:left w:val="nil"/>
              <w:bottom w:val="single" w:sz="4" w:space="0" w:color="1F497D"/>
              <w:right w:val="single" w:sz="4" w:space="0" w:color="1F497D"/>
            </w:tcBorders>
            <w:shd w:val="clear" w:color="auto" w:fill="auto"/>
            <w:noWrap/>
            <w:vAlign w:val="center"/>
            <w:hideMark/>
          </w:tcPr>
          <w:p w:rsidR="009E22F9" w:rsidRPr="00EF1B2E" w:rsidRDefault="009E22F9" w:rsidP="00EF1B2E">
            <w:pPr>
              <w:jc w:val="center"/>
              <w:rPr>
                <w:color w:val="1F497D"/>
                <w:sz w:val="20"/>
                <w:lang w:eastAsia="ko-KR"/>
              </w:rPr>
            </w:pPr>
            <w:r w:rsidRPr="00EF1B2E">
              <w:rPr>
                <w:color w:val="1F497D"/>
                <w:sz w:val="20"/>
                <w:lang w:eastAsia="ko-KR"/>
              </w:rPr>
              <w:t>50</w:t>
            </w:r>
          </w:p>
        </w:tc>
        <w:tc>
          <w:tcPr>
            <w:tcW w:w="1260" w:type="dxa"/>
            <w:tcBorders>
              <w:top w:val="nil"/>
              <w:left w:val="nil"/>
              <w:bottom w:val="single" w:sz="4" w:space="0" w:color="1F497D"/>
              <w:right w:val="single" w:sz="4" w:space="0" w:color="1F497D"/>
            </w:tcBorders>
            <w:shd w:val="clear" w:color="auto" w:fill="auto"/>
            <w:vAlign w:val="center"/>
          </w:tcPr>
          <w:p w:rsidR="009E22F9" w:rsidRPr="00EF1B2E" w:rsidRDefault="008A452E" w:rsidP="00EF1B2E">
            <w:pPr>
              <w:jc w:val="center"/>
              <w:rPr>
                <w:color w:val="1F497D"/>
                <w:sz w:val="20"/>
                <w:lang w:eastAsia="ko-KR"/>
              </w:rPr>
            </w:pPr>
            <w:r>
              <w:rPr>
                <w:color w:val="1F497D"/>
                <w:sz w:val="20"/>
                <w:lang w:eastAsia="ko-KR"/>
              </w:rPr>
              <w:t>33</w:t>
            </w:r>
          </w:p>
        </w:tc>
      </w:tr>
      <w:tr w:rsidR="009E22F9" w:rsidRPr="00EF1B2E" w:rsidTr="00AB5DCB">
        <w:trPr>
          <w:trHeight w:val="300"/>
        </w:trPr>
        <w:tc>
          <w:tcPr>
            <w:tcW w:w="1351" w:type="dxa"/>
            <w:vMerge/>
            <w:tcBorders>
              <w:top w:val="nil"/>
              <w:left w:val="single" w:sz="4" w:space="0" w:color="1F497D"/>
              <w:bottom w:val="single" w:sz="4" w:space="0" w:color="1F497D"/>
            </w:tcBorders>
            <w:vAlign w:val="center"/>
            <w:hideMark/>
          </w:tcPr>
          <w:p w:rsidR="009E22F9" w:rsidRPr="00EF1B2E" w:rsidRDefault="009E22F9" w:rsidP="00EF1B2E">
            <w:pPr>
              <w:rPr>
                <w:b/>
                <w:bCs/>
                <w:color w:val="1F497D"/>
                <w:sz w:val="20"/>
                <w:lang w:eastAsia="ko-KR"/>
              </w:rPr>
            </w:pPr>
          </w:p>
        </w:tc>
        <w:tc>
          <w:tcPr>
            <w:tcW w:w="3074" w:type="dxa"/>
            <w:tcBorders>
              <w:top w:val="nil"/>
              <w:left w:val="nil"/>
              <w:bottom w:val="single" w:sz="4" w:space="0" w:color="1F497D"/>
              <w:right w:val="nil"/>
            </w:tcBorders>
            <w:shd w:val="clear" w:color="auto" w:fill="auto"/>
            <w:noWrap/>
            <w:vAlign w:val="center"/>
            <w:hideMark/>
          </w:tcPr>
          <w:p w:rsidR="009E22F9" w:rsidRPr="00EF1B2E" w:rsidRDefault="009E22F9" w:rsidP="002E69BF">
            <w:pPr>
              <w:rPr>
                <w:color w:val="1F497D"/>
                <w:sz w:val="20"/>
                <w:lang w:eastAsia="ko-KR"/>
              </w:rPr>
            </w:pPr>
            <w:r>
              <w:rPr>
                <w:color w:val="1F497D"/>
                <w:sz w:val="20"/>
                <w:lang w:eastAsia="ko-KR"/>
              </w:rPr>
              <w:t xml:space="preserve">Unique </w:t>
            </w:r>
            <w:r w:rsidRPr="00EF1B2E">
              <w:rPr>
                <w:color w:val="1F497D"/>
                <w:sz w:val="20"/>
                <w:lang w:eastAsia="ko-KR"/>
              </w:rPr>
              <w:t>IICs of &gt;=2 readmissions</w:t>
            </w:r>
          </w:p>
        </w:tc>
        <w:tc>
          <w:tcPr>
            <w:tcW w:w="1102" w:type="dxa"/>
            <w:tcBorders>
              <w:top w:val="nil"/>
              <w:left w:val="single" w:sz="4" w:space="0" w:color="1F497D"/>
              <w:bottom w:val="single" w:sz="4" w:space="0" w:color="1F497D"/>
              <w:right w:val="single" w:sz="4" w:space="0" w:color="1F497D"/>
            </w:tcBorders>
            <w:shd w:val="clear" w:color="auto" w:fill="auto"/>
            <w:noWrap/>
            <w:vAlign w:val="center"/>
            <w:hideMark/>
          </w:tcPr>
          <w:p w:rsidR="009E22F9" w:rsidRPr="00EF1B2E" w:rsidRDefault="009E22F9" w:rsidP="00EF1B2E">
            <w:pPr>
              <w:jc w:val="center"/>
              <w:rPr>
                <w:color w:val="1F497D"/>
                <w:sz w:val="20"/>
                <w:lang w:eastAsia="ko-KR"/>
              </w:rPr>
            </w:pPr>
            <w:r w:rsidRPr="00EF1B2E">
              <w:rPr>
                <w:color w:val="1F497D" w:themeColor="text2"/>
                <w:sz w:val="20"/>
                <w:lang w:eastAsia="ko-KR"/>
              </w:rPr>
              <w:t>5</w:t>
            </w:r>
          </w:p>
        </w:tc>
        <w:tc>
          <w:tcPr>
            <w:tcW w:w="1103" w:type="dxa"/>
            <w:tcBorders>
              <w:top w:val="nil"/>
              <w:left w:val="nil"/>
              <w:bottom w:val="single" w:sz="4" w:space="0" w:color="1F497D"/>
              <w:right w:val="single" w:sz="4" w:space="0" w:color="1F497D"/>
            </w:tcBorders>
            <w:shd w:val="clear" w:color="auto" w:fill="auto"/>
            <w:noWrap/>
            <w:vAlign w:val="center"/>
            <w:hideMark/>
          </w:tcPr>
          <w:p w:rsidR="009E22F9" w:rsidRPr="00EF1B2E" w:rsidRDefault="009E22F9" w:rsidP="00EF1B2E">
            <w:pPr>
              <w:jc w:val="center"/>
              <w:rPr>
                <w:color w:val="1F497D"/>
                <w:sz w:val="20"/>
                <w:lang w:eastAsia="ko-KR"/>
              </w:rPr>
            </w:pPr>
            <w:r w:rsidRPr="00EF1B2E">
              <w:rPr>
                <w:color w:val="1F497D" w:themeColor="text2"/>
                <w:sz w:val="20"/>
                <w:lang w:eastAsia="ko-KR"/>
              </w:rPr>
              <w:t>7</w:t>
            </w:r>
          </w:p>
        </w:tc>
        <w:tc>
          <w:tcPr>
            <w:tcW w:w="1102" w:type="dxa"/>
            <w:tcBorders>
              <w:top w:val="nil"/>
              <w:left w:val="nil"/>
              <w:bottom w:val="single" w:sz="4" w:space="0" w:color="1F497D"/>
              <w:right w:val="single" w:sz="4" w:space="0" w:color="1F497D"/>
            </w:tcBorders>
            <w:shd w:val="clear" w:color="auto" w:fill="auto"/>
            <w:noWrap/>
            <w:vAlign w:val="center"/>
            <w:hideMark/>
          </w:tcPr>
          <w:p w:rsidR="009E22F9" w:rsidRPr="00EF1B2E" w:rsidRDefault="009E22F9" w:rsidP="00EF1B2E">
            <w:pPr>
              <w:jc w:val="center"/>
              <w:rPr>
                <w:color w:val="1F497D"/>
                <w:sz w:val="20"/>
                <w:lang w:eastAsia="ko-KR"/>
              </w:rPr>
            </w:pPr>
            <w:r w:rsidRPr="00EF1B2E">
              <w:rPr>
                <w:color w:val="1F497D" w:themeColor="text2"/>
                <w:sz w:val="20"/>
                <w:lang w:eastAsia="ko-KR"/>
              </w:rPr>
              <w:t>8</w:t>
            </w:r>
          </w:p>
        </w:tc>
        <w:tc>
          <w:tcPr>
            <w:tcW w:w="1103" w:type="dxa"/>
            <w:tcBorders>
              <w:top w:val="nil"/>
              <w:left w:val="nil"/>
              <w:bottom w:val="single" w:sz="4" w:space="0" w:color="1F497D"/>
              <w:right w:val="single" w:sz="4" w:space="0" w:color="1F497D"/>
            </w:tcBorders>
            <w:shd w:val="clear" w:color="auto" w:fill="auto"/>
            <w:noWrap/>
            <w:vAlign w:val="center"/>
            <w:hideMark/>
          </w:tcPr>
          <w:p w:rsidR="009E22F9" w:rsidRPr="00EF1B2E" w:rsidRDefault="009E22F9" w:rsidP="00EF1B2E">
            <w:pPr>
              <w:jc w:val="center"/>
              <w:rPr>
                <w:color w:val="1F497D"/>
                <w:sz w:val="20"/>
                <w:lang w:eastAsia="ko-KR"/>
              </w:rPr>
            </w:pPr>
            <w:r w:rsidRPr="00EF1B2E">
              <w:rPr>
                <w:color w:val="1F497D"/>
                <w:sz w:val="20"/>
                <w:lang w:eastAsia="ko-KR"/>
              </w:rPr>
              <w:t>7</w:t>
            </w:r>
          </w:p>
        </w:tc>
        <w:tc>
          <w:tcPr>
            <w:tcW w:w="1260" w:type="dxa"/>
            <w:tcBorders>
              <w:top w:val="nil"/>
              <w:left w:val="nil"/>
              <w:bottom w:val="single" w:sz="4" w:space="0" w:color="1F497D"/>
              <w:right w:val="single" w:sz="4" w:space="0" w:color="1F497D"/>
            </w:tcBorders>
            <w:shd w:val="clear" w:color="auto" w:fill="auto"/>
            <w:vAlign w:val="center"/>
          </w:tcPr>
          <w:p w:rsidR="009E22F9" w:rsidRPr="00EF1B2E" w:rsidRDefault="008A452E" w:rsidP="00EF1B2E">
            <w:pPr>
              <w:jc w:val="center"/>
              <w:rPr>
                <w:color w:val="1F497D"/>
                <w:sz w:val="20"/>
                <w:lang w:eastAsia="ko-KR"/>
              </w:rPr>
            </w:pPr>
            <w:r>
              <w:rPr>
                <w:color w:val="1F497D"/>
                <w:sz w:val="20"/>
                <w:lang w:eastAsia="ko-KR"/>
              </w:rPr>
              <w:t>4</w:t>
            </w:r>
          </w:p>
        </w:tc>
      </w:tr>
      <w:tr w:rsidR="009E22F9" w:rsidRPr="00EF1B2E" w:rsidTr="00AB5DCB">
        <w:trPr>
          <w:trHeight w:val="300"/>
        </w:trPr>
        <w:tc>
          <w:tcPr>
            <w:tcW w:w="1351" w:type="dxa"/>
            <w:vMerge w:val="restart"/>
            <w:tcBorders>
              <w:top w:val="nil"/>
              <w:left w:val="single" w:sz="4" w:space="0" w:color="1F497D"/>
              <w:bottom w:val="single" w:sz="4" w:space="0" w:color="1F497D"/>
            </w:tcBorders>
            <w:shd w:val="clear" w:color="auto" w:fill="auto"/>
            <w:vAlign w:val="center"/>
            <w:hideMark/>
          </w:tcPr>
          <w:p w:rsidR="009E22F9" w:rsidRPr="00EF1B2E" w:rsidRDefault="009E22F9" w:rsidP="00EF1B2E">
            <w:pPr>
              <w:rPr>
                <w:b/>
                <w:bCs/>
                <w:color w:val="1F497D"/>
                <w:sz w:val="20"/>
                <w:lang w:eastAsia="ko-KR"/>
              </w:rPr>
            </w:pPr>
            <w:r w:rsidRPr="00EF1B2E">
              <w:rPr>
                <w:b/>
                <w:bCs/>
                <w:color w:val="1F497D"/>
                <w:sz w:val="20"/>
                <w:u w:val="single"/>
                <w:lang w:eastAsia="ko-KR"/>
              </w:rPr>
              <w:t>180-Day</w:t>
            </w:r>
            <w:r w:rsidRPr="00EF1B2E">
              <w:rPr>
                <w:b/>
                <w:bCs/>
                <w:color w:val="1F497D"/>
                <w:sz w:val="20"/>
                <w:lang w:eastAsia="ko-KR"/>
              </w:rPr>
              <w:t xml:space="preserve"> Readmission</w:t>
            </w:r>
          </w:p>
        </w:tc>
        <w:tc>
          <w:tcPr>
            <w:tcW w:w="3074" w:type="dxa"/>
            <w:tcBorders>
              <w:top w:val="nil"/>
              <w:left w:val="nil"/>
              <w:bottom w:val="single" w:sz="4" w:space="0" w:color="1F497D" w:themeColor="text2"/>
              <w:right w:val="nil"/>
            </w:tcBorders>
            <w:shd w:val="clear" w:color="auto" w:fill="auto"/>
            <w:noWrap/>
            <w:vAlign w:val="center"/>
            <w:hideMark/>
          </w:tcPr>
          <w:p w:rsidR="009E22F9" w:rsidRPr="00EF1B2E" w:rsidRDefault="009E22F9" w:rsidP="00EF1B2E">
            <w:pPr>
              <w:rPr>
                <w:color w:val="1F497D"/>
                <w:sz w:val="20"/>
                <w:lang w:eastAsia="ko-KR"/>
              </w:rPr>
            </w:pPr>
            <w:r w:rsidRPr="00EF1B2E">
              <w:rPr>
                <w:color w:val="1F497D"/>
                <w:sz w:val="20"/>
                <w:lang w:eastAsia="ko-KR"/>
              </w:rPr>
              <w:t>Total</w:t>
            </w:r>
          </w:p>
        </w:tc>
        <w:tc>
          <w:tcPr>
            <w:tcW w:w="1102" w:type="dxa"/>
            <w:tcBorders>
              <w:top w:val="nil"/>
              <w:left w:val="single" w:sz="4" w:space="0" w:color="1F497D"/>
              <w:bottom w:val="single" w:sz="4" w:space="0" w:color="1F497D"/>
              <w:right w:val="single" w:sz="4" w:space="0" w:color="1F497D"/>
            </w:tcBorders>
            <w:shd w:val="clear" w:color="auto" w:fill="auto"/>
            <w:noWrap/>
            <w:vAlign w:val="center"/>
            <w:hideMark/>
          </w:tcPr>
          <w:p w:rsidR="009E22F9" w:rsidRPr="00EF1B2E" w:rsidRDefault="009E22F9" w:rsidP="00EF1B2E">
            <w:pPr>
              <w:jc w:val="center"/>
              <w:rPr>
                <w:b/>
                <w:bCs/>
                <w:color w:val="1F497D"/>
                <w:sz w:val="20"/>
                <w:lang w:eastAsia="ko-KR"/>
              </w:rPr>
            </w:pPr>
            <w:r w:rsidRPr="00EF1B2E">
              <w:rPr>
                <w:b/>
                <w:bCs/>
                <w:color w:val="1F497D" w:themeColor="text2"/>
                <w:sz w:val="20"/>
                <w:lang w:eastAsia="ko-KR"/>
              </w:rPr>
              <w:t>107</w:t>
            </w:r>
          </w:p>
        </w:tc>
        <w:tc>
          <w:tcPr>
            <w:tcW w:w="1103" w:type="dxa"/>
            <w:tcBorders>
              <w:top w:val="nil"/>
              <w:left w:val="nil"/>
              <w:bottom w:val="single" w:sz="4" w:space="0" w:color="1F497D"/>
              <w:right w:val="single" w:sz="4" w:space="0" w:color="1F497D"/>
            </w:tcBorders>
            <w:shd w:val="clear" w:color="auto" w:fill="auto"/>
            <w:noWrap/>
            <w:vAlign w:val="center"/>
            <w:hideMark/>
          </w:tcPr>
          <w:p w:rsidR="009E22F9" w:rsidRPr="00EF1B2E" w:rsidRDefault="009E22F9" w:rsidP="00EF1B2E">
            <w:pPr>
              <w:jc w:val="center"/>
              <w:rPr>
                <w:b/>
                <w:bCs/>
                <w:color w:val="1F497D"/>
                <w:sz w:val="20"/>
                <w:lang w:eastAsia="ko-KR"/>
              </w:rPr>
            </w:pPr>
            <w:r w:rsidRPr="00EF1B2E">
              <w:rPr>
                <w:b/>
                <w:bCs/>
                <w:color w:val="1F497D" w:themeColor="text2"/>
                <w:sz w:val="20"/>
                <w:lang w:eastAsia="ko-KR"/>
              </w:rPr>
              <w:t>87</w:t>
            </w:r>
          </w:p>
        </w:tc>
        <w:tc>
          <w:tcPr>
            <w:tcW w:w="1102" w:type="dxa"/>
            <w:tcBorders>
              <w:top w:val="nil"/>
              <w:left w:val="nil"/>
              <w:bottom w:val="single" w:sz="4" w:space="0" w:color="1F497D"/>
              <w:right w:val="single" w:sz="4" w:space="0" w:color="1F497D"/>
            </w:tcBorders>
            <w:shd w:val="clear" w:color="auto" w:fill="auto"/>
            <w:noWrap/>
            <w:vAlign w:val="center"/>
            <w:hideMark/>
          </w:tcPr>
          <w:p w:rsidR="009E22F9" w:rsidRPr="00EF1B2E" w:rsidRDefault="009E22F9" w:rsidP="00EF1B2E">
            <w:pPr>
              <w:jc w:val="center"/>
              <w:rPr>
                <w:b/>
                <w:bCs/>
                <w:color w:val="1F497D"/>
                <w:sz w:val="20"/>
                <w:lang w:eastAsia="ko-KR"/>
              </w:rPr>
            </w:pPr>
            <w:r w:rsidRPr="00EF1B2E">
              <w:rPr>
                <w:b/>
                <w:bCs/>
                <w:color w:val="1F497D" w:themeColor="text2"/>
                <w:sz w:val="20"/>
                <w:lang w:eastAsia="ko-KR"/>
              </w:rPr>
              <w:t>84</w:t>
            </w:r>
          </w:p>
        </w:tc>
        <w:tc>
          <w:tcPr>
            <w:tcW w:w="1103" w:type="dxa"/>
            <w:tcBorders>
              <w:top w:val="nil"/>
              <w:left w:val="nil"/>
              <w:bottom w:val="single" w:sz="4" w:space="0" w:color="1F497D"/>
              <w:right w:val="single" w:sz="4" w:space="0" w:color="1F497D"/>
            </w:tcBorders>
            <w:shd w:val="clear" w:color="auto" w:fill="auto"/>
            <w:noWrap/>
            <w:vAlign w:val="center"/>
            <w:hideMark/>
          </w:tcPr>
          <w:p w:rsidR="009E22F9" w:rsidRPr="00EF1B2E" w:rsidRDefault="009E22F9" w:rsidP="00D231E6">
            <w:pPr>
              <w:jc w:val="center"/>
              <w:rPr>
                <w:b/>
                <w:bCs/>
                <w:color w:val="1F497D"/>
                <w:sz w:val="20"/>
                <w:lang w:eastAsia="ko-KR"/>
              </w:rPr>
            </w:pPr>
            <w:r w:rsidRPr="00EF1B2E">
              <w:rPr>
                <w:b/>
                <w:bCs/>
                <w:color w:val="1F497D" w:themeColor="text2"/>
                <w:sz w:val="20"/>
                <w:lang w:eastAsia="ko-KR"/>
              </w:rPr>
              <w:t>8</w:t>
            </w:r>
            <w:r>
              <w:rPr>
                <w:b/>
                <w:bCs/>
                <w:color w:val="1F497D" w:themeColor="text2"/>
                <w:sz w:val="20"/>
                <w:lang w:eastAsia="ko-KR"/>
              </w:rPr>
              <w:t>7</w:t>
            </w:r>
          </w:p>
        </w:tc>
        <w:tc>
          <w:tcPr>
            <w:tcW w:w="1260" w:type="dxa"/>
            <w:tcBorders>
              <w:top w:val="nil"/>
              <w:left w:val="nil"/>
              <w:bottom w:val="single" w:sz="4" w:space="0" w:color="1F497D"/>
              <w:right w:val="single" w:sz="4" w:space="0" w:color="1F497D"/>
            </w:tcBorders>
            <w:shd w:val="clear" w:color="auto" w:fill="auto"/>
            <w:vAlign w:val="center"/>
          </w:tcPr>
          <w:p w:rsidR="009E22F9" w:rsidRPr="00EF1B2E" w:rsidRDefault="00C5423F" w:rsidP="00D231E6">
            <w:pPr>
              <w:jc w:val="center"/>
              <w:rPr>
                <w:b/>
                <w:bCs/>
                <w:color w:val="1F497D"/>
                <w:sz w:val="20"/>
                <w:lang w:eastAsia="ko-KR"/>
              </w:rPr>
            </w:pPr>
            <w:r>
              <w:rPr>
                <w:b/>
                <w:bCs/>
                <w:color w:val="1F497D"/>
                <w:sz w:val="20"/>
                <w:lang w:eastAsia="ko-KR"/>
              </w:rPr>
              <w:t>73</w:t>
            </w:r>
          </w:p>
        </w:tc>
      </w:tr>
      <w:tr w:rsidR="009E22F9" w:rsidRPr="00EF1B2E" w:rsidTr="00AB5DCB">
        <w:trPr>
          <w:trHeight w:val="300"/>
        </w:trPr>
        <w:tc>
          <w:tcPr>
            <w:tcW w:w="1351" w:type="dxa"/>
            <w:vMerge/>
            <w:tcBorders>
              <w:top w:val="nil"/>
              <w:left w:val="single" w:sz="4" w:space="0" w:color="1F497D"/>
              <w:bottom w:val="single" w:sz="4" w:space="0" w:color="1F497D"/>
            </w:tcBorders>
            <w:vAlign w:val="center"/>
            <w:hideMark/>
          </w:tcPr>
          <w:p w:rsidR="009E22F9" w:rsidRPr="00EF1B2E" w:rsidRDefault="009E22F9" w:rsidP="00EF1B2E">
            <w:pPr>
              <w:rPr>
                <w:b/>
                <w:bCs/>
                <w:color w:val="1F497D"/>
                <w:sz w:val="20"/>
                <w:lang w:eastAsia="ko-KR"/>
              </w:rPr>
            </w:pPr>
          </w:p>
        </w:tc>
        <w:tc>
          <w:tcPr>
            <w:tcW w:w="3074" w:type="dxa"/>
            <w:tcBorders>
              <w:top w:val="single" w:sz="4" w:space="0" w:color="1F497D" w:themeColor="text2"/>
              <w:left w:val="nil"/>
              <w:bottom w:val="single" w:sz="4" w:space="0" w:color="1F497D"/>
              <w:right w:val="nil"/>
            </w:tcBorders>
            <w:shd w:val="clear" w:color="auto" w:fill="auto"/>
            <w:noWrap/>
            <w:vAlign w:val="center"/>
            <w:hideMark/>
          </w:tcPr>
          <w:p w:rsidR="009E22F9" w:rsidRPr="00EF1B2E" w:rsidRDefault="009E22F9" w:rsidP="00EF1B2E">
            <w:pPr>
              <w:rPr>
                <w:color w:val="1F497D"/>
                <w:sz w:val="20"/>
                <w:lang w:eastAsia="ko-KR"/>
              </w:rPr>
            </w:pPr>
            <w:r w:rsidRPr="00EF1B2E">
              <w:rPr>
                <w:color w:val="1F497D"/>
                <w:sz w:val="20"/>
                <w:lang w:eastAsia="ko-KR"/>
              </w:rPr>
              <w:t>Monthly Average</w:t>
            </w:r>
          </w:p>
        </w:tc>
        <w:tc>
          <w:tcPr>
            <w:tcW w:w="1102" w:type="dxa"/>
            <w:tcBorders>
              <w:top w:val="nil"/>
              <w:left w:val="single" w:sz="4" w:space="0" w:color="1F497D"/>
              <w:bottom w:val="single" w:sz="4" w:space="0" w:color="1F497D"/>
              <w:right w:val="single" w:sz="4" w:space="0" w:color="1F497D"/>
            </w:tcBorders>
            <w:shd w:val="clear" w:color="auto" w:fill="auto"/>
            <w:noWrap/>
            <w:vAlign w:val="center"/>
            <w:hideMark/>
          </w:tcPr>
          <w:p w:rsidR="009E22F9" w:rsidRPr="00EF1B2E" w:rsidRDefault="009E22F9" w:rsidP="00EF1B2E">
            <w:pPr>
              <w:jc w:val="center"/>
              <w:rPr>
                <w:b/>
                <w:bCs/>
                <w:color w:val="1F497D"/>
                <w:sz w:val="20"/>
                <w:lang w:eastAsia="ko-KR"/>
              </w:rPr>
            </w:pPr>
            <w:r w:rsidRPr="00EF1B2E">
              <w:rPr>
                <w:b/>
                <w:bCs/>
                <w:color w:val="1F497D" w:themeColor="text2"/>
                <w:sz w:val="20"/>
                <w:lang w:eastAsia="ko-KR"/>
              </w:rPr>
              <w:t>8.9</w:t>
            </w:r>
          </w:p>
        </w:tc>
        <w:tc>
          <w:tcPr>
            <w:tcW w:w="1103" w:type="dxa"/>
            <w:tcBorders>
              <w:top w:val="nil"/>
              <w:left w:val="nil"/>
              <w:bottom w:val="single" w:sz="4" w:space="0" w:color="1F497D"/>
              <w:right w:val="single" w:sz="4" w:space="0" w:color="1F497D"/>
            </w:tcBorders>
            <w:shd w:val="clear" w:color="auto" w:fill="auto"/>
            <w:noWrap/>
            <w:vAlign w:val="center"/>
            <w:hideMark/>
          </w:tcPr>
          <w:p w:rsidR="009E22F9" w:rsidRPr="00EF1B2E" w:rsidRDefault="009E22F9" w:rsidP="00EF1B2E">
            <w:pPr>
              <w:jc w:val="center"/>
              <w:rPr>
                <w:b/>
                <w:bCs/>
                <w:color w:val="1F497D"/>
                <w:sz w:val="20"/>
                <w:lang w:eastAsia="ko-KR"/>
              </w:rPr>
            </w:pPr>
            <w:r w:rsidRPr="00EF1B2E">
              <w:rPr>
                <w:b/>
                <w:bCs/>
                <w:color w:val="1F497D" w:themeColor="text2"/>
                <w:sz w:val="20"/>
                <w:lang w:eastAsia="ko-KR"/>
              </w:rPr>
              <w:t>7.3</w:t>
            </w:r>
          </w:p>
        </w:tc>
        <w:tc>
          <w:tcPr>
            <w:tcW w:w="1102" w:type="dxa"/>
            <w:tcBorders>
              <w:top w:val="nil"/>
              <w:left w:val="nil"/>
              <w:bottom w:val="single" w:sz="4" w:space="0" w:color="1F497D"/>
              <w:right w:val="single" w:sz="4" w:space="0" w:color="1F497D"/>
            </w:tcBorders>
            <w:shd w:val="clear" w:color="auto" w:fill="auto"/>
            <w:noWrap/>
            <w:vAlign w:val="center"/>
            <w:hideMark/>
          </w:tcPr>
          <w:p w:rsidR="009E22F9" w:rsidRPr="00EF1B2E" w:rsidRDefault="009E22F9" w:rsidP="00EF1B2E">
            <w:pPr>
              <w:jc w:val="center"/>
              <w:rPr>
                <w:b/>
                <w:bCs/>
                <w:color w:val="1F497D"/>
                <w:sz w:val="20"/>
                <w:lang w:eastAsia="ko-KR"/>
              </w:rPr>
            </w:pPr>
            <w:r w:rsidRPr="00EF1B2E">
              <w:rPr>
                <w:b/>
                <w:bCs/>
                <w:color w:val="1F497D" w:themeColor="text2"/>
                <w:sz w:val="20"/>
                <w:lang w:eastAsia="ko-KR"/>
              </w:rPr>
              <w:t>7.0</w:t>
            </w:r>
          </w:p>
        </w:tc>
        <w:tc>
          <w:tcPr>
            <w:tcW w:w="1103" w:type="dxa"/>
            <w:tcBorders>
              <w:top w:val="nil"/>
              <w:left w:val="nil"/>
              <w:bottom w:val="single" w:sz="4" w:space="0" w:color="1F497D"/>
              <w:right w:val="single" w:sz="4" w:space="0" w:color="1F497D"/>
            </w:tcBorders>
            <w:shd w:val="clear" w:color="auto" w:fill="auto"/>
            <w:noWrap/>
            <w:vAlign w:val="center"/>
            <w:hideMark/>
          </w:tcPr>
          <w:p w:rsidR="009E22F9" w:rsidRPr="00EF1B2E" w:rsidRDefault="009E22F9" w:rsidP="00D231E6">
            <w:pPr>
              <w:jc w:val="center"/>
              <w:rPr>
                <w:b/>
                <w:bCs/>
                <w:color w:val="1F497D"/>
                <w:sz w:val="20"/>
                <w:lang w:eastAsia="ko-KR"/>
              </w:rPr>
            </w:pPr>
            <w:r w:rsidRPr="00EF1B2E">
              <w:rPr>
                <w:b/>
                <w:bCs/>
                <w:color w:val="1F497D" w:themeColor="text2"/>
                <w:sz w:val="20"/>
                <w:lang w:eastAsia="ko-KR"/>
              </w:rPr>
              <w:t>7.</w:t>
            </w:r>
            <w:r>
              <w:rPr>
                <w:b/>
                <w:bCs/>
                <w:color w:val="1F497D" w:themeColor="text2"/>
                <w:sz w:val="20"/>
                <w:lang w:eastAsia="ko-KR"/>
              </w:rPr>
              <w:t>3</w:t>
            </w:r>
          </w:p>
        </w:tc>
        <w:tc>
          <w:tcPr>
            <w:tcW w:w="1260" w:type="dxa"/>
            <w:tcBorders>
              <w:top w:val="nil"/>
              <w:left w:val="nil"/>
              <w:bottom w:val="single" w:sz="4" w:space="0" w:color="1F497D"/>
              <w:right w:val="single" w:sz="4" w:space="0" w:color="1F497D"/>
            </w:tcBorders>
            <w:shd w:val="clear" w:color="auto" w:fill="auto"/>
            <w:vAlign w:val="center"/>
          </w:tcPr>
          <w:p w:rsidR="009E22F9" w:rsidRPr="00EF1B2E" w:rsidRDefault="00C5423F" w:rsidP="00C5423F">
            <w:pPr>
              <w:jc w:val="center"/>
              <w:rPr>
                <w:b/>
                <w:bCs/>
                <w:color w:val="1F497D"/>
                <w:sz w:val="20"/>
                <w:lang w:eastAsia="ko-KR"/>
              </w:rPr>
            </w:pPr>
            <w:r>
              <w:rPr>
                <w:b/>
                <w:bCs/>
                <w:color w:val="1F497D"/>
                <w:sz w:val="20"/>
                <w:lang w:eastAsia="ko-KR"/>
              </w:rPr>
              <w:t>6</w:t>
            </w:r>
            <w:r w:rsidR="008A452E">
              <w:rPr>
                <w:b/>
                <w:bCs/>
                <w:color w:val="1F497D"/>
                <w:sz w:val="20"/>
                <w:lang w:eastAsia="ko-KR"/>
              </w:rPr>
              <w:t>.</w:t>
            </w:r>
            <w:r>
              <w:rPr>
                <w:b/>
                <w:bCs/>
                <w:color w:val="1F497D"/>
                <w:sz w:val="20"/>
                <w:lang w:eastAsia="ko-KR"/>
              </w:rPr>
              <w:t>1</w:t>
            </w:r>
          </w:p>
        </w:tc>
      </w:tr>
      <w:tr w:rsidR="009E22F9" w:rsidRPr="00EF1B2E" w:rsidTr="00AB5DCB">
        <w:trPr>
          <w:trHeight w:val="300"/>
        </w:trPr>
        <w:tc>
          <w:tcPr>
            <w:tcW w:w="1351" w:type="dxa"/>
            <w:vMerge/>
            <w:tcBorders>
              <w:top w:val="nil"/>
              <w:left w:val="single" w:sz="4" w:space="0" w:color="1F497D"/>
              <w:bottom w:val="single" w:sz="4" w:space="0" w:color="1F497D"/>
            </w:tcBorders>
            <w:vAlign w:val="center"/>
            <w:hideMark/>
          </w:tcPr>
          <w:p w:rsidR="009E22F9" w:rsidRPr="00EF1B2E" w:rsidRDefault="009E22F9" w:rsidP="00EF1B2E">
            <w:pPr>
              <w:rPr>
                <w:b/>
                <w:bCs/>
                <w:color w:val="1F497D"/>
                <w:sz w:val="20"/>
                <w:lang w:eastAsia="ko-KR"/>
              </w:rPr>
            </w:pPr>
          </w:p>
        </w:tc>
        <w:tc>
          <w:tcPr>
            <w:tcW w:w="3074" w:type="dxa"/>
            <w:tcBorders>
              <w:top w:val="nil"/>
              <w:left w:val="nil"/>
              <w:bottom w:val="single" w:sz="4" w:space="0" w:color="1F497D"/>
              <w:right w:val="nil"/>
            </w:tcBorders>
            <w:shd w:val="clear" w:color="000000" w:fill="C6D9F1"/>
            <w:noWrap/>
            <w:vAlign w:val="center"/>
            <w:hideMark/>
          </w:tcPr>
          <w:p w:rsidR="009E22F9" w:rsidRPr="00EF1B2E" w:rsidRDefault="009E22F9" w:rsidP="00EF1B2E">
            <w:pPr>
              <w:rPr>
                <w:b/>
                <w:bCs/>
                <w:color w:val="1F497D"/>
                <w:sz w:val="20"/>
                <w:lang w:eastAsia="ko-KR"/>
              </w:rPr>
            </w:pPr>
            <w:r w:rsidRPr="00EF1B2E">
              <w:rPr>
                <w:b/>
                <w:bCs/>
                <w:color w:val="1F497D"/>
                <w:sz w:val="20"/>
                <w:lang w:eastAsia="ko-KR"/>
              </w:rPr>
              <w:t>Rate</w:t>
            </w:r>
          </w:p>
        </w:tc>
        <w:tc>
          <w:tcPr>
            <w:tcW w:w="1102" w:type="dxa"/>
            <w:tcBorders>
              <w:top w:val="nil"/>
              <w:left w:val="single" w:sz="4" w:space="0" w:color="1F497D"/>
              <w:bottom w:val="single" w:sz="4" w:space="0" w:color="1F497D"/>
              <w:right w:val="single" w:sz="4" w:space="0" w:color="1F497D"/>
            </w:tcBorders>
            <w:shd w:val="clear" w:color="000000" w:fill="C6D9F1"/>
            <w:noWrap/>
            <w:vAlign w:val="center"/>
            <w:hideMark/>
          </w:tcPr>
          <w:p w:rsidR="009E22F9" w:rsidRPr="00EF1B2E" w:rsidRDefault="009E22F9" w:rsidP="00EF1B2E">
            <w:pPr>
              <w:jc w:val="center"/>
              <w:rPr>
                <w:b/>
                <w:bCs/>
                <w:color w:val="1F497D"/>
                <w:sz w:val="20"/>
                <w:lang w:eastAsia="ko-KR"/>
              </w:rPr>
            </w:pPr>
            <w:r w:rsidRPr="00EF1B2E">
              <w:rPr>
                <w:b/>
                <w:bCs/>
                <w:color w:val="1F497D" w:themeColor="text2"/>
                <w:sz w:val="20"/>
                <w:lang w:eastAsia="ko-KR"/>
              </w:rPr>
              <w:t>22.1%</w:t>
            </w:r>
          </w:p>
        </w:tc>
        <w:tc>
          <w:tcPr>
            <w:tcW w:w="1103" w:type="dxa"/>
            <w:tcBorders>
              <w:top w:val="nil"/>
              <w:left w:val="nil"/>
              <w:bottom w:val="single" w:sz="4" w:space="0" w:color="1F497D"/>
              <w:right w:val="single" w:sz="4" w:space="0" w:color="1F497D"/>
            </w:tcBorders>
            <w:shd w:val="clear" w:color="000000" w:fill="C6D9F1"/>
            <w:noWrap/>
            <w:vAlign w:val="center"/>
            <w:hideMark/>
          </w:tcPr>
          <w:p w:rsidR="009E22F9" w:rsidRPr="00EF1B2E" w:rsidRDefault="009E22F9" w:rsidP="00EF1B2E">
            <w:pPr>
              <w:jc w:val="center"/>
              <w:rPr>
                <w:b/>
                <w:bCs/>
                <w:color w:val="1F497D"/>
                <w:sz w:val="20"/>
                <w:lang w:eastAsia="ko-KR"/>
              </w:rPr>
            </w:pPr>
            <w:r w:rsidRPr="00EF1B2E">
              <w:rPr>
                <w:b/>
                <w:bCs/>
                <w:color w:val="1F497D" w:themeColor="text2"/>
                <w:sz w:val="20"/>
                <w:lang w:eastAsia="ko-KR"/>
              </w:rPr>
              <w:t>19.6%</w:t>
            </w:r>
          </w:p>
        </w:tc>
        <w:tc>
          <w:tcPr>
            <w:tcW w:w="1102" w:type="dxa"/>
            <w:tcBorders>
              <w:top w:val="nil"/>
              <w:left w:val="nil"/>
              <w:bottom w:val="single" w:sz="4" w:space="0" w:color="1F497D"/>
              <w:right w:val="single" w:sz="4" w:space="0" w:color="1F497D"/>
            </w:tcBorders>
            <w:shd w:val="clear" w:color="000000" w:fill="C6D9F1"/>
            <w:noWrap/>
            <w:vAlign w:val="center"/>
            <w:hideMark/>
          </w:tcPr>
          <w:p w:rsidR="009E22F9" w:rsidRPr="00EF1B2E" w:rsidRDefault="009E22F9" w:rsidP="00EF1B2E">
            <w:pPr>
              <w:jc w:val="center"/>
              <w:rPr>
                <w:b/>
                <w:bCs/>
                <w:color w:val="1F497D"/>
                <w:sz w:val="20"/>
                <w:lang w:eastAsia="ko-KR"/>
              </w:rPr>
            </w:pPr>
            <w:r w:rsidRPr="00EF1B2E">
              <w:rPr>
                <w:b/>
                <w:bCs/>
                <w:color w:val="1F497D" w:themeColor="text2"/>
                <w:sz w:val="20"/>
                <w:lang w:eastAsia="ko-KR"/>
              </w:rPr>
              <w:t>20.4%</w:t>
            </w:r>
          </w:p>
        </w:tc>
        <w:tc>
          <w:tcPr>
            <w:tcW w:w="1103" w:type="dxa"/>
            <w:tcBorders>
              <w:top w:val="nil"/>
              <w:left w:val="nil"/>
              <w:bottom w:val="single" w:sz="4" w:space="0" w:color="1F497D"/>
              <w:right w:val="single" w:sz="4" w:space="0" w:color="1F497D"/>
            </w:tcBorders>
            <w:shd w:val="clear" w:color="000000" w:fill="C6D9F1"/>
            <w:noWrap/>
            <w:vAlign w:val="center"/>
            <w:hideMark/>
          </w:tcPr>
          <w:p w:rsidR="009E22F9" w:rsidRPr="00EF1B2E" w:rsidRDefault="009E22F9" w:rsidP="00D231E6">
            <w:pPr>
              <w:jc w:val="center"/>
              <w:rPr>
                <w:b/>
                <w:bCs/>
                <w:color w:val="1F497D"/>
                <w:sz w:val="20"/>
                <w:lang w:eastAsia="ko-KR"/>
              </w:rPr>
            </w:pPr>
            <w:r w:rsidRPr="00EF1B2E">
              <w:rPr>
                <w:b/>
                <w:bCs/>
                <w:color w:val="1F497D" w:themeColor="text2"/>
                <w:sz w:val="20"/>
                <w:lang w:eastAsia="ko-KR"/>
              </w:rPr>
              <w:t>20.</w:t>
            </w:r>
            <w:r>
              <w:rPr>
                <w:b/>
                <w:bCs/>
                <w:color w:val="1F497D" w:themeColor="text2"/>
                <w:sz w:val="20"/>
                <w:lang w:eastAsia="ko-KR"/>
              </w:rPr>
              <w:t>3</w:t>
            </w:r>
            <w:r w:rsidRPr="00EF1B2E">
              <w:rPr>
                <w:b/>
                <w:bCs/>
                <w:color w:val="1F497D" w:themeColor="text2"/>
                <w:sz w:val="20"/>
                <w:lang w:eastAsia="ko-KR"/>
              </w:rPr>
              <w:t>%</w:t>
            </w:r>
          </w:p>
        </w:tc>
        <w:tc>
          <w:tcPr>
            <w:tcW w:w="1260" w:type="dxa"/>
            <w:tcBorders>
              <w:top w:val="nil"/>
              <w:left w:val="nil"/>
              <w:bottom w:val="single" w:sz="4" w:space="0" w:color="1F497D"/>
              <w:right w:val="single" w:sz="4" w:space="0" w:color="1F497D"/>
            </w:tcBorders>
            <w:shd w:val="clear" w:color="000000" w:fill="C6D9F1"/>
            <w:vAlign w:val="center"/>
          </w:tcPr>
          <w:p w:rsidR="009E22F9" w:rsidRPr="00EF1B2E" w:rsidRDefault="00C5423F" w:rsidP="00D231E6">
            <w:pPr>
              <w:jc w:val="center"/>
              <w:rPr>
                <w:b/>
                <w:bCs/>
                <w:color w:val="1F497D"/>
                <w:sz w:val="20"/>
                <w:lang w:eastAsia="ko-KR"/>
              </w:rPr>
            </w:pPr>
            <w:r>
              <w:rPr>
                <w:b/>
                <w:bCs/>
                <w:color w:val="1F497D"/>
                <w:sz w:val="20"/>
                <w:lang w:eastAsia="ko-KR"/>
              </w:rPr>
              <w:t>17</w:t>
            </w:r>
            <w:r w:rsidR="008A452E">
              <w:rPr>
                <w:b/>
                <w:bCs/>
                <w:color w:val="1F497D"/>
                <w:sz w:val="20"/>
                <w:lang w:eastAsia="ko-KR"/>
              </w:rPr>
              <w:t>%</w:t>
            </w:r>
          </w:p>
        </w:tc>
      </w:tr>
      <w:tr w:rsidR="009E22F9" w:rsidRPr="00EF1B2E" w:rsidTr="00AB5DCB">
        <w:trPr>
          <w:trHeight w:val="300"/>
        </w:trPr>
        <w:tc>
          <w:tcPr>
            <w:tcW w:w="1351" w:type="dxa"/>
            <w:vMerge/>
            <w:tcBorders>
              <w:top w:val="nil"/>
              <w:left w:val="single" w:sz="4" w:space="0" w:color="1F497D"/>
              <w:bottom w:val="single" w:sz="4" w:space="0" w:color="1F497D"/>
            </w:tcBorders>
            <w:vAlign w:val="center"/>
            <w:hideMark/>
          </w:tcPr>
          <w:p w:rsidR="009E22F9" w:rsidRPr="00EF1B2E" w:rsidRDefault="009E22F9" w:rsidP="00EF1B2E">
            <w:pPr>
              <w:rPr>
                <w:b/>
                <w:bCs/>
                <w:color w:val="1F497D"/>
                <w:sz w:val="20"/>
                <w:lang w:eastAsia="ko-KR"/>
              </w:rPr>
            </w:pPr>
          </w:p>
        </w:tc>
        <w:tc>
          <w:tcPr>
            <w:tcW w:w="3074" w:type="dxa"/>
            <w:tcBorders>
              <w:top w:val="nil"/>
              <w:left w:val="nil"/>
              <w:bottom w:val="single" w:sz="4" w:space="0" w:color="1F497D"/>
              <w:right w:val="nil"/>
            </w:tcBorders>
            <w:shd w:val="clear" w:color="auto" w:fill="auto"/>
            <w:noWrap/>
            <w:vAlign w:val="center"/>
            <w:hideMark/>
          </w:tcPr>
          <w:p w:rsidR="009E22F9" w:rsidRPr="00EF1B2E" w:rsidRDefault="009E22F9" w:rsidP="0024220D">
            <w:pPr>
              <w:rPr>
                <w:color w:val="1F497D"/>
                <w:sz w:val="20"/>
                <w:lang w:eastAsia="ko-KR"/>
              </w:rPr>
            </w:pPr>
            <w:r>
              <w:rPr>
                <w:color w:val="1F497D"/>
                <w:sz w:val="20"/>
                <w:lang w:eastAsia="ko-KR"/>
              </w:rPr>
              <w:t xml:space="preserve">Unique </w:t>
            </w:r>
            <w:r w:rsidRPr="00EF1B2E">
              <w:rPr>
                <w:color w:val="1F497D"/>
                <w:sz w:val="20"/>
                <w:lang w:eastAsia="ko-KR"/>
              </w:rPr>
              <w:t>IICs of &gt;=</w:t>
            </w:r>
            <w:r>
              <w:rPr>
                <w:color w:val="1F497D"/>
                <w:sz w:val="20"/>
                <w:lang w:eastAsia="ko-KR"/>
              </w:rPr>
              <w:t>1</w:t>
            </w:r>
            <w:r w:rsidRPr="00EF1B2E">
              <w:rPr>
                <w:color w:val="1F497D"/>
                <w:sz w:val="20"/>
                <w:lang w:eastAsia="ko-KR"/>
              </w:rPr>
              <w:t xml:space="preserve"> readmission</w:t>
            </w:r>
          </w:p>
        </w:tc>
        <w:tc>
          <w:tcPr>
            <w:tcW w:w="1102" w:type="dxa"/>
            <w:tcBorders>
              <w:top w:val="nil"/>
              <w:left w:val="single" w:sz="4" w:space="0" w:color="1F497D"/>
              <w:bottom w:val="single" w:sz="4" w:space="0" w:color="1F497D"/>
              <w:right w:val="single" w:sz="4" w:space="0" w:color="1F497D"/>
            </w:tcBorders>
            <w:shd w:val="clear" w:color="auto" w:fill="auto"/>
            <w:noWrap/>
            <w:vAlign w:val="center"/>
            <w:hideMark/>
          </w:tcPr>
          <w:p w:rsidR="009E22F9" w:rsidRPr="00EF1B2E" w:rsidRDefault="009E22F9" w:rsidP="00EF1B2E">
            <w:pPr>
              <w:jc w:val="center"/>
              <w:rPr>
                <w:color w:val="1F497D"/>
                <w:sz w:val="20"/>
                <w:lang w:eastAsia="ko-KR"/>
              </w:rPr>
            </w:pPr>
            <w:r w:rsidRPr="00EF1B2E">
              <w:rPr>
                <w:color w:val="1F497D" w:themeColor="text2"/>
                <w:sz w:val="20"/>
                <w:lang w:eastAsia="ko-KR"/>
              </w:rPr>
              <w:t>95</w:t>
            </w:r>
          </w:p>
        </w:tc>
        <w:tc>
          <w:tcPr>
            <w:tcW w:w="1103" w:type="dxa"/>
            <w:tcBorders>
              <w:top w:val="nil"/>
              <w:left w:val="nil"/>
              <w:bottom w:val="single" w:sz="4" w:space="0" w:color="1F497D"/>
              <w:right w:val="single" w:sz="4" w:space="0" w:color="1F497D"/>
            </w:tcBorders>
            <w:shd w:val="clear" w:color="auto" w:fill="auto"/>
            <w:noWrap/>
            <w:vAlign w:val="center"/>
            <w:hideMark/>
          </w:tcPr>
          <w:p w:rsidR="009E22F9" w:rsidRPr="00EF1B2E" w:rsidRDefault="009E22F9" w:rsidP="00EF1B2E">
            <w:pPr>
              <w:jc w:val="center"/>
              <w:rPr>
                <w:color w:val="1F497D"/>
                <w:sz w:val="20"/>
                <w:lang w:eastAsia="ko-KR"/>
              </w:rPr>
            </w:pPr>
            <w:r w:rsidRPr="00EF1B2E">
              <w:rPr>
                <w:color w:val="1F497D" w:themeColor="text2"/>
                <w:sz w:val="20"/>
                <w:lang w:eastAsia="ko-KR"/>
              </w:rPr>
              <w:t>66</w:t>
            </w:r>
          </w:p>
        </w:tc>
        <w:tc>
          <w:tcPr>
            <w:tcW w:w="1102" w:type="dxa"/>
            <w:tcBorders>
              <w:top w:val="nil"/>
              <w:left w:val="nil"/>
              <w:bottom w:val="single" w:sz="4" w:space="0" w:color="1F497D"/>
              <w:right w:val="single" w:sz="4" w:space="0" w:color="1F497D"/>
            </w:tcBorders>
            <w:shd w:val="clear" w:color="auto" w:fill="auto"/>
            <w:noWrap/>
            <w:vAlign w:val="center"/>
            <w:hideMark/>
          </w:tcPr>
          <w:p w:rsidR="009E22F9" w:rsidRPr="00EF1B2E" w:rsidRDefault="009E22F9" w:rsidP="00EF1B2E">
            <w:pPr>
              <w:jc w:val="center"/>
              <w:rPr>
                <w:color w:val="1F497D"/>
                <w:sz w:val="20"/>
                <w:lang w:eastAsia="ko-KR"/>
              </w:rPr>
            </w:pPr>
            <w:r w:rsidRPr="00EF1B2E">
              <w:rPr>
                <w:color w:val="1F497D"/>
                <w:sz w:val="20"/>
                <w:lang w:eastAsia="ko-KR"/>
              </w:rPr>
              <w:t>61</w:t>
            </w:r>
          </w:p>
        </w:tc>
        <w:tc>
          <w:tcPr>
            <w:tcW w:w="1103" w:type="dxa"/>
            <w:tcBorders>
              <w:top w:val="nil"/>
              <w:left w:val="nil"/>
              <w:bottom w:val="single" w:sz="4" w:space="0" w:color="1F497D"/>
              <w:right w:val="single" w:sz="4" w:space="0" w:color="1F497D"/>
            </w:tcBorders>
            <w:shd w:val="clear" w:color="auto" w:fill="auto"/>
            <w:noWrap/>
            <w:vAlign w:val="center"/>
            <w:hideMark/>
          </w:tcPr>
          <w:p w:rsidR="009E22F9" w:rsidRPr="00EF1B2E" w:rsidRDefault="009E22F9" w:rsidP="00EF1B2E">
            <w:pPr>
              <w:jc w:val="center"/>
              <w:rPr>
                <w:color w:val="1F497D"/>
                <w:sz w:val="20"/>
                <w:lang w:eastAsia="ko-KR"/>
              </w:rPr>
            </w:pPr>
            <w:r>
              <w:rPr>
                <w:color w:val="1F497D"/>
                <w:sz w:val="20"/>
                <w:lang w:eastAsia="ko-KR"/>
              </w:rPr>
              <w:t>67</w:t>
            </w:r>
          </w:p>
        </w:tc>
        <w:tc>
          <w:tcPr>
            <w:tcW w:w="1260" w:type="dxa"/>
            <w:tcBorders>
              <w:top w:val="nil"/>
              <w:left w:val="nil"/>
              <w:bottom w:val="single" w:sz="4" w:space="0" w:color="1F497D"/>
              <w:right w:val="single" w:sz="4" w:space="0" w:color="1F497D"/>
            </w:tcBorders>
            <w:shd w:val="clear" w:color="auto" w:fill="auto"/>
            <w:vAlign w:val="center"/>
          </w:tcPr>
          <w:p w:rsidR="009E22F9" w:rsidRPr="00EF1B2E" w:rsidRDefault="00C5423F" w:rsidP="00EF1B2E">
            <w:pPr>
              <w:jc w:val="center"/>
              <w:rPr>
                <w:color w:val="1F497D"/>
                <w:sz w:val="20"/>
                <w:lang w:eastAsia="ko-KR"/>
              </w:rPr>
            </w:pPr>
            <w:r>
              <w:rPr>
                <w:color w:val="1F497D"/>
                <w:sz w:val="20"/>
                <w:lang w:eastAsia="ko-KR"/>
              </w:rPr>
              <w:t>63</w:t>
            </w:r>
          </w:p>
        </w:tc>
      </w:tr>
      <w:tr w:rsidR="009E22F9" w:rsidRPr="00EF1B2E" w:rsidTr="00AB5DCB">
        <w:trPr>
          <w:trHeight w:val="300"/>
        </w:trPr>
        <w:tc>
          <w:tcPr>
            <w:tcW w:w="1351" w:type="dxa"/>
            <w:vMerge/>
            <w:tcBorders>
              <w:top w:val="nil"/>
              <w:left w:val="single" w:sz="4" w:space="0" w:color="1F497D"/>
              <w:bottom w:val="single" w:sz="4" w:space="0" w:color="1F497D"/>
            </w:tcBorders>
            <w:vAlign w:val="center"/>
            <w:hideMark/>
          </w:tcPr>
          <w:p w:rsidR="009E22F9" w:rsidRPr="00EF1B2E" w:rsidRDefault="009E22F9" w:rsidP="00EF1B2E">
            <w:pPr>
              <w:rPr>
                <w:b/>
                <w:bCs/>
                <w:color w:val="1F497D"/>
                <w:sz w:val="20"/>
                <w:lang w:eastAsia="ko-KR"/>
              </w:rPr>
            </w:pPr>
          </w:p>
        </w:tc>
        <w:tc>
          <w:tcPr>
            <w:tcW w:w="3074" w:type="dxa"/>
            <w:tcBorders>
              <w:top w:val="nil"/>
              <w:left w:val="nil"/>
              <w:bottom w:val="single" w:sz="4" w:space="0" w:color="1F497D"/>
              <w:right w:val="nil"/>
            </w:tcBorders>
            <w:shd w:val="clear" w:color="auto" w:fill="auto"/>
            <w:noWrap/>
            <w:vAlign w:val="center"/>
            <w:hideMark/>
          </w:tcPr>
          <w:p w:rsidR="009E22F9" w:rsidRPr="00EF1B2E" w:rsidRDefault="009E22F9" w:rsidP="00EF1B2E">
            <w:pPr>
              <w:rPr>
                <w:color w:val="1F497D"/>
                <w:sz w:val="20"/>
                <w:lang w:eastAsia="ko-KR"/>
              </w:rPr>
            </w:pPr>
            <w:r>
              <w:rPr>
                <w:color w:val="1F497D"/>
                <w:sz w:val="20"/>
                <w:lang w:eastAsia="ko-KR"/>
              </w:rPr>
              <w:t xml:space="preserve">Unique </w:t>
            </w:r>
            <w:r w:rsidRPr="00EF1B2E">
              <w:rPr>
                <w:color w:val="1F497D"/>
                <w:sz w:val="20"/>
                <w:lang w:eastAsia="ko-KR"/>
              </w:rPr>
              <w:t>IICs of &gt;=2 readmissions</w:t>
            </w:r>
          </w:p>
        </w:tc>
        <w:tc>
          <w:tcPr>
            <w:tcW w:w="1102" w:type="dxa"/>
            <w:tcBorders>
              <w:top w:val="nil"/>
              <w:left w:val="single" w:sz="4" w:space="0" w:color="1F497D"/>
              <w:bottom w:val="single" w:sz="4" w:space="0" w:color="1F497D"/>
              <w:right w:val="single" w:sz="4" w:space="0" w:color="1F497D"/>
            </w:tcBorders>
            <w:shd w:val="clear" w:color="auto" w:fill="auto"/>
            <w:noWrap/>
            <w:vAlign w:val="center"/>
            <w:hideMark/>
          </w:tcPr>
          <w:p w:rsidR="009E22F9" w:rsidRPr="00EF1B2E" w:rsidRDefault="009E22F9" w:rsidP="00EF1B2E">
            <w:pPr>
              <w:jc w:val="center"/>
              <w:rPr>
                <w:color w:val="1F497D"/>
                <w:sz w:val="20"/>
                <w:lang w:eastAsia="ko-KR"/>
              </w:rPr>
            </w:pPr>
            <w:r w:rsidRPr="00EF1B2E">
              <w:rPr>
                <w:color w:val="1F497D" w:themeColor="text2"/>
                <w:sz w:val="20"/>
                <w:lang w:eastAsia="ko-KR"/>
              </w:rPr>
              <w:t>10</w:t>
            </w:r>
          </w:p>
        </w:tc>
        <w:tc>
          <w:tcPr>
            <w:tcW w:w="1103" w:type="dxa"/>
            <w:tcBorders>
              <w:top w:val="nil"/>
              <w:left w:val="nil"/>
              <w:bottom w:val="single" w:sz="4" w:space="0" w:color="1F497D"/>
              <w:right w:val="single" w:sz="4" w:space="0" w:color="1F497D"/>
            </w:tcBorders>
            <w:shd w:val="clear" w:color="auto" w:fill="auto"/>
            <w:noWrap/>
            <w:vAlign w:val="center"/>
            <w:hideMark/>
          </w:tcPr>
          <w:p w:rsidR="009E22F9" w:rsidRPr="00EF1B2E" w:rsidRDefault="009E22F9" w:rsidP="00EF1B2E">
            <w:pPr>
              <w:jc w:val="center"/>
              <w:rPr>
                <w:color w:val="1F497D"/>
                <w:sz w:val="20"/>
                <w:lang w:eastAsia="ko-KR"/>
              </w:rPr>
            </w:pPr>
            <w:r w:rsidRPr="00EF1B2E">
              <w:rPr>
                <w:color w:val="1F497D" w:themeColor="text2"/>
                <w:sz w:val="20"/>
                <w:lang w:eastAsia="ko-KR"/>
              </w:rPr>
              <w:t>15</w:t>
            </w:r>
          </w:p>
        </w:tc>
        <w:tc>
          <w:tcPr>
            <w:tcW w:w="1102" w:type="dxa"/>
            <w:tcBorders>
              <w:top w:val="nil"/>
              <w:left w:val="nil"/>
              <w:bottom w:val="single" w:sz="4" w:space="0" w:color="1F497D"/>
              <w:right w:val="single" w:sz="4" w:space="0" w:color="1F497D"/>
            </w:tcBorders>
            <w:shd w:val="clear" w:color="auto" w:fill="auto"/>
            <w:noWrap/>
            <w:vAlign w:val="center"/>
            <w:hideMark/>
          </w:tcPr>
          <w:p w:rsidR="009E22F9" w:rsidRPr="00EF1B2E" w:rsidRDefault="009E22F9" w:rsidP="00EF1B2E">
            <w:pPr>
              <w:jc w:val="center"/>
              <w:rPr>
                <w:color w:val="1F497D"/>
                <w:sz w:val="20"/>
                <w:lang w:eastAsia="ko-KR"/>
              </w:rPr>
            </w:pPr>
            <w:r w:rsidRPr="00EF1B2E">
              <w:rPr>
                <w:color w:val="1F497D"/>
                <w:sz w:val="20"/>
                <w:lang w:eastAsia="ko-KR"/>
              </w:rPr>
              <w:t>15</w:t>
            </w:r>
          </w:p>
        </w:tc>
        <w:tc>
          <w:tcPr>
            <w:tcW w:w="1103" w:type="dxa"/>
            <w:tcBorders>
              <w:top w:val="nil"/>
              <w:left w:val="nil"/>
              <w:bottom w:val="single" w:sz="4" w:space="0" w:color="1F497D"/>
              <w:right w:val="single" w:sz="4" w:space="0" w:color="1F497D"/>
            </w:tcBorders>
            <w:shd w:val="clear" w:color="auto" w:fill="auto"/>
            <w:noWrap/>
            <w:vAlign w:val="center"/>
            <w:hideMark/>
          </w:tcPr>
          <w:p w:rsidR="009E22F9" w:rsidRPr="00EF1B2E" w:rsidRDefault="009E22F9" w:rsidP="00D231E6">
            <w:pPr>
              <w:jc w:val="center"/>
              <w:rPr>
                <w:color w:val="1F497D"/>
                <w:sz w:val="20"/>
                <w:lang w:eastAsia="ko-KR"/>
              </w:rPr>
            </w:pPr>
            <w:r w:rsidRPr="00EF1B2E">
              <w:rPr>
                <w:color w:val="1F497D"/>
                <w:sz w:val="20"/>
                <w:lang w:eastAsia="ko-KR"/>
              </w:rPr>
              <w:t>1</w:t>
            </w:r>
            <w:r>
              <w:rPr>
                <w:color w:val="1F497D"/>
                <w:sz w:val="20"/>
                <w:lang w:eastAsia="ko-KR"/>
              </w:rPr>
              <w:t>5</w:t>
            </w:r>
          </w:p>
        </w:tc>
        <w:tc>
          <w:tcPr>
            <w:tcW w:w="1260" w:type="dxa"/>
            <w:tcBorders>
              <w:top w:val="nil"/>
              <w:left w:val="nil"/>
              <w:bottom w:val="single" w:sz="4" w:space="0" w:color="1F497D"/>
              <w:right w:val="single" w:sz="4" w:space="0" w:color="1F497D"/>
            </w:tcBorders>
            <w:shd w:val="clear" w:color="auto" w:fill="auto"/>
            <w:vAlign w:val="center"/>
          </w:tcPr>
          <w:p w:rsidR="009E22F9" w:rsidRPr="00EF1B2E" w:rsidRDefault="00C5423F" w:rsidP="00D231E6">
            <w:pPr>
              <w:jc w:val="center"/>
              <w:rPr>
                <w:color w:val="1F497D"/>
                <w:sz w:val="20"/>
                <w:lang w:eastAsia="ko-KR"/>
              </w:rPr>
            </w:pPr>
            <w:r>
              <w:rPr>
                <w:color w:val="1F497D"/>
                <w:sz w:val="20"/>
                <w:lang w:eastAsia="ko-KR"/>
              </w:rPr>
              <w:t>10</w:t>
            </w:r>
          </w:p>
        </w:tc>
      </w:tr>
    </w:tbl>
    <w:p w:rsidR="003A0C7E" w:rsidRPr="00D760F8" w:rsidRDefault="003A0C7E" w:rsidP="003F18B1">
      <w:pPr>
        <w:pStyle w:val="Heading2"/>
      </w:pPr>
      <w:bookmarkStart w:id="190" w:name="_Toc384134287"/>
      <w:bookmarkStart w:id="191" w:name="_Toc416357869"/>
      <w:r>
        <w:t xml:space="preserve">Characteristics of Individuals </w:t>
      </w:r>
      <w:r w:rsidRPr="00D760F8">
        <w:t>Readmi</w:t>
      </w:r>
      <w:r>
        <w:t>tted to Care</w:t>
      </w:r>
      <w:bookmarkEnd w:id="190"/>
      <w:bookmarkEnd w:id="191"/>
    </w:p>
    <w:p w:rsidR="00A8502C" w:rsidRDefault="00755084" w:rsidP="00A80446">
      <w:pPr>
        <w:pStyle w:val="KeyFindings"/>
      </w:pPr>
      <w:bookmarkStart w:id="192" w:name="_Toc384134288"/>
      <w:r>
        <w:t>Historically</w:t>
      </w:r>
      <w:r w:rsidR="00A8502C">
        <w:t>, f</w:t>
      </w:r>
      <w:r w:rsidR="003A6807" w:rsidRPr="003A6807">
        <w:t xml:space="preserve">emales </w:t>
      </w:r>
      <w:r w:rsidR="007B1672">
        <w:t xml:space="preserve">were </w:t>
      </w:r>
      <w:r w:rsidR="00A8502C">
        <w:t xml:space="preserve">readmitted </w:t>
      </w:r>
      <w:r>
        <w:t xml:space="preserve">to the Hospital </w:t>
      </w:r>
      <w:r w:rsidR="00A8502C">
        <w:t>more frequently than males: about one out of three individuals discharged in FY13 were female but half of 30-day</w:t>
      </w:r>
      <w:r w:rsidR="00C937C4">
        <w:t xml:space="preserve"> readmissions</w:t>
      </w:r>
      <w:r w:rsidR="00A8502C">
        <w:t xml:space="preserve"> were female.  The FY14 trend i</w:t>
      </w:r>
      <w:r w:rsidR="00C937C4">
        <w:t>s</w:t>
      </w:r>
      <w:r w:rsidR="00A8502C">
        <w:t xml:space="preserve"> </w:t>
      </w:r>
      <w:r w:rsidR="00C937C4">
        <w:t xml:space="preserve">very </w:t>
      </w:r>
      <w:r w:rsidR="00A8502C">
        <w:t xml:space="preserve">different, however. </w:t>
      </w:r>
      <w:bookmarkStart w:id="193" w:name="_Toc384134289"/>
      <w:bookmarkEnd w:id="192"/>
      <w:r w:rsidR="006B0EE8">
        <w:t xml:space="preserve"> About 30% of discharges in FY14 were female</w:t>
      </w:r>
      <w:r w:rsidR="007B1672">
        <w:t>,</w:t>
      </w:r>
      <w:r w:rsidR="006B0EE8">
        <w:t xml:space="preserve"> but only 10% of 30-day readmissions</w:t>
      </w:r>
      <w:r w:rsidR="007B1672">
        <w:t>, one out of 10, was</w:t>
      </w:r>
      <w:r w:rsidR="006B0EE8">
        <w:t xml:space="preserve"> female.  The proportion of females was higher among 90-day readmissions and 180-day readmissions but was still </w:t>
      </w:r>
      <w:r>
        <w:t xml:space="preserve">far </w:t>
      </w:r>
      <w:r w:rsidR="006B0EE8">
        <w:t>below 30%.</w:t>
      </w:r>
    </w:p>
    <w:p w:rsidR="00926C87" w:rsidRDefault="00926C87" w:rsidP="00A80446">
      <w:pPr>
        <w:pStyle w:val="KeyFindings"/>
      </w:pPr>
      <w:r>
        <w:t>T</w:t>
      </w:r>
      <w:r w:rsidRPr="003A6807">
        <w:t xml:space="preserve">hose who </w:t>
      </w:r>
      <w:r>
        <w:t>were</w:t>
      </w:r>
      <w:r w:rsidRPr="003A6807">
        <w:t xml:space="preserve"> readmitted </w:t>
      </w:r>
      <w:r>
        <w:t xml:space="preserve">to the Hospital </w:t>
      </w:r>
      <w:r w:rsidR="00AD1486">
        <w:t xml:space="preserve">continued </w:t>
      </w:r>
      <w:r w:rsidRPr="003A6807">
        <w:t xml:space="preserve">to be older than those who </w:t>
      </w:r>
      <w:r w:rsidR="00E90DFC">
        <w:t>were</w:t>
      </w:r>
      <w:r w:rsidRPr="003A6807">
        <w:t xml:space="preserve"> not</w:t>
      </w:r>
      <w:r w:rsidR="00A246F8">
        <w:t xml:space="preserve"> readmitted</w:t>
      </w:r>
      <w:r w:rsidR="00AD1486">
        <w:t xml:space="preserve"> in FY14</w:t>
      </w:r>
      <w:r w:rsidRPr="003A6807">
        <w:t xml:space="preserve">.  </w:t>
      </w:r>
      <w:r w:rsidR="0000622D">
        <w:t>The median age o</w:t>
      </w:r>
      <w:r>
        <w:t>f all individuals discharged during FY1</w:t>
      </w:r>
      <w:r w:rsidR="0000622D">
        <w:t>3 was 4</w:t>
      </w:r>
      <w:r w:rsidR="00B72E39">
        <w:t>8</w:t>
      </w:r>
      <w:r w:rsidR="0000622D">
        <w:t xml:space="preserve"> years </w:t>
      </w:r>
      <w:r w:rsidR="00992D09">
        <w:t>but</w:t>
      </w:r>
      <w:r w:rsidR="0000622D">
        <w:t xml:space="preserve"> more than half of those readmitted were 50 years or older at discharge f</w:t>
      </w:r>
      <w:r w:rsidR="00E90DFC">
        <w:t>rom</w:t>
      </w:r>
      <w:r w:rsidR="0000622D">
        <w:t xml:space="preserve"> their p</w:t>
      </w:r>
      <w:r w:rsidR="00266393">
        <w:t>revious</w:t>
      </w:r>
      <w:r w:rsidR="0000622D">
        <w:t xml:space="preserve"> episodes</w:t>
      </w:r>
      <w:r w:rsidR="00B72E39">
        <w:t xml:space="preserve"> prior to returns</w:t>
      </w:r>
      <w:r w:rsidR="0000622D">
        <w:t>.</w:t>
      </w:r>
      <w:bookmarkEnd w:id="193"/>
    </w:p>
    <w:p w:rsidR="004F1D47" w:rsidRPr="00D15D48" w:rsidRDefault="00992D09" w:rsidP="00A80446">
      <w:pPr>
        <w:pStyle w:val="KeyFindings"/>
        <w:rPr>
          <w:b/>
          <w:snapToGrid/>
        </w:rPr>
      </w:pPr>
      <w:bookmarkStart w:id="194" w:name="_Toc384134290"/>
      <w:r>
        <w:t>T</w:t>
      </w:r>
      <w:r w:rsidR="00F94FEA">
        <w:t>he likelihood of</w:t>
      </w:r>
      <w:r w:rsidR="00034782">
        <w:t xml:space="preserve"> a</w:t>
      </w:r>
      <w:r w:rsidR="00F94FEA">
        <w:t xml:space="preserve"> </w:t>
      </w:r>
      <w:r w:rsidR="00FF371B">
        <w:t xml:space="preserve">30-day </w:t>
      </w:r>
      <w:r w:rsidR="00F94FEA">
        <w:t xml:space="preserve">readmission </w:t>
      </w:r>
      <w:r w:rsidR="00FF371B">
        <w:t xml:space="preserve">appears to be </w:t>
      </w:r>
      <w:r w:rsidR="00F94FEA">
        <w:t xml:space="preserve">associated with the </w:t>
      </w:r>
      <w:r w:rsidR="004A4519">
        <w:t xml:space="preserve">individual’s </w:t>
      </w:r>
      <w:r w:rsidR="00F94FEA">
        <w:t>length of stay in their previous hospitalization.  Indi</w:t>
      </w:r>
      <w:r w:rsidR="00926C87" w:rsidRPr="003A6807">
        <w:t xml:space="preserve">viduals who </w:t>
      </w:r>
      <w:r w:rsidR="00FF371B">
        <w:t>we</w:t>
      </w:r>
      <w:r w:rsidR="00411415">
        <w:t>re</w:t>
      </w:r>
      <w:r w:rsidR="00926C87" w:rsidRPr="003A6807">
        <w:t xml:space="preserve"> readmitted </w:t>
      </w:r>
      <w:r w:rsidR="00FF371B">
        <w:t>within 30 days had</w:t>
      </w:r>
      <w:r w:rsidR="00411415">
        <w:t xml:space="preserve"> </w:t>
      </w:r>
      <w:r w:rsidR="00926C87" w:rsidRPr="003A6807">
        <w:t xml:space="preserve">a </w:t>
      </w:r>
      <w:r w:rsidR="00F94FEA">
        <w:t xml:space="preserve">history of </w:t>
      </w:r>
      <w:r w:rsidR="004A4519">
        <w:t xml:space="preserve">a </w:t>
      </w:r>
      <w:r w:rsidR="00FF371B">
        <w:t xml:space="preserve">noticeably </w:t>
      </w:r>
      <w:r w:rsidR="00926C87" w:rsidRPr="003A6807">
        <w:t xml:space="preserve">shorter length of stay in their </w:t>
      </w:r>
      <w:r w:rsidR="00F94FEA">
        <w:t xml:space="preserve">immediate </w:t>
      </w:r>
      <w:r w:rsidR="00926C87" w:rsidRPr="003A6807">
        <w:t xml:space="preserve">previous </w:t>
      </w:r>
      <w:r w:rsidR="00F94FEA">
        <w:t xml:space="preserve">hospitalization </w:t>
      </w:r>
      <w:r w:rsidR="00926C87" w:rsidRPr="003A6807">
        <w:t xml:space="preserve">than </w:t>
      </w:r>
      <w:r w:rsidR="00926C87">
        <w:t xml:space="preserve">those </w:t>
      </w:r>
      <w:r w:rsidR="00926C87" w:rsidRPr="003A6807">
        <w:t xml:space="preserve">who </w:t>
      </w:r>
      <w:r w:rsidR="00E90DFC">
        <w:t>were not readmitted</w:t>
      </w:r>
      <w:r w:rsidR="00926C87" w:rsidRPr="003A6807">
        <w:t xml:space="preserve">.  </w:t>
      </w:r>
      <w:r w:rsidR="00EA26EE">
        <w:t xml:space="preserve">The median </w:t>
      </w:r>
      <w:r w:rsidR="00266393">
        <w:t>LOS</w:t>
      </w:r>
      <w:r w:rsidR="00EA26EE">
        <w:t xml:space="preserve"> for those discharged in FY1</w:t>
      </w:r>
      <w:r w:rsidR="00FF371B">
        <w:t>4</w:t>
      </w:r>
      <w:r w:rsidR="00EA26EE">
        <w:t xml:space="preserve"> was 5</w:t>
      </w:r>
      <w:r w:rsidR="00FF371B">
        <w:t>8</w:t>
      </w:r>
      <w:r w:rsidR="00EA26EE">
        <w:t xml:space="preserve"> days, meaning half of them had stayed in care for </w:t>
      </w:r>
      <w:r w:rsidR="00266393">
        <w:t xml:space="preserve">less </w:t>
      </w:r>
      <w:r w:rsidR="00EA26EE">
        <w:t>than 5</w:t>
      </w:r>
      <w:r w:rsidR="00FF371B">
        <w:t>8</w:t>
      </w:r>
      <w:r w:rsidR="00EA26EE">
        <w:t xml:space="preserve"> days.  The median LOS of </w:t>
      </w:r>
      <w:r w:rsidR="00FF371B">
        <w:t xml:space="preserve">30-day </w:t>
      </w:r>
      <w:r w:rsidR="00EA26EE">
        <w:t>readmission population in their previous hospitalization was much shorter</w:t>
      </w:r>
      <w:r w:rsidR="0082255F">
        <w:t>,</w:t>
      </w:r>
      <w:r w:rsidR="00FF371B">
        <w:t xml:space="preserve"> a</w:t>
      </w:r>
      <w:r w:rsidR="0082255F">
        <w:t>t</w:t>
      </w:r>
      <w:r w:rsidR="00FF371B">
        <w:t xml:space="preserve"> 44</w:t>
      </w:r>
      <w:r w:rsidR="00755084">
        <w:t xml:space="preserve"> days</w:t>
      </w:r>
      <w:r w:rsidR="00FF371B">
        <w:t xml:space="preserve">.  The median </w:t>
      </w:r>
      <w:r w:rsidR="00622BA0">
        <w:t>LOS</w:t>
      </w:r>
      <w:r w:rsidR="00FF371B">
        <w:t xml:space="preserve"> for </w:t>
      </w:r>
      <w:r w:rsidR="00266393">
        <w:t xml:space="preserve">the </w:t>
      </w:r>
      <w:r w:rsidR="00FF371B">
        <w:t>90-day readmission group increased to 56 days but is still lower than the median for all discharges</w:t>
      </w:r>
      <w:r w:rsidR="002C205B">
        <w:t xml:space="preserve">.  The median LOS </w:t>
      </w:r>
      <w:r w:rsidR="00FF371B">
        <w:t xml:space="preserve">for </w:t>
      </w:r>
      <w:r w:rsidR="00266393">
        <w:t xml:space="preserve">the </w:t>
      </w:r>
      <w:r w:rsidR="00FF371B">
        <w:t xml:space="preserve">180-day readmission group increased further to </w:t>
      </w:r>
      <w:r w:rsidR="00755084">
        <w:t>58</w:t>
      </w:r>
      <w:r w:rsidR="00FF371B">
        <w:t xml:space="preserve"> days, </w:t>
      </w:r>
      <w:r w:rsidR="00755084">
        <w:t xml:space="preserve">same as </w:t>
      </w:r>
      <w:r w:rsidR="00FF371B">
        <w:t>the median for all</w:t>
      </w:r>
      <w:r w:rsidR="00AD1486">
        <w:t xml:space="preserve"> discharged</w:t>
      </w:r>
      <w:r w:rsidR="00FF371B">
        <w:t>.  In t</w:t>
      </w:r>
      <w:r w:rsidR="007A6D56">
        <w:t>he previous year</w:t>
      </w:r>
      <w:r w:rsidR="00FF371B">
        <w:t>, all of the three groups ha</w:t>
      </w:r>
      <w:r w:rsidR="00C251CF">
        <w:t>d</w:t>
      </w:r>
      <w:r w:rsidR="00FF371B">
        <w:t xml:space="preserve"> a shorter LOS in their previous hospitaliza</w:t>
      </w:r>
      <w:r w:rsidR="00266393">
        <w:t>tion than the entire discharge population</w:t>
      </w:r>
      <w:r w:rsidR="00C251CF">
        <w:t xml:space="preserve"> and the gap of median </w:t>
      </w:r>
      <w:r w:rsidR="00266393">
        <w:t>LOS</w:t>
      </w:r>
      <w:r w:rsidR="00C251CF">
        <w:t xml:space="preserve"> between the readmissions groups and all discharges </w:t>
      </w:r>
      <w:r w:rsidR="00266393">
        <w:t>is narrower in FY14</w:t>
      </w:r>
      <w:r w:rsidR="00FF371B">
        <w:t>.  T</w:t>
      </w:r>
      <w:r w:rsidR="00411415">
        <w:t>his</w:t>
      </w:r>
      <w:r w:rsidR="00FF371B">
        <w:t xml:space="preserve"> </w:t>
      </w:r>
      <w:r w:rsidR="00411415">
        <w:t>suggest</w:t>
      </w:r>
      <w:r w:rsidR="00C251CF">
        <w:t>s</w:t>
      </w:r>
      <w:r w:rsidR="00411415">
        <w:t xml:space="preserve"> that</w:t>
      </w:r>
      <w:r w:rsidR="00C251CF">
        <w:t xml:space="preserve"> </w:t>
      </w:r>
      <w:r w:rsidR="00BB0BE7">
        <w:t xml:space="preserve">prolonged </w:t>
      </w:r>
      <w:r w:rsidR="00FF371B">
        <w:t>discharge</w:t>
      </w:r>
      <w:r w:rsidR="00BB0BE7">
        <w:t xml:space="preserve">s in FY14 may have </w:t>
      </w:r>
      <w:r w:rsidR="00266393">
        <w:t xml:space="preserve">induced </w:t>
      </w:r>
      <w:r w:rsidR="00D8569E">
        <w:t>a lower readmission rate</w:t>
      </w:r>
      <w:bookmarkEnd w:id="194"/>
      <w:r w:rsidR="00BB0BE7">
        <w:t xml:space="preserve">.  Still, </w:t>
      </w:r>
      <w:r w:rsidR="00C251CF">
        <w:t xml:space="preserve">readmissions </w:t>
      </w:r>
      <w:r w:rsidR="00266393">
        <w:t xml:space="preserve">are more likely </w:t>
      </w:r>
      <w:r w:rsidR="00C251CF">
        <w:t>to occur among individuals who were discharged with a shorter LOS.</w:t>
      </w:r>
    </w:p>
    <w:tbl>
      <w:tblPr>
        <w:tblStyle w:val="TableGrid"/>
        <w:tblW w:w="10310" w:type="dxa"/>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72" w:type="dxa"/>
        </w:tblCellMar>
        <w:tblLook w:val="04A0" w:firstRow="1" w:lastRow="0" w:firstColumn="1" w:lastColumn="0" w:noHBand="0" w:noVBand="1"/>
      </w:tblPr>
      <w:tblGrid>
        <w:gridCol w:w="5155"/>
        <w:gridCol w:w="5155"/>
      </w:tblGrid>
      <w:tr w:rsidR="0042037A" w:rsidTr="00774039">
        <w:tc>
          <w:tcPr>
            <w:tcW w:w="5155" w:type="dxa"/>
          </w:tcPr>
          <w:p w:rsidR="0042037A" w:rsidRPr="00665F75" w:rsidRDefault="0042037A" w:rsidP="00665F75">
            <w:pPr>
              <w:ind w:left="900" w:hanging="900"/>
              <w:rPr>
                <w:rStyle w:val="FigureChar"/>
              </w:rPr>
            </w:pPr>
            <w:bookmarkStart w:id="195" w:name="_Toc416357909"/>
            <w:r w:rsidRPr="00650386">
              <w:rPr>
                <w:rStyle w:val="FigureChar"/>
              </w:rPr>
              <w:t xml:space="preserve">Figure </w:t>
            </w:r>
            <w:r w:rsidRPr="00650386">
              <w:rPr>
                <w:rStyle w:val="FigureChar"/>
              </w:rPr>
              <w:fldChar w:fldCharType="begin"/>
            </w:r>
            <w:r w:rsidRPr="00650386">
              <w:rPr>
                <w:rStyle w:val="FigureChar"/>
              </w:rPr>
              <w:instrText xml:space="preserve"> SEQ Figure \* ARABIC </w:instrText>
            </w:r>
            <w:r w:rsidRPr="00650386">
              <w:rPr>
                <w:rStyle w:val="FigureChar"/>
              </w:rPr>
              <w:fldChar w:fldCharType="separate"/>
            </w:r>
            <w:r w:rsidR="007E3DB6">
              <w:rPr>
                <w:rStyle w:val="FigureChar"/>
                <w:noProof/>
              </w:rPr>
              <w:t>24</w:t>
            </w:r>
            <w:r w:rsidRPr="00650386">
              <w:rPr>
                <w:rStyle w:val="FigureChar"/>
              </w:rPr>
              <w:fldChar w:fldCharType="end"/>
            </w:r>
            <w:r w:rsidRPr="00650386">
              <w:rPr>
                <w:rStyle w:val="FigureChar"/>
              </w:rPr>
              <w:t xml:space="preserve">. </w:t>
            </w:r>
            <w:r w:rsidR="00863639">
              <w:rPr>
                <w:rStyle w:val="FigureChar"/>
              </w:rPr>
              <w:t xml:space="preserve">Percentage of </w:t>
            </w:r>
            <w:r>
              <w:rPr>
                <w:rStyle w:val="FigureChar"/>
              </w:rPr>
              <w:t>Female</w:t>
            </w:r>
            <w:r w:rsidR="00665F75">
              <w:rPr>
                <w:rStyle w:val="FigureChar"/>
              </w:rPr>
              <w:t>s among Readmission Population</w:t>
            </w:r>
            <w:r w:rsidR="00D15D48">
              <w:rPr>
                <w:rStyle w:val="FigureChar"/>
              </w:rPr>
              <w:t xml:space="preserve"> (FY14</w:t>
            </w:r>
            <w:r w:rsidR="00D81B82">
              <w:rPr>
                <w:rStyle w:val="FigureChar"/>
              </w:rPr>
              <w:t>)</w:t>
            </w:r>
            <w:bookmarkEnd w:id="195"/>
          </w:p>
          <w:p w:rsidR="0042037A" w:rsidRDefault="00774039" w:rsidP="004F1D47">
            <w:r>
              <w:rPr>
                <w:noProof/>
              </w:rPr>
              <w:drawing>
                <wp:inline distT="0" distB="0" distL="0" distR="0" wp14:anchorId="7295BF9C" wp14:editId="75E4ACB8">
                  <wp:extent cx="3400425" cy="2162175"/>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c>
          <w:tcPr>
            <w:tcW w:w="5155" w:type="dxa"/>
          </w:tcPr>
          <w:p w:rsidR="0042037A" w:rsidRPr="00D81B82" w:rsidRDefault="0042037A" w:rsidP="00D81B82">
            <w:pPr>
              <w:ind w:left="900" w:hanging="900"/>
              <w:rPr>
                <w:rStyle w:val="FigureChar"/>
              </w:rPr>
            </w:pPr>
            <w:bookmarkStart w:id="196" w:name="_Toc416357910"/>
            <w:r w:rsidRPr="00650386">
              <w:rPr>
                <w:rStyle w:val="FigureChar"/>
              </w:rPr>
              <w:t xml:space="preserve">Figure </w:t>
            </w:r>
            <w:r w:rsidRPr="00650386">
              <w:rPr>
                <w:rStyle w:val="FigureChar"/>
              </w:rPr>
              <w:fldChar w:fldCharType="begin"/>
            </w:r>
            <w:r w:rsidRPr="00650386">
              <w:rPr>
                <w:rStyle w:val="FigureChar"/>
              </w:rPr>
              <w:instrText xml:space="preserve"> SEQ Figure \* ARABIC </w:instrText>
            </w:r>
            <w:r w:rsidRPr="00650386">
              <w:rPr>
                <w:rStyle w:val="FigureChar"/>
              </w:rPr>
              <w:fldChar w:fldCharType="separate"/>
            </w:r>
            <w:r w:rsidR="007E3DB6">
              <w:rPr>
                <w:rStyle w:val="FigureChar"/>
                <w:noProof/>
              </w:rPr>
              <w:t>25</w:t>
            </w:r>
            <w:r w:rsidRPr="00650386">
              <w:rPr>
                <w:rStyle w:val="FigureChar"/>
              </w:rPr>
              <w:fldChar w:fldCharType="end"/>
            </w:r>
            <w:r w:rsidRPr="00650386">
              <w:rPr>
                <w:rStyle w:val="FigureChar"/>
              </w:rPr>
              <w:t xml:space="preserve">. </w:t>
            </w:r>
            <w:r>
              <w:rPr>
                <w:rStyle w:val="FigureChar"/>
              </w:rPr>
              <w:t>Median Ag</w:t>
            </w:r>
            <w:r w:rsidR="002C71B1">
              <w:rPr>
                <w:rStyle w:val="FigureChar"/>
              </w:rPr>
              <w:t>e</w:t>
            </w:r>
            <w:r w:rsidR="00665F75">
              <w:rPr>
                <w:rStyle w:val="FigureChar"/>
              </w:rPr>
              <w:t xml:space="preserve"> of Readmission Population</w:t>
            </w:r>
            <w:r w:rsidR="00D81B82">
              <w:rPr>
                <w:rStyle w:val="FigureChar"/>
              </w:rPr>
              <w:t xml:space="preserve"> (FY1</w:t>
            </w:r>
            <w:r w:rsidR="00D15D48">
              <w:rPr>
                <w:rStyle w:val="FigureChar"/>
              </w:rPr>
              <w:t>4</w:t>
            </w:r>
            <w:r w:rsidR="00D81B82">
              <w:rPr>
                <w:rStyle w:val="FigureChar"/>
              </w:rPr>
              <w:t>)</w:t>
            </w:r>
            <w:bookmarkEnd w:id="196"/>
          </w:p>
          <w:p w:rsidR="0042037A" w:rsidRDefault="006A522B" w:rsidP="004F1D47">
            <w:r>
              <w:rPr>
                <w:noProof/>
              </w:rPr>
              <w:drawing>
                <wp:inline distT="0" distB="0" distL="0" distR="0" wp14:anchorId="60C30202" wp14:editId="3430E79C">
                  <wp:extent cx="3372928" cy="2156604"/>
                  <wp:effectExtent l="0" t="0" r="0" b="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r w:rsidR="00240F37" w:rsidTr="001E4CFF">
        <w:tc>
          <w:tcPr>
            <w:tcW w:w="10310" w:type="dxa"/>
            <w:gridSpan w:val="2"/>
          </w:tcPr>
          <w:p w:rsidR="00240F37" w:rsidRPr="00650386" w:rsidRDefault="00240F37" w:rsidP="00774039">
            <w:pPr>
              <w:ind w:left="900" w:hanging="900"/>
              <w:rPr>
                <w:rStyle w:val="FigureChar"/>
              </w:rPr>
            </w:pPr>
            <w:bookmarkStart w:id="197" w:name="_Toc416357911"/>
            <w:r w:rsidRPr="00650386">
              <w:rPr>
                <w:rStyle w:val="FigureChar"/>
              </w:rPr>
              <w:t xml:space="preserve">Figure </w:t>
            </w:r>
            <w:r w:rsidRPr="00650386">
              <w:rPr>
                <w:rStyle w:val="FigureChar"/>
              </w:rPr>
              <w:fldChar w:fldCharType="begin"/>
            </w:r>
            <w:r w:rsidRPr="00650386">
              <w:rPr>
                <w:rStyle w:val="FigureChar"/>
              </w:rPr>
              <w:instrText xml:space="preserve"> SEQ Figure \* ARABIC </w:instrText>
            </w:r>
            <w:r w:rsidRPr="00650386">
              <w:rPr>
                <w:rStyle w:val="FigureChar"/>
              </w:rPr>
              <w:fldChar w:fldCharType="separate"/>
            </w:r>
            <w:r w:rsidR="007E3DB6">
              <w:rPr>
                <w:rStyle w:val="FigureChar"/>
                <w:noProof/>
              </w:rPr>
              <w:t>26</w:t>
            </w:r>
            <w:r w:rsidRPr="00650386">
              <w:rPr>
                <w:rStyle w:val="FigureChar"/>
              </w:rPr>
              <w:fldChar w:fldCharType="end"/>
            </w:r>
            <w:r w:rsidRPr="00650386">
              <w:rPr>
                <w:rStyle w:val="FigureChar"/>
              </w:rPr>
              <w:t xml:space="preserve">. </w:t>
            </w:r>
            <w:r>
              <w:rPr>
                <w:rStyle w:val="FigureChar"/>
              </w:rPr>
              <w:t>Median LOS during Previous Hospitalization prior to Readmission (</w:t>
            </w:r>
            <w:r w:rsidRPr="00240F37">
              <w:rPr>
                <w:rStyle w:val="FigureChar"/>
              </w:rPr>
              <w:t>FY13 vs. FY14</w:t>
            </w:r>
            <w:r>
              <w:rPr>
                <w:rStyle w:val="FigureChar"/>
              </w:rPr>
              <w:t>)</w:t>
            </w:r>
            <w:bookmarkEnd w:id="197"/>
          </w:p>
        </w:tc>
      </w:tr>
      <w:tr w:rsidR="0092005E" w:rsidTr="006A522B">
        <w:tc>
          <w:tcPr>
            <w:tcW w:w="5155" w:type="dxa"/>
          </w:tcPr>
          <w:p w:rsidR="0092005E" w:rsidRDefault="00D15D48" w:rsidP="006F31D5">
            <w:r>
              <w:rPr>
                <w:noProof/>
              </w:rPr>
              <w:drawing>
                <wp:inline distT="0" distB="0" distL="0" distR="0" wp14:anchorId="53322031" wp14:editId="4509CD72">
                  <wp:extent cx="3143250" cy="2171700"/>
                  <wp:effectExtent l="0" t="0" r="0" b="0"/>
                  <wp:docPr id="169" name="Chart 16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c>
          <w:tcPr>
            <w:tcW w:w="5155" w:type="dxa"/>
          </w:tcPr>
          <w:p w:rsidR="0092005E" w:rsidRDefault="00D15D48" w:rsidP="006F31D5">
            <w:r>
              <w:rPr>
                <w:noProof/>
              </w:rPr>
              <w:drawing>
                <wp:inline distT="0" distB="0" distL="0" distR="0" wp14:anchorId="241B597F" wp14:editId="484510C3">
                  <wp:extent cx="3269411" cy="2173857"/>
                  <wp:effectExtent l="0" t="0" r="7620" b="0"/>
                  <wp:docPr id="158" name="Chart 1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bl>
    <w:bookmarkStart w:id="198" w:name="_Toc384134292"/>
    <w:bookmarkStart w:id="199" w:name="_Toc416357870"/>
    <w:bookmarkStart w:id="200" w:name="_Toc195935768"/>
    <w:bookmarkEnd w:id="6"/>
    <w:bookmarkEnd w:id="8"/>
    <w:bookmarkEnd w:id="9"/>
    <w:p w:rsidR="00542758" w:rsidRPr="00081FD9" w:rsidRDefault="00542758" w:rsidP="00542758">
      <w:pPr>
        <w:pStyle w:val="Heading1"/>
      </w:pPr>
      <w:r>
        <w:rPr>
          <w14:shadow w14:blurRad="0" w14:dist="0" w14:dir="0" w14:sx="0" w14:sy="0" w14:kx="0" w14:ky="0" w14:algn="none">
            <w14:srgbClr w14:val="000000"/>
          </w14:shadow>
        </w:rPr>
        <mc:AlternateContent>
          <mc:Choice Requires="wps">
            <w:drawing>
              <wp:anchor distT="0" distB="91440" distL="114300" distR="114300" simplePos="0" relativeHeight="251688448" behindDoc="0" locked="0" layoutInCell="1" allowOverlap="0" wp14:anchorId="11FFC4EC" wp14:editId="1C324EE1">
                <wp:simplePos x="0" y="0"/>
                <wp:positionH relativeFrom="column">
                  <wp:posOffset>-161925</wp:posOffset>
                </wp:positionH>
                <wp:positionV relativeFrom="paragraph">
                  <wp:posOffset>461010</wp:posOffset>
                </wp:positionV>
                <wp:extent cx="6696075" cy="3409950"/>
                <wp:effectExtent l="19050" t="19050" r="85725" b="76200"/>
                <wp:wrapTopAndBottom/>
                <wp:docPr id="153" name="Rounded 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6075" cy="3409950"/>
                        </a:xfrm>
                        <a:prstGeom prst="roundRect">
                          <a:avLst>
                            <a:gd name="adj" fmla="val 6634"/>
                          </a:avLst>
                        </a:prstGeom>
                        <a:solidFill>
                          <a:schemeClr val="accent1">
                            <a:lumMod val="20000"/>
                            <a:lumOff val="80000"/>
                            <a:alpha val="25000"/>
                          </a:schemeClr>
                        </a:solidFill>
                        <a:ln w="50800" cmpd="thickThin">
                          <a:solidFill>
                            <a:schemeClr val="tx2">
                              <a:lumMod val="100000"/>
                              <a:lumOff val="0"/>
                            </a:schemeClr>
                          </a:solidFill>
                          <a:round/>
                          <a:headEnd/>
                          <a:tailEnd/>
                        </a:ln>
                        <a:effectLst>
                          <a:outerShdw dist="35921" dir="2700000" algn="ctr" rotWithShape="0">
                            <a:schemeClr val="accent1">
                              <a:lumMod val="20000"/>
                              <a:lumOff val="80000"/>
                            </a:schemeClr>
                          </a:outerShdw>
                        </a:effectLst>
                      </wps:spPr>
                      <wps:txbx>
                        <w:txbxContent>
                          <w:p w:rsidR="005B4E16" w:rsidRDefault="005B4E16" w:rsidP="009E1AF7">
                            <w:pPr>
                              <w:pStyle w:val="IntenseQuote"/>
                              <w:ind w:left="360"/>
                            </w:pPr>
                            <w:r w:rsidRPr="00FE6F57">
                              <w:rPr>
                                <w:b/>
                              </w:rPr>
                              <w:t>More than 90%</w:t>
                            </w:r>
                            <w:r>
                              <w:t xml:space="preserve"> of individuals in care are diagnosed with a </w:t>
                            </w:r>
                            <w:r w:rsidRPr="00FE6F57">
                              <w:rPr>
                                <w:b/>
                              </w:rPr>
                              <w:t>psychotic disorder</w:t>
                            </w:r>
                            <w:r>
                              <w:t>.</w:t>
                            </w:r>
                          </w:p>
                          <w:p w:rsidR="005B4E16" w:rsidRDefault="005B4E16" w:rsidP="009E1AF7">
                            <w:pPr>
                              <w:pStyle w:val="IntenseQuote"/>
                              <w:ind w:left="360"/>
                            </w:pPr>
                            <w:r>
                              <w:t>The percentage of i</w:t>
                            </w:r>
                            <w:r w:rsidRPr="00634342">
                              <w:t xml:space="preserve">ndividuals with a </w:t>
                            </w:r>
                            <w:r w:rsidRPr="00355BA0">
                              <w:rPr>
                                <w:b/>
                              </w:rPr>
                              <w:t>substance use related disorder decreased</w:t>
                            </w:r>
                            <w:r>
                              <w:t xml:space="preserve"> for two consecutive years but still half </w:t>
                            </w:r>
                            <w:r w:rsidRPr="00355BA0">
                              <w:rPr>
                                <w:b/>
                              </w:rPr>
                              <w:t>(50%)</w:t>
                            </w:r>
                            <w:r>
                              <w:t xml:space="preserve"> of IICs were diagnosed with a substance use disorder as of September 2014.</w:t>
                            </w:r>
                          </w:p>
                          <w:p w:rsidR="005B4E16" w:rsidRDefault="005B4E16" w:rsidP="009E1AF7">
                            <w:pPr>
                              <w:pStyle w:val="IntenseQuote"/>
                              <w:ind w:left="360"/>
                            </w:pPr>
                            <w:r>
                              <w:t xml:space="preserve">Nicotine was identified as the most frequently used substance for addiction (32%) in September 2013 among individuals in our care but the percentage of those with a </w:t>
                            </w:r>
                            <w:r w:rsidRPr="00355BA0">
                              <w:rPr>
                                <w:b/>
                              </w:rPr>
                              <w:t>nicotine use related disorder significantly decreased to 24%</w:t>
                            </w:r>
                            <w:r>
                              <w:t xml:space="preserve"> by September 2014.  And, the percentage of individuals with an alcohol use related disorder also decreased to 26% but </w:t>
                            </w:r>
                            <w:r w:rsidRPr="00355BA0">
                              <w:rPr>
                                <w:b/>
                              </w:rPr>
                              <w:t>alcohol is the most frequently used substance</w:t>
                            </w:r>
                            <w:r>
                              <w:t xml:space="preserve"> as of September 2014. </w:t>
                            </w:r>
                          </w:p>
                          <w:p w:rsidR="005B4E16" w:rsidRPr="0034409B" w:rsidRDefault="005B4E16" w:rsidP="0034409B">
                            <w:pPr>
                              <w:pStyle w:val="IntenseQuote"/>
                              <w:ind w:left="360"/>
                            </w:pPr>
                            <w:r>
                              <w:t xml:space="preserve">The percentage of individuals with a condition on Axis II, including </w:t>
                            </w:r>
                            <w:r w:rsidRPr="00355BA0">
                              <w:rPr>
                                <w:b/>
                              </w:rPr>
                              <w:t xml:space="preserve">personality disorder </w:t>
                            </w:r>
                            <w:r>
                              <w:rPr>
                                <w:b/>
                              </w:rPr>
                              <w:t>and</w:t>
                            </w:r>
                            <w:r w:rsidRPr="00355BA0">
                              <w:rPr>
                                <w:b/>
                              </w:rPr>
                              <w:t xml:space="preserve"> mental retardation diagnosed</w:t>
                            </w:r>
                            <w:r>
                              <w:rPr>
                                <w:b/>
                              </w:rPr>
                              <w:t>, d</w:t>
                            </w:r>
                            <w:r w:rsidRPr="00355BA0">
                              <w:rPr>
                                <w:b/>
                              </w:rPr>
                              <w:t>ecreased</w:t>
                            </w:r>
                            <w:r>
                              <w:t xml:space="preserve"> for two consecutive years: from 43% in September 2012 to 38% in 2013 and 34% in 2014.</w:t>
                            </w:r>
                          </w:p>
                          <w:p w:rsidR="005B4E16" w:rsidRPr="00634342" w:rsidRDefault="005B4E16" w:rsidP="009E1AF7">
                            <w:pPr>
                              <w:pStyle w:val="IntenseQuote"/>
                              <w:ind w:left="360"/>
                            </w:pPr>
                            <w:r>
                              <w:t xml:space="preserve">The percentage of individuals </w:t>
                            </w:r>
                            <w:r w:rsidRPr="00FE6F57">
                              <w:rPr>
                                <w:b/>
                              </w:rPr>
                              <w:t>with at least one medical condition</w:t>
                            </w:r>
                            <w:r w:rsidRPr="00634342">
                              <w:t xml:space="preserve"> or physical disorder</w:t>
                            </w:r>
                            <w:r>
                              <w:t xml:space="preserve"> identified as of September 2014 was </w:t>
                            </w:r>
                            <w:r w:rsidRPr="00FE6F57">
                              <w:rPr>
                                <w:b/>
                              </w:rPr>
                              <w:t>87%</w:t>
                            </w:r>
                            <w:r>
                              <w:t>, which is slightly higher than that of last year</w:t>
                            </w:r>
                            <w:r w:rsidRPr="00634342">
                              <w:t>.</w:t>
                            </w:r>
                          </w:p>
                          <w:p w:rsidR="005B4E16" w:rsidRDefault="005B4E16" w:rsidP="009E1AF7">
                            <w:pPr>
                              <w:pStyle w:val="IntenseQuote"/>
                              <w:ind w:left="360"/>
                            </w:pPr>
                            <w:r>
                              <w:t xml:space="preserve">The </w:t>
                            </w:r>
                            <w:r w:rsidRPr="00FE6F57">
                              <w:rPr>
                                <w:b/>
                              </w:rPr>
                              <w:t xml:space="preserve">obesity rate </w:t>
                            </w:r>
                            <w:r>
                              <w:t xml:space="preserve">among individuals in SEH care </w:t>
                            </w:r>
                            <w:r w:rsidRPr="00FE6F57">
                              <w:rPr>
                                <w:b/>
                              </w:rPr>
                              <w:t xml:space="preserve">declined </w:t>
                            </w:r>
                            <w:r>
                              <w:t xml:space="preserve">for two consecutive years and as of September 2014, </w:t>
                            </w:r>
                            <w:r w:rsidRPr="00FE6F57">
                              <w:rPr>
                                <w:b/>
                              </w:rPr>
                              <w:t>37%</w:t>
                            </w:r>
                            <w:r w:rsidRPr="001C7EB2">
                              <w:t xml:space="preserve"> were obese as their BMI was 30 or above</w:t>
                            </w:r>
                            <w:r>
                              <w:t xml:space="preserve">.  This is only slightly higher than the obesity rate of US adult population (35%) but </w:t>
                            </w:r>
                            <w:r w:rsidRPr="00FE6F57">
                              <w:rPr>
                                <w:b/>
                              </w:rPr>
                              <w:t>significantly higher than that of the District of Columbia adult</w:t>
                            </w:r>
                            <w:r>
                              <w:rPr>
                                <w:b/>
                              </w:rPr>
                              <w:t xml:space="preserve">s </w:t>
                            </w:r>
                            <w:r w:rsidRPr="00FE6F57">
                              <w:rPr>
                                <w:b/>
                              </w:rPr>
                              <w:t>(23%)</w:t>
                            </w:r>
                            <w:r>
                              <w:t>.</w:t>
                            </w:r>
                          </w:p>
                          <w:p w:rsidR="005B4E16" w:rsidRPr="00542758" w:rsidRDefault="005B4E16" w:rsidP="009E1AF7">
                            <w:pPr>
                              <w:pStyle w:val="IntenseQuote"/>
                              <w:ind w:left="360"/>
                            </w:pPr>
                            <w:r w:rsidRPr="00542758">
                              <w:t>A majority of individuals admitted to our care gained weight consistently</w:t>
                            </w:r>
                            <w:r>
                              <w:t xml:space="preserve"> within a short time after admission </w:t>
                            </w:r>
                            <w:r w:rsidRPr="00542758">
                              <w:t>and the</w:t>
                            </w:r>
                            <w:r>
                              <w:t>ir</w:t>
                            </w:r>
                            <w:r w:rsidRPr="00542758">
                              <w:t xml:space="preserve"> likelihood of becoming obese increased</w:t>
                            </w:r>
                            <w:r>
                              <w:t xml:space="preserve"> as they stayed longer</w:t>
                            </w:r>
                            <w:r w:rsidRPr="00542758">
                              <w:t>.</w:t>
                            </w:r>
                          </w:p>
                        </w:txbxContent>
                      </wps:txbx>
                      <wps:bodyPr rot="0" vert="horz" wrap="square" lIns="91440" tIns="18288" rIns="91440" bIns="18288"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53" o:spid="_x0000_s1030" style="position:absolute;left:0;text-align:left;margin-left:-12.75pt;margin-top:36.3pt;width:527.25pt;height:268.5pt;z-index:251688448;visibility:visible;mso-wrap-style:square;mso-width-percent:0;mso-height-percent:0;mso-wrap-distance-left:9pt;mso-wrap-distance-top:0;mso-wrap-distance-right:9pt;mso-wrap-distance-bottom:7.2pt;mso-position-horizontal:absolute;mso-position-horizontal-relative:text;mso-position-vertical:absolute;mso-position-vertical-relative:text;mso-width-percent:0;mso-height-percent:0;mso-width-relative:page;mso-height-relative:page;v-text-anchor:middle" arcsize="43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" o:allowoverlap="f" fillcolor="#dbe5f1 [660]" strokecolor="#1f497d [3215]" strokeweight="4pt">
                <v:fill opacity="16448f"/>
                <v:stroke linestyle="thickThin"/>
                <v:shadow on="t" color="#dbe5f1 [660]"/>
                <v:textbox inset=",1.44pt,,1.44pt">
                  <w:txbxContent>
                    <w:p w:rsidR="005B4E16" w:rsidRDefault="005B4E16" w:rsidP="009E1AF7">
                      <w:pPr>
                        <w:pStyle w:val="IntenseQuote"/>
                        <w:ind w:left="360"/>
                      </w:pPr>
                      <w:r w:rsidRPr="00FE6F57">
                        <w:rPr>
                          <w:b/>
                        </w:rPr>
                        <w:t>More than 90%</w:t>
                      </w:r>
                      <w:r>
                        <w:t xml:space="preserve"> of individuals in care are diagnosed with a </w:t>
                      </w:r>
                      <w:r w:rsidRPr="00FE6F57">
                        <w:rPr>
                          <w:b/>
                        </w:rPr>
                        <w:t>psychotic disorder</w:t>
                      </w:r>
                      <w:r>
                        <w:t>.</w:t>
                      </w:r>
                    </w:p>
                    <w:p w:rsidR="005B4E16" w:rsidRDefault="005B4E16" w:rsidP="009E1AF7">
                      <w:pPr>
                        <w:pStyle w:val="IntenseQuote"/>
                        <w:ind w:left="360"/>
                      </w:pPr>
                      <w:r>
                        <w:t>The percentage of i</w:t>
                      </w:r>
                      <w:r w:rsidRPr="00634342">
                        <w:t xml:space="preserve">ndividuals with a </w:t>
                      </w:r>
                      <w:r w:rsidRPr="00355BA0">
                        <w:rPr>
                          <w:b/>
                        </w:rPr>
                        <w:t>substance use related disorder decreased</w:t>
                      </w:r>
                      <w:r>
                        <w:t xml:space="preserve"> for two consecutive years but still half </w:t>
                      </w:r>
                      <w:r w:rsidRPr="00355BA0">
                        <w:rPr>
                          <w:b/>
                        </w:rPr>
                        <w:t>(50%)</w:t>
                      </w:r>
                      <w:r>
                        <w:t xml:space="preserve"> of IICs were diagnosed with a substance use disorder as of September 2014.</w:t>
                      </w:r>
                    </w:p>
                    <w:p w:rsidR="005B4E16" w:rsidRDefault="005B4E16" w:rsidP="009E1AF7">
                      <w:pPr>
                        <w:pStyle w:val="IntenseQuote"/>
                        <w:ind w:left="360"/>
                      </w:pPr>
                      <w:r>
                        <w:t xml:space="preserve">Nicotine was identified as the most frequently used substance for addiction (32%) in September 2013 among individuals in our care but the percentage of those with a </w:t>
                      </w:r>
                      <w:r w:rsidRPr="00355BA0">
                        <w:rPr>
                          <w:b/>
                        </w:rPr>
                        <w:t>nicotine use related disorder significantly decreased to 24%</w:t>
                      </w:r>
                      <w:r>
                        <w:t xml:space="preserve"> by September 2014.  And, the percentage of individuals with an alcohol use related disorder also decreased to 26% but </w:t>
                      </w:r>
                      <w:r w:rsidRPr="00355BA0">
                        <w:rPr>
                          <w:b/>
                        </w:rPr>
                        <w:t>alcohol is the most frequently used substance</w:t>
                      </w:r>
                      <w:r>
                        <w:t xml:space="preserve"> as of September 2014. </w:t>
                      </w:r>
                    </w:p>
                    <w:p w:rsidR="005B4E16" w:rsidRPr="0034409B" w:rsidRDefault="005B4E16" w:rsidP="0034409B">
                      <w:pPr>
                        <w:pStyle w:val="IntenseQuote"/>
                        <w:ind w:left="360"/>
                      </w:pPr>
                      <w:r>
                        <w:t xml:space="preserve">The percentage of individuals with a condition on Axis II, including </w:t>
                      </w:r>
                      <w:r w:rsidRPr="00355BA0">
                        <w:rPr>
                          <w:b/>
                        </w:rPr>
                        <w:t xml:space="preserve">personality disorder </w:t>
                      </w:r>
                      <w:r>
                        <w:rPr>
                          <w:b/>
                        </w:rPr>
                        <w:t>and</w:t>
                      </w:r>
                      <w:r w:rsidRPr="00355BA0">
                        <w:rPr>
                          <w:b/>
                        </w:rPr>
                        <w:t xml:space="preserve"> mental retardation diagnosed</w:t>
                      </w:r>
                      <w:r>
                        <w:rPr>
                          <w:b/>
                        </w:rPr>
                        <w:t>, d</w:t>
                      </w:r>
                      <w:r w:rsidRPr="00355BA0">
                        <w:rPr>
                          <w:b/>
                        </w:rPr>
                        <w:t>ecreased</w:t>
                      </w:r>
                      <w:r>
                        <w:t xml:space="preserve"> for two consecutive years: from 43% in September 2012 to 38% in 2013 and 34% in 2014.</w:t>
                      </w:r>
                    </w:p>
                    <w:p w:rsidR="005B4E16" w:rsidRPr="00634342" w:rsidRDefault="005B4E16" w:rsidP="009E1AF7">
                      <w:pPr>
                        <w:pStyle w:val="IntenseQuote"/>
                        <w:ind w:left="360"/>
                      </w:pPr>
                      <w:r>
                        <w:t xml:space="preserve">The percentage of individuals </w:t>
                      </w:r>
                      <w:r w:rsidRPr="00FE6F57">
                        <w:rPr>
                          <w:b/>
                        </w:rPr>
                        <w:t>with at least one medical condition</w:t>
                      </w:r>
                      <w:r w:rsidRPr="00634342">
                        <w:t xml:space="preserve"> or physical disorder</w:t>
                      </w:r>
                      <w:r>
                        <w:t xml:space="preserve"> identified as of September 2014 was </w:t>
                      </w:r>
                      <w:r w:rsidRPr="00FE6F57">
                        <w:rPr>
                          <w:b/>
                        </w:rPr>
                        <w:t>87%</w:t>
                      </w:r>
                      <w:r>
                        <w:t>, which is slightly higher than that of last year</w:t>
                      </w:r>
                      <w:r w:rsidRPr="00634342">
                        <w:t>.</w:t>
                      </w:r>
                    </w:p>
                    <w:p w:rsidR="005B4E16" w:rsidRDefault="005B4E16" w:rsidP="009E1AF7">
                      <w:pPr>
                        <w:pStyle w:val="IntenseQuote"/>
                        <w:ind w:left="360"/>
                      </w:pPr>
                      <w:r>
                        <w:t xml:space="preserve">The </w:t>
                      </w:r>
                      <w:r w:rsidRPr="00FE6F57">
                        <w:rPr>
                          <w:b/>
                        </w:rPr>
                        <w:t xml:space="preserve">obesity rate </w:t>
                      </w:r>
                      <w:r>
                        <w:t xml:space="preserve">among individuals in SEH care </w:t>
                      </w:r>
                      <w:r w:rsidRPr="00FE6F57">
                        <w:rPr>
                          <w:b/>
                        </w:rPr>
                        <w:t xml:space="preserve">declined </w:t>
                      </w:r>
                      <w:r>
                        <w:t xml:space="preserve">for two consecutive years and as of September 2014, </w:t>
                      </w:r>
                      <w:r w:rsidRPr="00FE6F57">
                        <w:rPr>
                          <w:b/>
                        </w:rPr>
                        <w:t>37%</w:t>
                      </w:r>
                      <w:r w:rsidRPr="001C7EB2">
                        <w:t xml:space="preserve"> were obese as their BMI was 30 or above</w:t>
                      </w:r>
                      <w:r>
                        <w:t xml:space="preserve">.  This is only slightly higher than the obesity rate of US adult population (35%) but </w:t>
                      </w:r>
                      <w:r w:rsidRPr="00FE6F57">
                        <w:rPr>
                          <w:b/>
                        </w:rPr>
                        <w:t>significantly higher than that of the District of Columbia adult</w:t>
                      </w:r>
                      <w:r>
                        <w:rPr>
                          <w:b/>
                        </w:rPr>
                        <w:t xml:space="preserve">s </w:t>
                      </w:r>
                      <w:r w:rsidRPr="00FE6F57">
                        <w:rPr>
                          <w:b/>
                        </w:rPr>
                        <w:t>(23%)</w:t>
                      </w:r>
                      <w:r>
                        <w:t>.</w:t>
                      </w:r>
                    </w:p>
                    <w:p w:rsidR="005B4E16" w:rsidRPr="00542758" w:rsidRDefault="005B4E16" w:rsidP="009E1AF7">
                      <w:pPr>
                        <w:pStyle w:val="IntenseQuote"/>
                        <w:ind w:left="360"/>
                      </w:pPr>
                      <w:r w:rsidRPr="00542758">
                        <w:t>A majority of individuals admitted to our care gained weight consistently</w:t>
                      </w:r>
                      <w:r>
                        <w:t xml:space="preserve"> within a short time after admission </w:t>
                      </w:r>
                      <w:r w:rsidRPr="00542758">
                        <w:t>and the</w:t>
                      </w:r>
                      <w:r>
                        <w:t>ir</w:t>
                      </w:r>
                      <w:r w:rsidRPr="00542758">
                        <w:t xml:space="preserve"> likelihood of becoming obese increased</w:t>
                      </w:r>
                      <w:r>
                        <w:t xml:space="preserve"> as they stayed longer</w:t>
                      </w:r>
                      <w:r w:rsidRPr="00542758">
                        <w:t>.</w:t>
                      </w:r>
                    </w:p>
                  </w:txbxContent>
                </v:textbox>
                <w10:wrap type="topAndBottom"/>
              </v:roundrect>
            </w:pict>
          </mc:Fallback>
        </mc:AlternateContent>
      </w:r>
      <w:r w:rsidRPr="00081FD9">
        <w:rPr>
          <w:snapToGrid w:val="0"/>
        </w:rPr>
        <w:t>Clinical Profile of Individuals in Care</w:t>
      </w:r>
      <w:bookmarkEnd w:id="198"/>
      <w:bookmarkEnd w:id="199"/>
    </w:p>
    <w:p w:rsidR="00542758" w:rsidRPr="00D760F8" w:rsidRDefault="00542758" w:rsidP="00542758">
      <w:pPr>
        <w:pStyle w:val="Heading2"/>
      </w:pPr>
      <w:bookmarkStart w:id="201" w:name="_Toc195935743"/>
      <w:bookmarkStart w:id="202" w:name="_Toc200726833"/>
      <w:bookmarkStart w:id="203" w:name="_Toc211072474"/>
      <w:bookmarkStart w:id="204" w:name="_Toc384134293"/>
      <w:bookmarkStart w:id="205" w:name="_Toc416357871"/>
      <w:r>
        <w:t>Clinical Disorders (Axis I</w:t>
      </w:r>
      <w:r w:rsidRPr="00D760F8">
        <w:t>)</w:t>
      </w:r>
      <w:bookmarkEnd w:id="201"/>
      <w:bookmarkEnd w:id="202"/>
      <w:bookmarkEnd w:id="203"/>
      <w:bookmarkEnd w:id="204"/>
      <w:bookmarkEnd w:id="205"/>
    </w:p>
    <w:p w:rsidR="00542758" w:rsidRDefault="00542758" w:rsidP="00542758">
      <w:pPr>
        <w:pStyle w:val="KeyFindings"/>
      </w:pPr>
      <w:bookmarkStart w:id="206" w:name="_Toc384134294"/>
      <w:r>
        <w:t xml:space="preserve">All of the 278 individuals served on September 30, 2014 </w:t>
      </w:r>
      <w:r w:rsidRPr="00264B12">
        <w:t xml:space="preserve">had at least one </w:t>
      </w:r>
      <w:r>
        <w:t>clinical disorder diagnosed o</w:t>
      </w:r>
      <w:r w:rsidRPr="00264B12">
        <w:t>n Axis I</w:t>
      </w:r>
      <w:r>
        <w:t xml:space="preserve"> and many of them (71%) had more than one clinical disorder identified</w:t>
      </w:r>
      <w:r w:rsidRPr="00264B12">
        <w:t>.</w:t>
      </w:r>
      <w:bookmarkEnd w:id="206"/>
      <w:r>
        <w:t xml:space="preserve"> </w:t>
      </w:r>
    </w:p>
    <w:p w:rsidR="00542758" w:rsidRDefault="00542758" w:rsidP="00542758">
      <w:pPr>
        <w:pStyle w:val="BodyText"/>
        <w:keepNext/>
        <w:spacing w:before="120"/>
      </w:pPr>
      <w:bookmarkStart w:id="207" w:name="_Ref209410479"/>
      <w:bookmarkStart w:id="208" w:name="_Toc200726619"/>
      <w:bookmarkStart w:id="209" w:name="_Toc211072515"/>
      <w:bookmarkStart w:id="210" w:name="_Toc416357912"/>
      <w:r w:rsidRPr="00E269E2">
        <w:rPr>
          <w:rStyle w:val="FigureChar"/>
        </w:rPr>
        <w:t xml:space="preserve">Figure </w:t>
      </w:r>
      <w:r w:rsidRPr="00286D55">
        <w:rPr>
          <w:rStyle w:val="FigureChar"/>
        </w:rPr>
        <w:fldChar w:fldCharType="begin"/>
      </w:r>
      <w:r w:rsidRPr="00286D55">
        <w:rPr>
          <w:rStyle w:val="FigureChar"/>
        </w:rPr>
        <w:instrText xml:space="preserve"> SEQ Figure \* ARABIC </w:instrText>
      </w:r>
      <w:r w:rsidRPr="00286D55">
        <w:rPr>
          <w:rStyle w:val="FigureChar"/>
        </w:rPr>
        <w:fldChar w:fldCharType="separate"/>
      </w:r>
      <w:r w:rsidR="007E3DB6">
        <w:rPr>
          <w:rStyle w:val="FigureChar"/>
          <w:noProof/>
        </w:rPr>
        <w:t>27</w:t>
      </w:r>
      <w:r w:rsidRPr="00286D55">
        <w:rPr>
          <w:rStyle w:val="FigureChar"/>
        </w:rPr>
        <w:fldChar w:fldCharType="end"/>
      </w:r>
      <w:bookmarkEnd w:id="207"/>
      <w:r>
        <w:rPr>
          <w:rStyle w:val="FigureChar"/>
        </w:rPr>
        <w:t>. Individual</w:t>
      </w:r>
      <w:r w:rsidRPr="00E269E2">
        <w:rPr>
          <w:rStyle w:val="FigureChar"/>
        </w:rPr>
        <w:t>s</w:t>
      </w:r>
      <w:r>
        <w:rPr>
          <w:rStyle w:val="FigureChar"/>
        </w:rPr>
        <w:t xml:space="preserve"> in Care with Diagnosis on Axis I</w:t>
      </w:r>
      <w:r w:rsidRPr="00E269E2">
        <w:rPr>
          <w:rStyle w:val="FigureChar"/>
        </w:rPr>
        <w:t xml:space="preserve"> (</w:t>
      </w:r>
      <w:r>
        <w:rPr>
          <w:rStyle w:val="FigureChar"/>
        </w:rPr>
        <w:t>FY12 ~ FY14</w:t>
      </w:r>
      <w:r w:rsidRPr="00E269E2">
        <w:rPr>
          <w:rStyle w:val="FigureChar"/>
        </w:rPr>
        <w:t>)</w:t>
      </w:r>
      <w:bookmarkEnd w:id="208"/>
      <w:bookmarkEnd w:id="209"/>
      <w:r w:rsidRPr="00264B12">
        <w:rPr>
          <w:rStyle w:val="FootnoteReference"/>
          <w:b/>
        </w:rPr>
        <w:footnoteReference w:id="10"/>
      </w:r>
      <w:bookmarkEnd w:id="210"/>
    </w:p>
    <w:p w:rsidR="00542758" w:rsidRDefault="00DE3679" w:rsidP="00542758">
      <w:r w:rsidRPr="00F62C95">
        <w:rPr>
          <w:noProof/>
          <w:sz w:val="20"/>
        </w:rPr>
        <w:drawing>
          <wp:inline distT="0" distB="0" distL="0" distR="0" wp14:anchorId="5108C99B" wp14:editId="592B1E2B">
            <wp:extent cx="6534150" cy="2200275"/>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542758" w:rsidRPr="00264B12" w:rsidRDefault="00542758" w:rsidP="00542758">
      <w:pPr>
        <w:pStyle w:val="KeyFindings"/>
      </w:pPr>
      <w:bookmarkStart w:id="211" w:name="_Toc384134295"/>
      <w:r w:rsidRPr="00264B12">
        <w:t xml:space="preserve">A </w:t>
      </w:r>
      <w:r w:rsidR="001A5C15">
        <w:t xml:space="preserve">majority of individuals in our care carry a psychotic disorder: as of September 30, 2014, a </w:t>
      </w:r>
      <w:r w:rsidRPr="00264B12">
        <w:t xml:space="preserve">total of </w:t>
      </w:r>
      <w:r>
        <w:t>252</w:t>
      </w:r>
      <w:r w:rsidRPr="00264B12">
        <w:t xml:space="preserve"> </w:t>
      </w:r>
      <w:r>
        <w:t>individuals (91</w:t>
      </w:r>
      <w:r w:rsidRPr="00264B12">
        <w:t xml:space="preserve">%) were diagnosed </w:t>
      </w:r>
      <w:r>
        <w:t xml:space="preserve">with </w:t>
      </w:r>
      <w:r w:rsidRPr="00264B12">
        <w:t xml:space="preserve">a psychotic disorder – schizophrenia, </w:t>
      </w:r>
      <w:proofErr w:type="spellStart"/>
      <w:r w:rsidRPr="00264B12">
        <w:t>schizophreniform</w:t>
      </w:r>
      <w:proofErr w:type="spellEnd"/>
      <w:r w:rsidRPr="00264B12">
        <w:t xml:space="preserve"> disorder, schizoaffective disorder, delusional disorder </w:t>
      </w:r>
      <w:r>
        <w:t xml:space="preserve">or any other </w:t>
      </w:r>
      <w:r w:rsidRPr="00264B12">
        <w:t>psychotic disorders.</w:t>
      </w:r>
      <w:bookmarkEnd w:id="211"/>
    </w:p>
    <w:p w:rsidR="00F720D2" w:rsidRDefault="00F720D2" w:rsidP="00542758">
      <w:pPr>
        <w:pStyle w:val="KeyFindings"/>
      </w:pPr>
      <w:bookmarkStart w:id="212" w:name="_Toc384134296"/>
      <w:r>
        <w:t xml:space="preserve">There were 48 </w:t>
      </w:r>
      <w:r w:rsidR="002C205B">
        <w:t>IICs</w:t>
      </w:r>
      <w:r>
        <w:t xml:space="preserve"> </w:t>
      </w:r>
      <w:r w:rsidR="002C205B">
        <w:t>(</w:t>
      </w:r>
      <w:r>
        <w:t>17%</w:t>
      </w:r>
      <w:r w:rsidR="002C205B">
        <w:t xml:space="preserve">) with </w:t>
      </w:r>
      <w:r w:rsidR="00542758" w:rsidRPr="00264B12">
        <w:t>a cognitive disorder, which includes delirium, dementia, and amnestic and other cognitive disorders</w:t>
      </w:r>
      <w:r>
        <w:t xml:space="preserve">.  This </w:t>
      </w:r>
      <w:r w:rsidR="00542758">
        <w:t>is a slight decrease from the previous year (19%).</w:t>
      </w:r>
      <w:bookmarkStart w:id="213" w:name="_Toc384134297"/>
      <w:bookmarkEnd w:id="212"/>
    </w:p>
    <w:p w:rsidR="00542758" w:rsidRDefault="00542758" w:rsidP="00542758">
      <w:pPr>
        <w:pStyle w:val="KeyFindings"/>
      </w:pPr>
      <w:r>
        <w:t>T</w:t>
      </w:r>
      <w:r w:rsidR="001A5C15">
        <w:t>hirteen</w:t>
      </w:r>
      <w:r>
        <w:t xml:space="preserve"> percent (13%) or 35 individuals </w:t>
      </w:r>
      <w:r w:rsidRPr="00264B12">
        <w:t xml:space="preserve">had a mood disorder, which includes depressive disorders and bipolar disorders.  </w:t>
      </w:r>
      <w:r>
        <w:t xml:space="preserve">This </w:t>
      </w:r>
      <w:r w:rsidR="00F62C95">
        <w:t>is</w:t>
      </w:r>
      <w:r>
        <w:t xml:space="preserve"> a slight increase from 10% in the previous year.</w:t>
      </w:r>
      <w:bookmarkEnd w:id="213"/>
    </w:p>
    <w:p w:rsidR="00542758" w:rsidRDefault="002443BE" w:rsidP="00542758">
      <w:pPr>
        <w:pStyle w:val="KeyFindings"/>
      </w:pPr>
      <w:bookmarkStart w:id="214" w:name="_Toc384134298"/>
      <w:r>
        <w:t xml:space="preserve">The Hospital has seen </w:t>
      </w:r>
      <w:r w:rsidR="00AC728C">
        <w:t xml:space="preserve">a </w:t>
      </w:r>
      <w:r>
        <w:t xml:space="preserve">continued decrease in the percentage of individuals with </w:t>
      </w:r>
      <w:r w:rsidRPr="002443BE">
        <w:t>co-occurring mental health and substance use disorders </w:t>
      </w:r>
      <w:r>
        <w:t xml:space="preserve">over the past few years.  </w:t>
      </w:r>
      <w:r w:rsidR="00D62C0E">
        <w:t>As of September 30, 2014, a</w:t>
      </w:r>
      <w:r w:rsidR="00542758">
        <w:t xml:space="preserve"> total of 140 individuals</w:t>
      </w:r>
      <w:r w:rsidR="00542758" w:rsidRPr="000A2E9B">
        <w:t xml:space="preserve"> </w:t>
      </w:r>
      <w:r w:rsidR="00542758">
        <w:t xml:space="preserve">or 50% </w:t>
      </w:r>
      <w:r w:rsidR="00542758" w:rsidRPr="00264B12">
        <w:t xml:space="preserve">were diagnosed as having a substance </w:t>
      </w:r>
      <w:r w:rsidR="00542758">
        <w:t>use</w:t>
      </w:r>
      <w:r w:rsidR="00DF6520">
        <w:t xml:space="preserve"> </w:t>
      </w:r>
      <w:r w:rsidR="00542758">
        <w:t>disord</w:t>
      </w:r>
      <w:r w:rsidR="00D62C0E">
        <w:t xml:space="preserve">er.  </w:t>
      </w:r>
      <w:r>
        <w:t>There were</w:t>
      </w:r>
      <w:r w:rsidR="00D62C0E">
        <w:t xml:space="preserve"> 59% in September 2012 and 55% in September 2013</w:t>
      </w:r>
      <w:bookmarkEnd w:id="214"/>
      <w:r>
        <w:t xml:space="preserve"> who had co-occurring disorders</w:t>
      </w:r>
      <w:r w:rsidR="00D62C0E">
        <w:t>.</w:t>
      </w:r>
    </w:p>
    <w:p w:rsidR="00D62C0E" w:rsidRDefault="00D62C0E" w:rsidP="00542758">
      <w:pPr>
        <w:pStyle w:val="KeyFindings"/>
      </w:pPr>
      <w:bookmarkStart w:id="215" w:name="_Toc384134299"/>
      <w:r>
        <w:t xml:space="preserve">The percentage of individuals who </w:t>
      </w:r>
      <w:r w:rsidR="00542758">
        <w:t>ha</w:t>
      </w:r>
      <w:r>
        <w:t>ve</w:t>
      </w:r>
      <w:r w:rsidR="00542758">
        <w:t xml:space="preserve"> a </w:t>
      </w:r>
      <w:r w:rsidR="00542758" w:rsidRPr="00491555">
        <w:rPr>
          <w:i/>
        </w:rPr>
        <w:t>Not Otherwise Specified (NOS)</w:t>
      </w:r>
      <w:r w:rsidR="00542758">
        <w:t xml:space="preserve"> diagnosis</w:t>
      </w:r>
      <w:r w:rsidR="00542758" w:rsidRPr="00264B12">
        <w:rPr>
          <w:rStyle w:val="FootnoteReference"/>
        </w:rPr>
        <w:footnoteReference w:id="11"/>
      </w:r>
      <w:r w:rsidR="00542758" w:rsidRPr="00264B12">
        <w:t xml:space="preserve"> on at least one of their Axis I</w:t>
      </w:r>
      <w:r w:rsidR="00542758">
        <w:t xml:space="preserve"> </w:t>
      </w:r>
      <w:r w:rsidR="00542758" w:rsidRPr="00264B12">
        <w:t>diagnoses</w:t>
      </w:r>
      <w:r>
        <w:t xml:space="preserve"> continued to increase slightly: as of September 30</w:t>
      </w:r>
      <w:r w:rsidR="00AF1A4D">
        <w:t xml:space="preserve">, 2014, 27% had a NOS diagnosis </w:t>
      </w:r>
      <w:r>
        <w:t>while 23% in September 2012 and 25% in September 2013 did so.</w:t>
      </w:r>
    </w:p>
    <w:p w:rsidR="00542758" w:rsidRPr="00264B12" w:rsidRDefault="00D62C0E" w:rsidP="00542758">
      <w:pPr>
        <w:pStyle w:val="KeyFindings"/>
      </w:pPr>
      <w:r>
        <w:t>N</w:t>
      </w:r>
      <w:r w:rsidR="00542758">
        <w:t xml:space="preserve">ine </w:t>
      </w:r>
      <w:r w:rsidR="00542758" w:rsidRPr="00264B12">
        <w:t>(</w:t>
      </w:r>
      <w:r w:rsidR="00542758">
        <w:t>9</w:t>
      </w:r>
      <w:r w:rsidR="00542758" w:rsidRPr="00264B12">
        <w:t xml:space="preserve">) </w:t>
      </w:r>
      <w:r w:rsidR="00542758">
        <w:t>individuals (3%)</w:t>
      </w:r>
      <w:r w:rsidR="00542758" w:rsidRPr="00264B12">
        <w:t xml:space="preserve"> </w:t>
      </w:r>
      <w:r w:rsidR="00542758">
        <w:t>w</w:t>
      </w:r>
      <w:r w:rsidR="00542758" w:rsidRPr="00264B12">
        <w:t xml:space="preserve">ere identified as </w:t>
      </w:r>
      <w:r w:rsidR="00542758" w:rsidRPr="00491555">
        <w:rPr>
          <w:i/>
        </w:rPr>
        <w:t xml:space="preserve">Noncompliance with Treatment </w:t>
      </w:r>
      <w:r w:rsidR="00542758" w:rsidRPr="00264B12">
        <w:t>(DSM-IV code V15.81)</w:t>
      </w:r>
      <w:r w:rsidR="00542758" w:rsidRPr="00264B12">
        <w:rPr>
          <w:rStyle w:val="FootnoteReference"/>
        </w:rPr>
        <w:footnoteReference w:id="12"/>
      </w:r>
      <w:r w:rsidR="00542758">
        <w:t>.</w:t>
      </w:r>
      <w:bookmarkEnd w:id="215"/>
    </w:p>
    <w:p w:rsidR="00542758" w:rsidRPr="00D760F8" w:rsidRDefault="00542758" w:rsidP="00542758">
      <w:pPr>
        <w:pStyle w:val="Heading2"/>
      </w:pPr>
      <w:bookmarkStart w:id="216" w:name="_Toc384134300"/>
      <w:bookmarkStart w:id="217" w:name="_Toc416357872"/>
      <w:bookmarkStart w:id="218" w:name="_Toc195935744"/>
      <w:bookmarkStart w:id="219" w:name="_Toc200726834"/>
      <w:bookmarkStart w:id="220" w:name="_Toc211072475"/>
      <w:r>
        <w:t>Substance Use Disorders</w:t>
      </w:r>
      <w:bookmarkEnd w:id="216"/>
      <w:bookmarkEnd w:id="217"/>
    </w:p>
    <w:p w:rsidR="00542758" w:rsidRDefault="00DF6520" w:rsidP="00542758">
      <w:pPr>
        <w:pStyle w:val="KeyFindings"/>
      </w:pPr>
      <w:bookmarkStart w:id="221" w:name="_Toc384134301"/>
      <w:r>
        <w:t xml:space="preserve">As the percentage of individuals diagnosed with a substance use disorder declined, the trend of frequently identified substances also changed.  </w:t>
      </w:r>
      <w:r w:rsidR="00542758">
        <w:t>The four most frequently identified substances</w:t>
      </w:r>
      <w:r>
        <w:t xml:space="preserve"> </w:t>
      </w:r>
      <w:r w:rsidR="00AF1A4D">
        <w:t>among</w:t>
      </w:r>
      <w:r>
        <w:t xml:space="preserve"> individuals in </w:t>
      </w:r>
      <w:r w:rsidR="00AF1A4D">
        <w:t xml:space="preserve">SEH </w:t>
      </w:r>
      <w:r>
        <w:t xml:space="preserve">care have been consistently nicotine, alcohol, cannabis, and cocaine for the past three years.  However, the percentage for each substance changed each year.  </w:t>
      </w:r>
      <w:bookmarkStart w:id="222" w:name="_Toc384134303"/>
      <w:bookmarkEnd w:id="221"/>
      <w:r>
        <w:t>Those with alcohol dependence or abuse decreased noticeably for two consecutive years: from 37% in 2012 to 30% in 2013 and 26% in 2014</w:t>
      </w:r>
      <w:r w:rsidR="00AF1A4D">
        <w:t xml:space="preserve"> although alcohol is now identified as the most frequently used substance</w:t>
      </w:r>
      <w:r>
        <w:t xml:space="preserve">.  </w:t>
      </w:r>
      <w:bookmarkStart w:id="223" w:name="_Toc384134302"/>
      <w:bookmarkEnd w:id="222"/>
      <w:r w:rsidR="00542758">
        <w:t>Th</w:t>
      </w:r>
      <w:r w:rsidR="00AF1A4D">
        <w:t xml:space="preserve">ose </w:t>
      </w:r>
      <w:r w:rsidR="00542758">
        <w:t>with nicotine dependence or abuse decrease</w:t>
      </w:r>
      <w:r w:rsidR="007E0153">
        <w:t xml:space="preserve">d considerably to 24% as of September 2014 </w:t>
      </w:r>
      <w:r w:rsidR="00542758">
        <w:t xml:space="preserve">from 32% in </w:t>
      </w:r>
      <w:r w:rsidR="00AF1A4D">
        <w:t>FY13</w:t>
      </w:r>
      <w:r w:rsidR="00542758">
        <w:t xml:space="preserve"> following an increase </w:t>
      </w:r>
      <w:r w:rsidR="007E0153">
        <w:t>from</w:t>
      </w:r>
      <w:r w:rsidR="00542758">
        <w:t xml:space="preserve"> 27% in FY12.</w:t>
      </w:r>
      <w:bookmarkEnd w:id="223"/>
    </w:p>
    <w:p w:rsidR="00542758" w:rsidRPr="009068C7" w:rsidRDefault="00542758" w:rsidP="00542758">
      <w:pPr>
        <w:pStyle w:val="BodyText"/>
        <w:keepNext/>
        <w:spacing w:before="120"/>
        <w:rPr>
          <w:rStyle w:val="FigureChar"/>
        </w:rPr>
      </w:pPr>
      <w:bookmarkStart w:id="224" w:name="_Toc416357913"/>
      <w:r w:rsidRPr="00E269E2">
        <w:rPr>
          <w:rStyle w:val="FigureChar"/>
        </w:rPr>
        <w:t xml:space="preserve">Figure </w:t>
      </w:r>
      <w:r w:rsidRPr="00286D55">
        <w:rPr>
          <w:rStyle w:val="FigureChar"/>
        </w:rPr>
        <w:fldChar w:fldCharType="begin"/>
      </w:r>
      <w:r w:rsidRPr="00286D55">
        <w:rPr>
          <w:rStyle w:val="FigureChar"/>
        </w:rPr>
        <w:instrText xml:space="preserve"> SEQ Figure \* ARABIC </w:instrText>
      </w:r>
      <w:r w:rsidRPr="00286D55">
        <w:rPr>
          <w:rStyle w:val="FigureChar"/>
        </w:rPr>
        <w:fldChar w:fldCharType="separate"/>
      </w:r>
      <w:r w:rsidR="007E3DB6">
        <w:rPr>
          <w:rStyle w:val="FigureChar"/>
          <w:noProof/>
        </w:rPr>
        <w:t>28</w:t>
      </w:r>
      <w:r w:rsidRPr="00286D55">
        <w:rPr>
          <w:rStyle w:val="FigureChar"/>
        </w:rPr>
        <w:fldChar w:fldCharType="end"/>
      </w:r>
      <w:r>
        <w:rPr>
          <w:rStyle w:val="FigureChar"/>
        </w:rPr>
        <w:t>. Individual</w:t>
      </w:r>
      <w:r w:rsidRPr="00E269E2">
        <w:rPr>
          <w:rStyle w:val="FigureChar"/>
        </w:rPr>
        <w:t>s</w:t>
      </w:r>
      <w:r>
        <w:rPr>
          <w:rStyle w:val="FigureChar"/>
        </w:rPr>
        <w:t xml:space="preserve"> in Care with Substance Use Related Diagnosis by Substance Type</w:t>
      </w:r>
      <w:r w:rsidRPr="00E269E2">
        <w:rPr>
          <w:rStyle w:val="FigureChar"/>
        </w:rPr>
        <w:t xml:space="preserve"> (</w:t>
      </w:r>
      <w:r>
        <w:rPr>
          <w:rStyle w:val="FigureChar"/>
        </w:rPr>
        <w:t>FY12 ~ FY14</w:t>
      </w:r>
      <w:r w:rsidRPr="00E269E2">
        <w:rPr>
          <w:rStyle w:val="FigureChar"/>
        </w:rPr>
        <w:t>)</w:t>
      </w:r>
      <w:bookmarkEnd w:id="224"/>
    </w:p>
    <w:p w:rsidR="00542758" w:rsidRDefault="006F3968" w:rsidP="00542758">
      <w:r>
        <w:rPr>
          <w:noProof/>
        </w:rPr>
        <w:drawing>
          <wp:inline distT="0" distB="0" distL="0" distR="0" wp14:anchorId="66312FCF" wp14:editId="08041063">
            <wp:extent cx="6534150" cy="2314575"/>
            <wp:effectExtent l="0" t="0" r="0" b="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F91DD5" w:rsidRDefault="00AF1A4D" w:rsidP="00542758">
      <w:pPr>
        <w:pStyle w:val="KeyFindings"/>
      </w:pPr>
      <w:bookmarkStart w:id="225" w:name="_Toc384134304"/>
      <w:r>
        <w:t>Many of those with a substance use disorder are identified as using more than one substance.  However, the overall percentage of those with multiple substance use disorders decreased: of the 140 individuals who had at least one substance use disorder in September 2014</w:t>
      </w:r>
      <w:r w:rsidR="00486ED0">
        <w:t xml:space="preserve">, 102 individuals, which account for </w:t>
      </w:r>
      <w:r>
        <w:t>37% of all in care</w:t>
      </w:r>
      <w:r w:rsidR="00486ED0">
        <w:t>,</w:t>
      </w:r>
      <w:r>
        <w:t xml:space="preserve"> were identified as using more than one substance.</w:t>
      </w:r>
      <w:bookmarkEnd w:id="225"/>
      <w:r>
        <w:t xml:space="preserve">  In FY13, 41% were identified in this group.</w:t>
      </w:r>
    </w:p>
    <w:p w:rsidR="00542758" w:rsidRPr="00D760F8" w:rsidRDefault="00542758" w:rsidP="00542758">
      <w:pPr>
        <w:pStyle w:val="Heading2"/>
      </w:pPr>
      <w:bookmarkStart w:id="226" w:name="_Toc384134305"/>
      <w:bookmarkStart w:id="227" w:name="_Toc416357873"/>
      <w:r w:rsidRPr="00D760F8">
        <w:t>Personality Disorders and</w:t>
      </w:r>
      <w:r>
        <w:t>/or</w:t>
      </w:r>
      <w:r w:rsidRPr="00D760F8">
        <w:t xml:space="preserve"> Mental Retardation (Axis II)</w:t>
      </w:r>
      <w:bookmarkEnd w:id="218"/>
      <w:bookmarkEnd w:id="219"/>
      <w:bookmarkEnd w:id="220"/>
      <w:bookmarkEnd w:id="226"/>
      <w:bookmarkEnd w:id="227"/>
    </w:p>
    <w:p w:rsidR="00542758" w:rsidRDefault="00963EF0" w:rsidP="00542758">
      <w:pPr>
        <w:pStyle w:val="KeyFindings"/>
      </w:pPr>
      <w:bookmarkStart w:id="228" w:name="_Toc384134306"/>
      <w:r>
        <w:t xml:space="preserve">Fewer individuals in care were diagnosed with a condition </w:t>
      </w:r>
      <w:r w:rsidR="00632AC4">
        <w:t>o</w:t>
      </w:r>
      <w:r>
        <w:t xml:space="preserve">n Axis II and more </w:t>
      </w:r>
      <w:r w:rsidR="00690913">
        <w:t xml:space="preserve">individuals </w:t>
      </w:r>
      <w:r>
        <w:t>had their Axis II diagnosis deferred</w:t>
      </w:r>
      <w:r w:rsidR="00690913">
        <w:rPr>
          <w:rStyle w:val="FootnoteReference"/>
        </w:rPr>
        <w:footnoteReference w:id="13"/>
      </w:r>
      <w:r>
        <w:t xml:space="preserve">.  </w:t>
      </w:r>
      <w:r w:rsidR="00542758">
        <w:t xml:space="preserve">The percentage of individuals with </w:t>
      </w:r>
      <w:r w:rsidR="00542758" w:rsidRPr="00264B12">
        <w:t xml:space="preserve">one or more diagnoses </w:t>
      </w:r>
      <w:r w:rsidR="00542758">
        <w:t>o</w:t>
      </w:r>
      <w:r w:rsidR="00542758" w:rsidRPr="00264B12">
        <w:t>n Axis II</w:t>
      </w:r>
      <w:r w:rsidR="00542758">
        <w:t xml:space="preserve"> decreased in FY14 from a year ago.  As of September 30, 2014, 12</w:t>
      </w:r>
      <w:r w:rsidR="00BE3C08">
        <w:t>2</w:t>
      </w:r>
      <w:r w:rsidR="00542758">
        <w:t xml:space="preserve"> (4</w:t>
      </w:r>
      <w:r w:rsidR="00BE3C08">
        <w:t>4</w:t>
      </w:r>
      <w:r w:rsidR="00542758">
        <w:t>%)</w:t>
      </w:r>
      <w:r w:rsidR="00542758" w:rsidRPr="00264B12">
        <w:t xml:space="preserve"> </w:t>
      </w:r>
      <w:r w:rsidR="00542758">
        <w:t>had</w:t>
      </w:r>
      <w:r w:rsidR="00542758" w:rsidRPr="00264B12">
        <w:t xml:space="preserve"> </w:t>
      </w:r>
      <w:r w:rsidR="00542758" w:rsidRPr="009B5984">
        <w:rPr>
          <w:i/>
        </w:rPr>
        <w:t>No Diagnosis or Condition on Axis II</w:t>
      </w:r>
      <w:r w:rsidR="00542758" w:rsidRPr="00264B12">
        <w:t xml:space="preserve"> (DSM-VI Code V71.09), </w:t>
      </w:r>
      <w:r w:rsidR="00542758">
        <w:t>61 (22%)</w:t>
      </w:r>
      <w:r w:rsidR="00542758" w:rsidRPr="00264B12">
        <w:t xml:space="preserve"> had </w:t>
      </w:r>
      <w:r w:rsidR="00542758" w:rsidRPr="009B5984">
        <w:rPr>
          <w:i/>
        </w:rPr>
        <w:t>Diagnosis Deferred on Axis II</w:t>
      </w:r>
      <w:r w:rsidR="00542758" w:rsidRPr="00264B12">
        <w:t xml:space="preserve"> (DSM-VI Code 799.9)</w:t>
      </w:r>
      <w:r w:rsidR="00BE3C08">
        <w:t xml:space="preserve">, and the remaining </w:t>
      </w:r>
      <w:r w:rsidR="00542758">
        <w:t xml:space="preserve">95 or 34% of </w:t>
      </w:r>
      <w:r w:rsidR="00C62398">
        <w:t>IICs</w:t>
      </w:r>
      <w:r w:rsidR="00542758">
        <w:t xml:space="preserve"> had one or more diagnoses identified on Axis II</w:t>
      </w:r>
      <w:r w:rsidR="00BE3C08">
        <w:t>.</w:t>
      </w:r>
      <w:r w:rsidR="00542758">
        <w:t xml:space="preserve">  On September 30, 2013, 38% of </w:t>
      </w:r>
      <w:r w:rsidR="00C62398">
        <w:t>IICs</w:t>
      </w:r>
      <w:r w:rsidR="00542758">
        <w:t xml:space="preserve"> had one or more diagnoses on Axis II.</w:t>
      </w:r>
      <w:bookmarkEnd w:id="228"/>
    </w:p>
    <w:p w:rsidR="00542758" w:rsidRDefault="00542758" w:rsidP="00542758">
      <w:pPr>
        <w:pStyle w:val="KeyFindings"/>
      </w:pPr>
      <w:bookmarkStart w:id="229" w:name="_Toc384134307"/>
      <w:r w:rsidRPr="00264B12">
        <w:t xml:space="preserve">A total of </w:t>
      </w:r>
      <w:r>
        <w:t>66 individuals</w:t>
      </w:r>
      <w:r w:rsidRPr="00264B12">
        <w:t xml:space="preserve"> (</w:t>
      </w:r>
      <w:r>
        <w:t>24</w:t>
      </w:r>
      <w:r w:rsidRPr="00264B12">
        <w:t>%</w:t>
      </w:r>
      <w:r w:rsidR="00A6542C">
        <w:t xml:space="preserve"> of all in care</w:t>
      </w:r>
      <w:r w:rsidRPr="00264B12">
        <w:t>) had a personality disorder</w:t>
      </w:r>
      <w:r>
        <w:t xml:space="preserve"> and this continued a slight decrease from 25% in FY13 and 28% in FY12</w:t>
      </w:r>
      <w:r w:rsidRPr="00264B12">
        <w:t>.</w:t>
      </w:r>
      <w:bookmarkEnd w:id="229"/>
      <w:r w:rsidRPr="00264B12">
        <w:t xml:space="preserve"> </w:t>
      </w:r>
    </w:p>
    <w:p w:rsidR="00542758" w:rsidRDefault="00542758" w:rsidP="00542758">
      <w:pPr>
        <w:pStyle w:val="KeyFindings"/>
      </w:pPr>
      <w:bookmarkStart w:id="230" w:name="_Toc384134308"/>
      <w:r>
        <w:t xml:space="preserve">A total of 42 individuals (15%) were diagnosed with either </w:t>
      </w:r>
      <w:r w:rsidRPr="00BC2EAA">
        <w:rPr>
          <w:i/>
        </w:rPr>
        <w:t>Mental Retardation</w:t>
      </w:r>
      <w:r>
        <w:t xml:space="preserve"> </w:t>
      </w:r>
      <w:r w:rsidRPr="00264B12">
        <w:t>(DSM-VI Code 317~319)</w:t>
      </w:r>
      <w:r>
        <w:t xml:space="preserve"> or </w:t>
      </w:r>
      <w:r w:rsidRPr="00BC2EAA">
        <w:rPr>
          <w:i/>
        </w:rPr>
        <w:t>Borderline Intellectual Functioning</w:t>
      </w:r>
      <w:r>
        <w:t xml:space="preserve"> (DSM-VI Code V62.89)</w:t>
      </w:r>
      <w:r w:rsidRPr="00264B12">
        <w:rPr>
          <w:rStyle w:val="FootnoteReference"/>
        </w:rPr>
        <w:footnoteReference w:id="14"/>
      </w:r>
      <w:r w:rsidR="00A6542C">
        <w:t xml:space="preserve"> and this is a decrease </w:t>
      </w:r>
      <w:r w:rsidR="00104BEB">
        <w:t xml:space="preserve">from </w:t>
      </w:r>
      <w:r w:rsidR="00A6542C">
        <w:t>last</w:t>
      </w:r>
      <w:r w:rsidR="00104BEB">
        <w:t xml:space="preserve"> year</w:t>
      </w:r>
      <w:r>
        <w:t>.</w:t>
      </w:r>
      <w:bookmarkEnd w:id="230"/>
    </w:p>
    <w:p w:rsidR="00542758" w:rsidRPr="00264B12" w:rsidRDefault="00542758" w:rsidP="00542758">
      <w:pPr>
        <w:pStyle w:val="KeyFindings"/>
      </w:pPr>
      <w:bookmarkStart w:id="231" w:name="_Toc384134309"/>
      <w:r w:rsidRPr="00264B12">
        <w:t xml:space="preserve">A total of </w:t>
      </w:r>
      <w:r>
        <w:t>12</w:t>
      </w:r>
      <w:r w:rsidRPr="00264B12">
        <w:t xml:space="preserve"> </w:t>
      </w:r>
      <w:r>
        <w:t>individuals (4%)</w:t>
      </w:r>
      <w:r w:rsidRPr="00264B12">
        <w:t xml:space="preserve"> had a NOS diagnosis</w:t>
      </w:r>
      <w:r>
        <w:t xml:space="preserve"> on Axis II.</w:t>
      </w:r>
      <w:bookmarkEnd w:id="231"/>
    </w:p>
    <w:p w:rsidR="00542758" w:rsidRPr="00E269E2" w:rsidRDefault="00542758" w:rsidP="00542758">
      <w:pPr>
        <w:pStyle w:val="BodyText"/>
        <w:keepNext/>
        <w:spacing w:before="120"/>
        <w:ind w:left="720" w:right="-108" w:hanging="720"/>
        <w:rPr>
          <w:rStyle w:val="FigureChar"/>
        </w:rPr>
      </w:pPr>
      <w:bookmarkStart w:id="232" w:name="_Ref209411060"/>
      <w:bookmarkStart w:id="233" w:name="_Toc211072516"/>
      <w:bookmarkStart w:id="234" w:name="_Toc416357914"/>
      <w:bookmarkStart w:id="235" w:name="_Toc195935745"/>
      <w:bookmarkStart w:id="236" w:name="_Toc200726835"/>
      <w:r w:rsidRPr="00E269E2">
        <w:rPr>
          <w:rStyle w:val="FigureChar"/>
        </w:rPr>
        <w:t xml:space="preserve">Figure </w:t>
      </w:r>
      <w:r w:rsidRPr="00286D55">
        <w:rPr>
          <w:rStyle w:val="FigureChar"/>
        </w:rPr>
        <w:fldChar w:fldCharType="begin"/>
      </w:r>
      <w:r w:rsidRPr="00286D55">
        <w:rPr>
          <w:rStyle w:val="FigureChar"/>
        </w:rPr>
        <w:instrText xml:space="preserve"> SEQ Figure \* ARABIC </w:instrText>
      </w:r>
      <w:r w:rsidRPr="00286D55">
        <w:rPr>
          <w:rStyle w:val="FigureChar"/>
        </w:rPr>
        <w:fldChar w:fldCharType="separate"/>
      </w:r>
      <w:r w:rsidR="007E3DB6">
        <w:rPr>
          <w:rStyle w:val="FigureChar"/>
          <w:noProof/>
        </w:rPr>
        <w:t>29</w:t>
      </w:r>
      <w:r w:rsidRPr="00286D55">
        <w:rPr>
          <w:rStyle w:val="FigureChar"/>
        </w:rPr>
        <w:fldChar w:fldCharType="end"/>
      </w:r>
      <w:bookmarkEnd w:id="232"/>
      <w:r w:rsidRPr="00E269E2">
        <w:rPr>
          <w:rStyle w:val="FigureChar"/>
        </w:rPr>
        <w:t xml:space="preserve">. </w:t>
      </w:r>
      <w:r>
        <w:rPr>
          <w:rStyle w:val="FigureChar"/>
        </w:rPr>
        <w:t>Individual</w:t>
      </w:r>
      <w:r w:rsidRPr="00E269E2">
        <w:rPr>
          <w:rStyle w:val="FigureChar"/>
        </w:rPr>
        <w:t>s</w:t>
      </w:r>
      <w:r>
        <w:rPr>
          <w:rStyle w:val="FigureChar"/>
        </w:rPr>
        <w:t xml:space="preserve"> in Care </w:t>
      </w:r>
      <w:r w:rsidRPr="00E269E2">
        <w:rPr>
          <w:rStyle w:val="FigureChar"/>
        </w:rPr>
        <w:t xml:space="preserve">with Diagnosis </w:t>
      </w:r>
      <w:r>
        <w:rPr>
          <w:rStyle w:val="FigureChar"/>
        </w:rPr>
        <w:t>o</w:t>
      </w:r>
      <w:r w:rsidRPr="00E269E2">
        <w:rPr>
          <w:rStyle w:val="FigureChar"/>
        </w:rPr>
        <w:t xml:space="preserve">n </w:t>
      </w:r>
      <w:r>
        <w:rPr>
          <w:rStyle w:val="FigureChar"/>
        </w:rPr>
        <w:t>Axis I</w:t>
      </w:r>
      <w:r w:rsidRPr="00E269E2">
        <w:rPr>
          <w:rStyle w:val="FigureChar"/>
        </w:rPr>
        <w:t>I (</w:t>
      </w:r>
      <w:r>
        <w:rPr>
          <w:rStyle w:val="FigureChar"/>
        </w:rPr>
        <w:t>FY12 ~ FY14</w:t>
      </w:r>
      <w:r w:rsidRPr="00E269E2">
        <w:rPr>
          <w:rStyle w:val="FigureChar"/>
        </w:rPr>
        <w:t>)</w:t>
      </w:r>
      <w:bookmarkEnd w:id="233"/>
      <w:bookmarkEnd w:id="234"/>
    </w:p>
    <w:p w:rsidR="00542758" w:rsidRDefault="00BE3C08" w:rsidP="00542758">
      <w:r>
        <w:rPr>
          <w:noProof/>
        </w:rPr>
        <w:drawing>
          <wp:inline distT="0" distB="0" distL="0" distR="0" wp14:anchorId="1EF566EE" wp14:editId="477A7E72">
            <wp:extent cx="6711351" cy="2277373"/>
            <wp:effectExtent l="0" t="0" r="0" b="889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542758" w:rsidRPr="00D760F8" w:rsidRDefault="00542758" w:rsidP="00542758">
      <w:pPr>
        <w:pStyle w:val="Heading2"/>
      </w:pPr>
      <w:bookmarkStart w:id="237" w:name="_Toc211072476"/>
      <w:bookmarkStart w:id="238" w:name="_Toc384134310"/>
      <w:bookmarkStart w:id="239" w:name="_Ref415129441"/>
      <w:bookmarkStart w:id="240" w:name="_Ref415129453"/>
      <w:bookmarkStart w:id="241" w:name="_Ref415129463"/>
      <w:bookmarkStart w:id="242" w:name="_Ref415129525"/>
      <w:bookmarkStart w:id="243" w:name="_Ref415129584"/>
      <w:bookmarkStart w:id="244" w:name="_Toc416357874"/>
      <w:r>
        <w:t>General</w:t>
      </w:r>
      <w:r w:rsidRPr="00D760F8">
        <w:t xml:space="preserve"> Medical Conditions (Axis III)</w:t>
      </w:r>
      <w:bookmarkEnd w:id="235"/>
      <w:bookmarkEnd w:id="236"/>
      <w:bookmarkEnd w:id="237"/>
      <w:bookmarkEnd w:id="238"/>
      <w:bookmarkEnd w:id="239"/>
      <w:bookmarkEnd w:id="240"/>
      <w:bookmarkEnd w:id="241"/>
      <w:bookmarkEnd w:id="242"/>
      <w:bookmarkEnd w:id="243"/>
      <w:bookmarkEnd w:id="244"/>
    </w:p>
    <w:p w:rsidR="00542758" w:rsidRPr="00264B12" w:rsidRDefault="00542758" w:rsidP="00542758">
      <w:pPr>
        <w:pStyle w:val="KeyFindings"/>
      </w:pPr>
      <w:bookmarkStart w:id="245" w:name="_Toc384134311"/>
      <w:bookmarkStart w:id="246" w:name="_Ref193220892"/>
      <w:bookmarkStart w:id="247" w:name="_Ref193455769"/>
      <w:bookmarkStart w:id="248" w:name="_Toc200726621"/>
      <w:bookmarkStart w:id="249" w:name="_Toc211072517"/>
      <w:r>
        <w:t xml:space="preserve">The percentage of individuals with one or more medical conditions identified on Axis III increased from the previous year:  241 or 87% of individuals in care on September 30, 2014 </w:t>
      </w:r>
      <w:r w:rsidRPr="00264B12">
        <w:t>had at least one identified medical condition</w:t>
      </w:r>
      <w:r>
        <w:t xml:space="preserve"> or physical disorder</w:t>
      </w:r>
      <w:r w:rsidR="00C00E21">
        <w:t>, whereas</w:t>
      </w:r>
      <w:r>
        <w:t xml:space="preserve"> 84% of </w:t>
      </w:r>
      <w:r w:rsidR="00C62398">
        <w:t>IICs</w:t>
      </w:r>
      <w:r>
        <w:t xml:space="preserve"> on September 30, 2013 did so</w:t>
      </w:r>
      <w:r w:rsidRPr="00264B12">
        <w:t>.</w:t>
      </w:r>
      <w:bookmarkEnd w:id="245"/>
      <w:r w:rsidRPr="00264B12">
        <w:t xml:space="preserve"> </w:t>
      </w:r>
    </w:p>
    <w:p w:rsidR="00542758" w:rsidRDefault="00542758" w:rsidP="00542758">
      <w:pPr>
        <w:pStyle w:val="KeyFindings"/>
      </w:pPr>
      <w:bookmarkStart w:id="250" w:name="_Toc384134312"/>
      <w:r>
        <w:t>The overall pattern of medical conditions prevalent among individuals in our care on September 30, 201</w:t>
      </w:r>
      <w:r w:rsidR="00072913">
        <w:t>4</w:t>
      </w:r>
      <w:r>
        <w:t xml:space="preserve"> was very similar to that of the previous year</w:t>
      </w:r>
      <w:r w:rsidR="00B20ADF">
        <w:t>s</w:t>
      </w:r>
      <w:r>
        <w:t xml:space="preserve">.  </w:t>
      </w:r>
      <w:r w:rsidR="00B20ADF">
        <w:t xml:space="preserve">Nearly half (47%) of individuals in SEH care were diagnosed with </w:t>
      </w:r>
      <w:r w:rsidRPr="00712DF2">
        <w:rPr>
          <w:i/>
        </w:rPr>
        <w:t>Hypertension</w:t>
      </w:r>
      <w:r w:rsidR="00B20ADF">
        <w:t xml:space="preserve"> and one of four </w:t>
      </w:r>
      <w:r w:rsidR="00C62398">
        <w:t>IICs</w:t>
      </w:r>
      <w:r w:rsidR="00B20ADF">
        <w:t xml:space="preserve"> (24%) were diagnosed with </w:t>
      </w:r>
      <w:bookmarkStart w:id="251" w:name="OLE_LINK14"/>
      <w:r w:rsidRPr="002A3EA7">
        <w:rPr>
          <w:i/>
        </w:rPr>
        <w:t>Hyperlipidemi</w:t>
      </w:r>
      <w:r w:rsidR="00B20ADF">
        <w:rPr>
          <w:i/>
        </w:rPr>
        <w:t>a</w:t>
      </w:r>
      <w:r w:rsidR="00B20ADF">
        <w:t xml:space="preserve">. A total of </w:t>
      </w:r>
      <w:r>
        <w:t xml:space="preserve">61 or 22% </w:t>
      </w:r>
      <w:bookmarkEnd w:id="251"/>
      <w:r>
        <w:t>were</w:t>
      </w:r>
      <w:r w:rsidRPr="00264B12">
        <w:t xml:space="preserve"> diagnosed </w:t>
      </w:r>
      <w:r>
        <w:t>as having</w:t>
      </w:r>
      <w:r w:rsidRPr="00264B12">
        <w:t xml:space="preserve"> </w:t>
      </w:r>
      <w:r w:rsidRPr="00712DF2">
        <w:rPr>
          <w:i/>
        </w:rPr>
        <w:t>Type II Diabetes</w:t>
      </w:r>
      <w:r>
        <w:rPr>
          <w:i/>
        </w:rPr>
        <w:t xml:space="preserve">, </w:t>
      </w:r>
      <w:r w:rsidR="00072913" w:rsidRPr="00072913">
        <w:t xml:space="preserve">36 or 13% </w:t>
      </w:r>
      <w:r w:rsidR="00072913">
        <w:t xml:space="preserve">were diagnosed as having </w:t>
      </w:r>
      <w:r w:rsidR="00072913" w:rsidRPr="00072913">
        <w:rPr>
          <w:i/>
        </w:rPr>
        <w:t>Anemia</w:t>
      </w:r>
      <w:r w:rsidR="00072913">
        <w:t xml:space="preserve"> or a blood disease, </w:t>
      </w:r>
      <w:r>
        <w:t>28</w:t>
      </w:r>
      <w:r w:rsidRPr="00264B12">
        <w:t xml:space="preserve"> </w:t>
      </w:r>
      <w:r>
        <w:t>or 10% were diagnosed with</w:t>
      </w:r>
      <w:r w:rsidRPr="00264B12">
        <w:t xml:space="preserve"> </w:t>
      </w:r>
      <w:r w:rsidRPr="00712DF2">
        <w:rPr>
          <w:i/>
        </w:rPr>
        <w:t>Tardive Dyskinesia (TD)</w:t>
      </w:r>
      <w:r w:rsidRPr="00264B12">
        <w:rPr>
          <w:rStyle w:val="FootnoteReference"/>
        </w:rPr>
        <w:footnoteReference w:id="15"/>
      </w:r>
      <w:r w:rsidR="00072913">
        <w:t>, and 18 or 6%</w:t>
      </w:r>
      <w:r w:rsidR="00072913" w:rsidRPr="00264B12">
        <w:t xml:space="preserve"> were diagnosed as having </w:t>
      </w:r>
      <w:r w:rsidR="00072913">
        <w:t>a s</w:t>
      </w:r>
      <w:r w:rsidR="00072913" w:rsidRPr="00A72C4E">
        <w:t xml:space="preserve">eizure </w:t>
      </w:r>
      <w:r w:rsidR="00072913">
        <w:t>d</w:t>
      </w:r>
      <w:r w:rsidR="00072913" w:rsidRPr="00A72C4E">
        <w:t>isorder</w:t>
      </w:r>
      <w:r w:rsidR="00072913">
        <w:t>.</w:t>
      </w:r>
      <w:r>
        <w:t xml:space="preserve"> Those with thyroid disorders (9%) continued to decrease from 11% in </w:t>
      </w:r>
      <w:r w:rsidR="00072913">
        <w:t>FY13 and 14% in FY12</w:t>
      </w:r>
      <w:r>
        <w:t>.</w:t>
      </w:r>
      <w:bookmarkEnd w:id="250"/>
    </w:p>
    <w:p w:rsidR="00542758" w:rsidRDefault="00542758" w:rsidP="00542758">
      <w:pPr>
        <w:pStyle w:val="KeyFindings"/>
      </w:pPr>
      <w:bookmarkStart w:id="252" w:name="_Toc384134313"/>
      <w:r>
        <w:t xml:space="preserve">A total of </w:t>
      </w:r>
      <w:r w:rsidR="00A6084F">
        <w:t>80</w:t>
      </w:r>
      <w:r w:rsidRPr="00264B12">
        <w:t xml:space="preserve"> </w:t>
      </w:r>
      <w:r>
        <w:t>individuals</w:t>
      </w:r>
      <w:r w:rsidRPr="00264B12">
        <w:t xml:space="preserve"> (</w:t>
      </w:r>
      <w:r w:rsidR="00A6084F">
        <w:t>29</w:t>
      </w:r>
      <w:r w:rsidRPr="00264B12">
        <w:t xml:space="preserve">%) were diagnosed </w:t>
      </w:r>
      <w:r>
        <w:t xml:space="preserve">on Axis III </w:t>
      </w:r>
      <w:r w:rsidRPr="00264B12">
        <w:t xml:space="preserve">with </w:t>
      </w:r>
      <w:r w:rsidRPr="008A0467">
        <w:rPr>
          <w:i/>
        </w:rPr>
        <w:t>Obesity</w:t>
      </w:r>
      <w:r>
        <w:rPr>
          <w:i/>
        </w:rPr>
        <w:t xml:space="preserve"> </w:t>
      </w:r>
      <w:r w:rsidRPr="00903F7F">
        <w:t>or</w:t>
      </w:r>
      <w:r>
        <w:rPr>
          <w:i/>
        </w:rPr>
        <w:t xml:space="preserve"> </w:t>
      </w:r>
      <w:r w:rsidRPr="008A0467">
        <w:rPr>
          <w:i/>
        </w:rPr>
        <w:t>Overweight</w:t>
      </w:r>
      <w:r>
        <w:t xml:space="preserve">: </w:t>
      </w:r>
      <w:r w:rsidR="00A6084F">
        <w:t>61</w:t>
      </w:r>
      <w:r>
        <w:t xml:space="preserve"> </w:t>
      </w:r>
      <w:r w:rsidR="00A6084F">
        <w:t xml:space="preserve">(22%) </w:t>
      </w:r>
      <w:r>
        <w:t xml:space="preserve">had an obesity diagnosis and additionally </w:t>
      </w:r>
      <w:r w:rsidR="00A6084F">
        <w:t>19</w:t>
      </w:r>
      <w:r>
        <w:t xml:space="preserve"> </w:t>
      </w:r>
      <w:r w:rsidR="00A6084F">
        <w:t xml:space="preserve">(7%) </w:t>
      </w:r>
      <w:r>
        <w:t xml:space="preserve">had an overweight diagnosis on Axis III.  This was a </w:t>
      </w:r>
      <w:r w:rsidR="000951BF">
        <w:t>marked</w:t>
      </w:r>
      <w:r w:rsidR="00A6084F">
        <w:t xml:space="preserve"> </w:t>
      </w:r>
      <w:r>
        <w:t xml:space="preserve">decrease from 34% last year.  </w:t>
      </w:r>
      <w:r w:rsidRPr="001C7EB2">
        <w:rPr>
          <w:color w:val="auto"/>
        </w:rPr>
        <w:t xml:space="preserve">However, it should be noted that there remained a considerable discrepancy between Axis-III diagnoses on obesity/overweight and </w:t>
      </w:r>
      <w:r w:rsidRPr="001C7EB2">
        <w:rPr>
          <w:i/>
          <w:color w:val="auto"/>
        </w:rPr>
        <w:t>Body Mass Index</w:t>
      </w:r>
      <w:r w:rsidRPr="001C7EB2">
        <w:rPr>
          <w:color w:val="auto"/>
        </w:rPr>
        <w:t xml:space="preserve"> (BMI) </w:t>
      </w:r>
      <w:r w:rsidR="00C53C97">
        <w:rPr>
          <w:color w:val="auto"/>
        </w:rPr>
        <w:t xml:space="preserve">calculation </w:t>
      </w:r>
      <w:r w:rsidRPr="001C7EB2">
        <w:rPr>
          <w:color w:val="auto"/>
        </w:rPr>
        <w:t>results</w:t>
      </w:r>
      <w:r w:rsidR="00C53C97">
        <w:rPr>
          <w:color w:val="auto"/>
        </w:rPr>
        <w:t xml:space="preserve"> from actual weight and height information;</w:t>
      </w:r>
      <w:r w:rsidRPr="001C7EB2">
        <w:rPr>
          <w:color w:val="auto"/>
        </w:rPr>
        <w:t xml:space="preserve"> the number of individuals with obesity projected from the BMI calculation</w:t>
      </w:r>
      <w:r w:rsidRPr="001C7EB2">
        <w:rPr>
          <w:rStyle w:val="FootnoteReference"/>
          <w:color w:val="auto"/>
        </w:rPr>
        <w:footnoteReference w:id="16"/>
      </w:r>
      <w:r w:rsidRPr="001C7EB2">
        <w:rPr>
          <w:color w:val="auto"/>
        </w:rPr>
        <w:t xml:space="preserve"> </w:t>
      </w:r>
      <w:r w:rsidR="00A6084F">
        <w:rPr>
          <w:color w:val="auto"/>
        </w:rPr>
        <w:t xml:space="preserve">as of September 30, 2014 </w:t>
      </w:r>
      <w:r w:rsidRPr="001C7EB2">
        <w:rPr>
          <w:color w:val="auto"/>
        </w:rPr>
        <w:t xml:space="preserve">was </w:t>
      </w:r>
      <w:r w:rsidR="001C7EB2" w:rsidRPr="001C7EB2">
        <w:rPr>
          <w:color w:val="auto"/>
        </w:rPr>
        <w:t>99</w:t>
      </w:r>
      <w:r w:rsidRPr="001C7EB2">
        <w:rPr>
          <w:color w:val="auto"/>
        </w:rPr>
        <w:t xml:space="preserve"> (</w:t>
      </w:r>
      <w:r w:rsidR="001C7EB2" w:rsidRPr="001C7EB2">
        <w:rPr>
          <w:color w:val="auto"/>
        </w:rPr>
        <w:t>37</w:t>
      </w:r>
      <w:r w:rsidRPr="001C7EB2">
        <w:rPr>
          <w:color w:val="auto"/>
        </w:rPr>
        <w:t xml:space="preserve">%) and additionally </w:t>
      </w:r>
      <w:r w:rsidR="001C7EB2" w:rsidRPr="001C7EB2">
        <w:rPr>
          <w:color w:val="auto"/>
        </w:rPr>
        <w:t>9</w:t>
      </w:r>
      <w:r w:rsidRPr="001C7EB2">
        <w:rPr>
          <w:color w:val="auto"/>
        </w:rPr>
        <w:t>1 individuals (3</w:t>
      </w:r>
      <w:r w:rsidR="001C7EB2" w:rsidRPr="001C7EB2">
        <w:rPr>
          <w:color w:val="auto"/>
        </w:rPr>
        <w:t>3</w:t>
      </w:r>
      <w:r w:rsidRPr="001C7EB2">
        <w:rPr>
          <w:color w:val="auto"/>
        </w:rPr>
        <w:t xml:space="preserve">%) were overweight </w:t>
      </w:r>
      <w:r w:rsidR="00C53C97">
        <w:rPr>
          <w:color w:val="auto"/>
        </w:rPr>
        <w:t xml:space="preserve">as their BMI was between </w:t>
      </w:r>
      <w:r w:rsidRPr="001C7EB2">
        <w:rPr>
          <w:color w:val="auto"/>
        </w:rPr>
        <w:t>25</w:t>
      </w:r>
      <w:r w:rsidR="00C53C97">
        <w:rPr>
          <w:color w:val="auto"/>
        </w:rPr>
        <w:t xml:space="preserve"> and </w:t>
      </w:r>
      <w:r w:rsidRPr="001C7EB2">
        <w:rPr>
          <w:color w:val="auto"/>
        </w:rPr>
        <w:t>30.  A further analysis of the findings on obesity is presented</w:t>
      </w:r>
      <w:r w:rsidR="00FE70F9">
        <w:rPr>
          <w:color w:val="auto"/>
        </w:rPr>
        <w:t xml:space="preserve"> on section </w:t>
      </w:r>
      <w:r w:rsidR="00FE70F9" w:rsidRPr="00FE70F9">
        <w:rPr>
          <w:i/>
          <w:color w:val="auto"/>
        </w:rPr>
        <w:fldChar w:fldCharType="begin"/>
      </w:r>
      <w:r w:rsidR="00FE70F9" w:rsidRPr="00FE70F9">
        <w:rPr>
          <w:i/>
          <w:color w:val="auto"/>
        </w:rPr>
        <w:instrText xml:space="preserve"> REF _Ref246671908 \w \h </w:instrText>
      </w:r>
      <w:r w:rsidR="00FE70F9">
        <w:rPr>
          <w:i/>
          <w:color w:val="auto"/>
        </w:rPr>
        <w:instrText xml:space="preserve"> \* MERGEFORMAT </w:instrText>
      </w:r>
      <w:r w:rsidR="00FE70F9" w:rsidRPr="00FE70F9">
        <w:rPr>
          <w:i/>
          <w:color w:val="auto"/>
        </w:rPr>
      </w:r>
      <w:r w:rsidR="00FE70F9" w:rsidRPr="00FE70F9">
        <w:rPr>
          <w:i/>
          <w:color w:val="auto"/>
        </w:rPr>
        <w:fldChar w:fldCharType="separate"/>
      </w:r>
      <w:r w:rsidR="007E3DB6">
        <w:rPr>
          <w:i/>
          <w:color w:val="auto"/>
        </w:rPr>
        <w:t>V.7</w:t>
      </w:r>
      <w:r w:rsidR="00FE70F9" w:rsidRPr="00FE70F9">
        <w:rPr>
          <w:i/>
          <w:color w:val="auto"/>
        </w:rPr>
        <w:fldChar w:fldCharType="end"/>
      </w:r>
      <w:r w:rsidR="00FE70F9" w:rsidRPr="00FE70F9">
        <w:rPr>
          <w:i/>
          <w:color w:val="auto"/>
        </w:rPr>
        <w:t xml:space="preserve"> </w:t>
      </w:r>
      <w:r w:rsidR="00FE70F9" w:rsidRPr="00FE70F9">
        <w:rPr>
          <w:i/>
          <w:color w:val="auto"/>
        </w:rPr>
        <w:fldChar w:fldCharType="begin"/>
      </w:r>
      <w:r w:rsidR="00FE70F9" w:rsidRPr="00FE70F9">
        <w:rPr>
          <w:i/>
          <w:color w:val="auto"/>
        </w:rPr>
        <w:instrText xml:space="preserve"> REF _Ref246671908 \h </w:instrText>
      </w:r>
      <w:r w:rsidR="00FE70F9">
        <w:rPr>
          <w:i/>
          <w:color w:val="auto"/>
        </w:rPr>
        <w:instrText xml:space="preserve"> \* MERGEFORMAT </w:instrText>
      </w:r>
      <w:r w:rsidR="00FE70F9" w:rsidRPr="00FE70F9">
        <w:rPr>
          <w:i/>
          <w:color w:val="auto"/>
        </w:rPr>
      </w:r>
      <w:r w:rsidR="00FE70F9" w:rsidRPr="00FE70F9">
        <w:rPr>
          <w:i/>
          <w:color w:val="auto"/>
        </w:rPr>
        <w:fldChar w:fldCharType="separate"/>
      </w:r>
      <w:r w:rsidR="007E3DB6" w:rsidRPr="007E3DB6">
        <w:rPr>
          <w:i/>
        </w:rPr>
        <w:t>Weight Gain and Obesity</w:t>
      </w:r>
      <w:r w:rsidR="00FE70F9" w:rsidRPr="00FE70F9">
        <w:rPr>
          <w:i/>
          <w:color w:val="auto"/>
        </w:rPr>
        <w:fldChar w:fldCharType="end"/>
      </w:r>
      <w:r w:rsidR="00FE70F9">
        <w:rPr>
          <w:color w:val="auto"/>
        </w:rPr>
        <w:t xml:space="preserve"> </w:t>
      </w:r>
      <w:r w:rsidR="00FE70F9">
        <w:rPr>
          <w:color w:val="auto"/>
        </w:rPr>
        <w:fldChar w:fldCharType="begin"/>
      </w:r>
      <w:r w:rsidR="00FE70F9">
        <w:rPr>
          <w:color w:val="auto"/>
        </w:rPr>
        <w:instrText xml:space="preserve"> PAGEREF _Ref246671908 \p \h </w:instrText>
      </w:r>
      <w:r w:rsidR="00FE70F9">
        <w:rPr>
          <w:color w:val="auto"/>
        </w:rPr>
      </w:r>
      <w:r w:rsidR="00FE70F9">
        <w:rPr>
          <w:color w:val="auto"/>
        </w:rPr>
        <w:fldChar w:fldCharType="separate"/>
      </w:r>
      <w:r w:rsidR="007E3DB6">
        <w:rPr>
          <w:noProof/>
          <w:color w:val="auto"/>
        </w:rPr>
        <w:t>on page 34</w:t>
      </w:r>
      <w:r w:rsidR="00FE70F9">
        <w:rPr>
          <w:color w:val="auto"/>
        </w:rPr>
        <w:fldChar w:fldCharType="end"/>
      </w:r>
      <w:r w:rsidRPr="001C7EB2">
        <w:rPr>
          <w:color w:val="auto"/>
        </w:rPr>
        <w:t xml:space="preserve"> below.</w:t>
      </w:r>
      <w:bookmarkEnd w:id="252"/>
    </w:p>
    <w:p w:rsidR="00542758" w:rsidRPr="00712DF2" w:rsidRDefault="00542758" w:rsidP="00542758">
      <w:pPr>
        <w:spacing w:before="120"/>
        <w:rPr>
          <w:rStyle w:val="FigureChar"/>
        </w:rPr>
      </w:pPr>
      <w:bookmarkStart w:id="253" w:name="_Toc416357915"/>
      <w:r w:rsidRPr="00712DF2">
        <w:rPr>
          <w:rStyle w:val="FigureChar"/>
        </w:rPr>
        <w:t xml:space="preserve">Figure </w:t>
      </w:r>
      <w:r w:rsidRPr="00712DF2">
        <w:rPr>
          <w:rStyle w:val="FigureChar"/>
        </w:rPr>
        <w:fldChar w:fldCharType="begin"/>
      </w:r>
      <w:r w:rsidRPr="00712DF2">
        <w:rPr>
          <w:rStyle w:val="FigureChar"/>
        </w:rPr>
        <w:instrText xml:space="preserve"> SEQ Figure \* ARABIC </w:instrText>
      </w:r>
      <w:r w:rsidRPr="00712DF2">
        <w:rPr>
          <w:rStyle w:val="FigureChar"/>
        </w:rPr>
        <w:fldChar w:fldCharType="separate"/>
      </w:r>
      <w:r w:rsidR="007E3DB6">
        <w:rPr>
          <w:rStyle w:val="FigureChar"/>
          <w:noProof/>
        </w:rPr>
        <w:t>30</w:t>
      </w:r>
      <w:r w:rsidRPr="00712DF2">
        <w:rPr>
          <w:rStyle w:val="FigureChar"/>
        </w:rPr>
        <w:fldChar w:fldCharType="end"/>
      </w:r>
      <w:bookmarkEnd w:id="246"/>
      <w:r w:rsidRPr="00712DF2">
        <w:rPr>
          <w:rStyle w:val="FigureChar"/>
        </w:rPr>
        <w:t>. Individuals in Care with Major Medical Conditions (</w:t>
      </w:r>
      <w:r w:rsidR="00F91DD5">
        <w:rPr>
          <w:rStyle w:val="FigureChar"/>
        </w:rPr>
        <w:t>FY12 ~ FY14</w:t>
      </w:r>
      <w:r w:rsidRPr="00712DF2">
        <w:rPr>
          <w:rStyle w:val="FigureChar"/>
        </w:rPr>
        <w:t>)</w:t>
      </w:r>
      <w:bookmarkEnd w:id="247"/>
      <w:bookmarkEnd w:id="248"/>
      <w:bookmarkEnd w:id="249"/>
      <w:bookmarkEnd w:id="253"/>
    </w:p>
    <w:p w:rsidR="00542758" w:rsidRDefault="00A6084F" w:rsidP="00542758">
      <w:pPr>
        <w:pStyle w:val="BodyText"/>
      </w:pPr>
      <w:r>
        <w:rPr>
          <w:noProof/>
          <w:lang w:eastAsia="en-US"/>
        </w:rPr>
        <w:drawing>
          <wp:inline distT="0" distB="0" distL="0" distR="0" wp14:anchorId="4151A7EB" wp14:editId="74A3A74D">
            <wp:extent cx="6648450" cy="264795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F91DD5" w:rsidRPr="00E269E2" w:rsidRDefault="00F91DD5" w:rsidP="00F91DD5">
      <w:pPr>
        <w:pStyle w:val="BodyText"/>
        <w:keepNext/>
        <w:spacing w:before="120"/>
        <w:ind w:left="720" w:right="-108" w:hanging="720"/>
        <w:rPr>
          <w:rStyle w:val="FigureChar"/>
        </w:rPr>
      </w:pPr>
      <w:bookmarkStart w:id="254" w:name="_Toc416357916"/>
      <w:bookmarkStart w:id="255" w:name="_Toc211072477"/>
      <w:bookmarkStart w:id="256" w:name="_Toc384134314"/>
      <w:r w:rsidRPr="00E269E2">
        <w:rPr>
          <w:rStyle w:val="FigureChar"/>
        </w:rPr>
        <w:t xml:space="preserve">Figure </w:t>
      </w:r>
      <w:r w:rsidRPr="00286D55">
        <w:rPr>
          <w:rStyle w:val="FigureChar"/>
        </w:rPr>
        <w:fldChar w:fldCharType="begin"/>
      </w:r>
      <w:r w:rsidRPr="00286D55">
        <w:rPr>
          <w:rStyle w:val="FigureChar"/>
        </w:rPr>
        <w:instrText xml:space="preserve"> SEQ Figure \* ARABIC </w:instrText>
      </w:r>
      <w:r w:rsidRPr="00286D55">
        <w:rPr>
          <w:rStyle w:val="FigureChar"/>
        </w:rPr>
        <w:fldChar w:fldCharType="separate"/>
      </w:r>
      <w:r w:rsidR="007E3DB6">
        <w:rPr>
          <w:rStyle w:val="FigureChar"/>
          <w:noProof/>
        </w:rPr>
        <w:t>31</w:t>
      </w:r>
      <w:r w:rsidRPr="00286D55">
        <w:rPr>
          <w:rStyle w:val="FigureChar"/>
        </w:rPr>
        <w:fldChar w:fldCharType="end"/>
      </w:r>
      <w:r w:rsidRPr="00E269E2">
        <w:rPr>
          <w:rStyle w:val="FigureChar"/>
        </w:rPr>
        <w:t xml:space="preserve">. </w:t>
      </w:r>
      <w:r>
        <w:rPr>
          <w:rStyle w:val="FigureChar"/>
        </w:rPr>
        <w:t>Number of Individual</w:t>
      </w:r>
      <w:r w:rsidRPr="00E269E2">
        <w:rPr>
          <w:rStyle w:val="FigureChar"/>
        </w:rPr>
        <w:t>s</w:t>
      </w:r>
      <w:r>
        <w:rPr>
          <w:rStyle w:val="FigureChar"/>
        </w:rPr>
        <w:t xml:space="preserve"> in Care by Major Medical Condition </w:t>
      </w:r>
      <w:r w:rsidRPr="00E269E2">
        <w:rPr>
          <w:rStyle w:val="FigureChar"/>
        </w:rPr>
        <w:t>(</w:t>
      </w:r>
      <w:r>
        <w:rPr>
          <w:rStyle w:val="FigureChar"/>
        </w:rPr>
        <w:t>FY14</w:t>
      </w:r>
      <w:r w:rsidRPr="00E269E2">
        <w:rPr>
          <w:rStyle w:val="FigureChar"/>
        </w:rPr>
        <w:t>)</w:t>
      </w:r>
      <w:bookmarkEnd w:id="254"/>
    </w:p>
    <w:p w:rsidR="00F91DD5" w:rsidRPr="00F91DD5" w:rsidRDefault="00F91DD5" w:rsidP="00F91DD5">
      <w:r>
        <w:rPr>
          <w:noProof/>
        </w:rPr>
        <w:drawing>
          <wp:inline distT="0" distB="0" distL="0" distR="0" wp14:anchorId="4556395F" wp14:editId="17E3C9DB">
            <wp:extent cx="6400800" cy="2543175"/>
            <wp:effectExtent l="0" t="0" r="0" b="0"/>
            <wp:docPr id="156" name="Chart 1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42758" w:rsidRPr="00D760F8" w:rsidRDefault="00542758" w:rsidP="00542758">
      <w:pPr>
        <w:pStyle w:val="Heading2"/>
      </w:pPr>
      <w:bookmarkStart w:id="257" w:name="_Toc416357875"/>
      <w:r w:rsidRPr="00D760F8">
        <w:t>Psychosocial and Environmental Factors Contributing to the Disorder (Axis IV)</w:t>
      </w:r>
      <w:bookmarkEnd w:id="255"/>
      <w:bookmarkEnd w:id="256"/>
      <w:bookmarkEnd w:id="257"/>
    </w:p>
    <w:p w:rsidR="00542758" w:rsidRPr="00264B12" w:rsidRDefault="00542758" w:rsidP="00542758">
      <w:pPr>
        <w:pStyle w:val="KeyFindings"/>
      </w:pPr>
      <w:bookmarkStart w:id="258" w:name="_Toc384134315"/>
      <w:r>
        <w:t xml:space="preserve">Of the 278 </w:t>
      </w:r>
      <w:r w:rsidR="00C62398">
        <w:t>individuals in care</w:t>
      </w:r>
      <w:r w:rsidR="00531970">
        <w:t xml:space="preserve"> as of September 30, 2014</w:t>
      </w:r>
      <w:r>
        <w:t xml:space="preserve">, 99% or 276 </w:t>
      </w:r>
      <w:r w:rsidRPr="00264B12">
        <w:t>had at least one identified psychosocial a</w:t>
      </w:r>
      <w:r>
        <w:t>nd environmental problem and 96% or 267 had more than one problem identified.</w:t>
      </w:r>
      <w:bookmarkEnd w:id="258"/>
    </w:p>
    <w:p w:rsidR="00542758" w:rsidRPr="00264B12" w:rsidRDefault="00542758" w:rsidP="00542758">
      <w:pPr>
        <w:pStyle w:val="KeyFindings"/>
      </w:pPr>
      <w:bookmarkStart w:id="259" w:name="_Toc384134316"/>
      <w:r w:rsidRPr="00264B12">
        <w:t xml:space="preserve">Problems with </w:t>
      </w:r>
      <w:r>
        <w:t>‘s</w:t>
      </w:r>
      <w:r w:rsidRPr="00264B12">
        <w:t xml:space="preserve">ocial </w:t>
      </w:r>
      <w:r>
        <w:t>e</w:t>
      </w:r>
      <w:r w:rsidRPr="00264B12">
        <w:t>nvironment</w:t>
      </w:r>
      <w:r>
        <w:t>’ (82%), ‘occupation’ (74%), ‘housing‘(74%), and ‘p</w:t>
      </w:r>
      <w:r w:rsidRPr="00264B12">
        <w:t xml:space="preserve">rimary </w:t>
      </w:r>
      <w:r>
        <w:t>s</w:t>
      </w:r>
      <w:r w:rsidRPr="00264B12">
        <w:t xml:space="preserve">upport </w:t>
      </w:r>
      <w:r>
        <w:t>g</w:t>
      </w:r>
      <w:r w:rsidRPr="00264B12">
        <w:t>roup</w:t>
      </w:r>
      <w:r>
        <w:t xml:space="preserve">’ (74%) </w:t>
      </w:r>
      <w:r w:rsidRPr="00264B12">
        <w:t xml:space="preserve">were </w:t>
      </w:r>
      <w:r>
        <w:t xml:space="preserve">identified as </w:t>
      </w:r>
      <w:r w:rsidRPr="00264B12">
        <w:t>major</w:t>
      </w:r>
      <w:r>
        <w:t xml:space="preserve"> contributing</w:t>
      </w:r>
      <w:r w:rsidRPr="00264B12">
        <w:t xml:space="preserve"> psychosocial and environmental factors.</w:t>
      </w:r>
      <w:r>
        <w:t xml:space="preserve">  Also, 61% were identified as having problems related to ‘i</w:t>
      </w:r>
      <w:r w:rsidRPr="00264B12">
        <w:t>nteraction with the legal system or crime’</w:t>
      </w:r>
      <w:bookmarkEnd w:id="259"/>
      <w:r>
        <w:t>.</w:t>
      </w:r>
    </w:p>
    <w:p w:rsidR="00542758" w:rsidRDefault="00542758" w:rsidP="00542758">
      <w:pPr>
        <w:pStyle w:val="BodyText"/>
        <w:keepNext/>
        <w:spacing w:before="120"/>
      </w:pPr>
      <w:bookmarkStart w:id="260" w:name="_Toc211072518"/>
      <w:bookmarkStart w:id="261" w:name="_Toc416357917"/>
      <w:r w:rsidRPr="00E269E2">
        <w:rPr>
          <w:rStyle w:val="FigureChar"/>
        </w:rPr>
        <w:t xml:space="preserve">Figure </w:t>
      </w:r>
      <w:r w:rsidRPr="00286D55">
        <w:rPr>
          <w:rStyle w:val="FigureChar"/>
        </w:rPr>
        <w:fldChar w:fldCharType="begin"/>
      </w:r>
      <w:r w:rsidRPr="00286D55">
        <w:rPr>
          <w:rStyle w:val="FigureChar"/>
        </w:rPr>
        <w:instrText xml:space="preserve"> SEQ Figure \* ARABIC </w:instrText>
      </w:r>
      <w:r w:rsidRPr="00286D55">
        <w:rPr>
          <w:rStyle w:val="FigureChar"/>
        </w:rPr>
        <w:fldChar w:fldCharType="separate"/>
      </w:r>
      <w:r w:rsidR="007E3DB6">
        <w:rPr>
          <w:rStyle w:val="FigureChar"/>
          <w:noProof/>
        </w:rPr>
        <w:t>32</w:t>
      </w:r>
      <w:r w:rsidRPr="00286D55">
        <w:rPr>
          <w:rStyle w:val="FigureChar"/>
        </w:rPr>
        <w:fldChar w:fldCharType="end"/>
      </w:r>
      <w:r w:rsidRPr="00E269E2">
        <w:rPr>
          <w:rStyle w:val="FigureChar"/>
        </w:rPr>
        <w:t xml:space="preserve">. </w:t>
      </w:r>
      <w:r>
        <w:rPr>
          <w:rStyle w:val="FigureChar"/>
        </w:rPr>
        <w:t>Individuals in Care</w:t>
      </w:r>
      <w:r w:rsidRPr="00E269E2">
        <w:rPr>
          <w:rStyle w:val="FigureChar"/>
        </w:rPr>
        <w:t xml:space="preserve"> with Psychosocial</w:t>
      </w:r>
      <w:r>
        <w:rPr>
          <w:rStyle w:val="FigureChar"/>
        </w:rPr>
        <w:t>/</w:t>
      </w:r>
      <w:r w:rsidRPr="00E269E2">
        <w:rPr>
          <w:rStyle w:val="FigureChar"/>
        </w:rPr>
        <w:t>Environmental Problems (</w:t>
      </w:r>
      <w:r>
        <w:rPr>
          <w:rStyle w:val="FigureChar"/>
        </w:rPr>
        <w:t>Axis I</w:t>
      </w:r>
      <w:r w:rsidRPr="00E269E2">
        <w:rPr>
          <w:rStyle w:val="FigureChar"/>
        </w:rPr>
        <w:t>V) Identified (</w:t>
      </w:r>
      <w:r>
        <w:rPr>
          <w:rStyle w:val="FigureChar"/>
        </w:rPr>
        <w:t>0</w:t>
      </w:r>
      <w:r w:rsidRPr="00E269E2">
        <w:rPr>
          <w:rStyle w:val="FigureChar"/>
        </w:rPr>
        <w:t>9/30/</w:t>
      </w:r>
      <w:r>
        <w:rPr>
          <w:rStyle w:val="FigureChar"/>
        </w:rPr>
        <w:t>14</w:t>
      </w:r>
      <w:r w:rsidRPr="00E269E2">
        <w:rPr>
          <w:rStyle w:val="FigureChar"/>
        </w:rPr>
        <w:t>)</w:t>
      </w:r>
      <w:bookmarkEnd w:id="260"/>
      <w:bookmarkEnd w:id="261"/>
    </w:p>
    <w:tbl>
      <w:tblPr>
        <w:tblpPr w:leftFromText="180" w:rightFromText="180" w:vertAnchor="text" w:horzAnchor="page" w:tblpX="5494" w:tblpY="3986"/>
        <w:tblW w:w="0" w:type="auto"/>
        <w:tblLayout w:type="fixed"/>
        <w:tblCellMar>
          <w:left w:w="72" w:type="dxa"/>
          <w:right w:w="72" w:type="dxa"/>
        </w:tblCellMar>
        <w:tblLook w:val="04A0" w:firstRow="1" w:lastRow="0" w:firstColumn="1" w:lastColumn="0" w:noHBand="0" w:noVBand="1"/>
      </w:tblPr>
      <w:tblGrid>
        <w:gridCol w:w="6102"/>
      </w:tblGrid>
      <w:tr w:rsidR="006E5C16" w:rsidTr="006E5C16">
        <w:trPr>
          <w:trHeight w:val="7290"/>
        </w:trPr>
        <w:tc>
          <w:tcPr>
            <w:tcW w:w="6102" w:type="dxa"/>
          </w:tcPr>
          <w:p w:rsidR="006E5C16" w:rsidRDefault="006E5C16" w:rsidP="006E5C16">
            <w:bookmarkStart w:id="262" w:name="_Toc416357918"/>
            <w:r w:rsidRPr="00650386">
              <w:rPr>
                <w:rStyle w:val="FigureChar"/>
              </w:rPr>
              <w:t xml:space="preserve">Figure </w:t>
            </w:r>
            <w:r w:rsidRPr="00650386">
              <w:rPr>
                <w:rStyle w:val="FigureChar"/>
              </w:rPr>
              <w:fldChar w:fldCharType="begin"/>
            </w:r>
            <w:r w:rsidRPr="00650386">
              <w:rPr>
                <w:rStyle w:val="FigureChar"/>
              </w:rPr>
              <w:instrText xml:space="preserve"> SEQ Figure \* ARABIC </w:instrText>
            </w:r>
            <w:r w:rsidRPr="00650386">
              <w:rPr>
                <w:rStyle w:val="FigureChar"/>
              </w:rPr>
              <w:fldChar w:fldCharType="separate"/>
            </w:r>
            <w:r w:rsidR="007E3DB6">
              <w:rPr>
                <w:rStyle w:val="FigureChar"/>
                <w:noProof/>
              </w:rPr>
              <w:t>33</w:t>
            </w:r>
            <w:r w:rsidRPr="00650386">
              <w:rPr>
                <w:rStyle w:val="FigureChar"/>
              </w:rPr>
              <w:fldChar w:fldCharType="end"/>
            </w:r>
            <w:r w:rsidRPr="00650386">
              <w:rPr>
                <w:rStyle w:val="FigureChar"/>
              </w:rPr>
              <w:t xml:space="preserve">. </w:t>
            </w:r>
            <w:r>
              <w:rPr>
                <w:rStyle w:val="FigureChar"/>
              </w:rPr>
              <w:t>Trend of GAF Score (09/30/10 ~ 09/30/14</w:t>
            </w:r>
            <w:r w:rsidRPr="00650386">
              <w:rPr>
                <w:rStyle w:val="FigureChar"/>
              </w:rPr>
              <w:t>)</w:t>
            </w:r>
            <w:bookmarkEnd w:id="262"/>
          </w:p>
          <w:p w:rsidR="006E5C16" w:rsidRDefault="006E5C16" w:rsidP="006E5C16">
            <w:r>
              <w:rPr>
                <w:noProof/>
              </w:rPr>
              <w:drawing>
                <wp:inline distT="0" distB="0" distL="0" distR="0" wp14:anchorId="18C38FF5" wp14:editId="217662BA">
                  <wp:extent cx="3790950" cy="3238500"/>
                  <wp:effectExtent l="0" t="0" r="19050" b="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bl>
    <w:p w:rsidR="00542758" w:rsidRDefault="00B46C0F" w:rsidP="00542758">
      <w:pPr>
        <w:pStyle w:val="BodyText"/>
      </w:pPr>
      <w:r>
        <w:rPr>
          <w:noProof/>
          <w:lang w:eastAsia="en-US"/>
        </w:rPr>
        <w:drawing>
          <wp:inline distT="0" distB="0" distL="0" distR="0" wp14:anchorId="55B6404D" wp14:editId="4BCDB5CB">
            <wp:extent cx="6686550" cy="2152650"/>
            <wp:effectExtent l="0" t="0" r="0" b="0"/>
            <wp:docPr id="161" name="Chart 1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542758" w:rsidRPr="00D760F8" w:rsidRDefault="00542758" w:rsidP="00542758">
      <w:pPr>
        <w:pStyle w:val="Heading2"/>
      </w:pPr>
      <w:bookmarkStart w:id="263" w:name="_Toc211072478"/>
      <w:bookmarkStart w:id="264" w:name="_Toc384134317"/>
      <w:bookmarkStart w:id="265" w:name="_Toc416357876"/>
      <w:r w:rsidRPr="00D760F8">
        <w:t>Global Assessment of Functioning [GAF] (Axis V)</w:t>
      </w:r>
      <w:r w:rsidRPr="008A345C">
        <w:rPr>
          <w:vertAlign w:val="superscript"/>
        </w:rPr>
        <w:footnoteReference w:id="17"/>
      </w:r>
      <w:bookmarkEnd w:id="263"/>
      <w:bookmarkEnd w:id="264"/>
      <w:bookmarkEnd w:id="265"/>
    </w:p>
    <w:p w:rsidR="006E5C16" w:rsidRDefault="0009525F" w:rsidP="00542758">
      <w:pPr>
        <w:pStyle w:val="KeyFindings"/>
      </w:pPr>
      <w:bookmarkStart w:id="266" w:name="_Toc384134318"/>
      <w:r>
        <w:t>T</w:t>
      </w:r>
      <w:r w:rsidR="00542758">
        <w:t>he proportion of individuals with their GAF score assessed to be</w:t>
      </w:r>
      <w:bookmarkEnd w:id="266"/>
      <w:r w:rsidR="00542758">
        <w:t xml:space="preserve"> 30 or below (</w:t>
      </w:r>
      <w:r w:rsidR="00542758" w:rsidRPr="006E5C16">
        <w:rPr>
          <w:i/>
        </w:rPr>
        <w:t>Major Impairment in Several Areas</w:t>
      </w:r>
      <w:bookmarkStart w:id="267" w:name="_Toc384134319"/>
      <w:r w:rsidR="00542758">
        <w:t xml:space="preserve"> or </w:t>
      </w:r>
      <w:r w:rsidR="00542758" w:rsidRPr="006E5C16">
        <w:rPr>
          <w:i/>
        </w:rPr>
        <w:t>Unable to Function in Almost All Areas</w:t>
      </w:r>
      <w:r w:rsidR="00542758">
        <w:t>) increased</w:t>
      </w:r>
      <w:r>
        <w:t xml:space="preserve"> for two consecutive years</w:t>
      </w:r>
      <w:r w:rsidR="00542758">
        <w:t xml:space="preserve">:  </w:t>
      </w:r>
      <w:r>
        <w:t xml:space="preserve">as of September 2012, </w:t>
      </w:r>
      <w:r w:rsidR="00542758">
        <w:t>this group comprised about 36% of the then patient population with a GAF score available</w:t>
      </w:r>
      <w:r>
        <w:t>.  T</w:t>
      </w:r>
      <w:r w:rsidR="00542758">
        <w:t xml:space="preserve">he percentage for the same group increased to </w:t>
      </w:r>
      <w:r>
        <w:t xml:space="preserve">39% as of September 2013 and </w:t>
      </w:r>
      <w:r w:rsidR="00542758">
        <w:t>43% as of September 2014.</w:t>
      </w:r>
      <w:r w:rsidR="00B1255A">
        <w:t xml:space="preserve">  However, for the same time period, the group of individuals assessed to be with a GAF score at 20 or lower decreased.</w:t>
      </w:r>
    </w:p>
    <w:p w:rsidR="00542758" w:rsidRDefault="00B1255A" w:rsidP="00542758">
      <w:pPr>
        <w:pStyle w:val="KeyFindings"/>
      </w:pPr>
      <w:r>
        <w:t>As</w:t>
      </w:r>
      <w:r w:rsidR="00542758">
        <w:t xml:space="preserve"> those in the lower functioning </w:t>
      </w:r>
      <w:r>
        <w:t>(with a GAF score 40 or below) increased</w:t>
      </w:r>
      <w:r w:rsidR="00542758">
        <w:t>, those with a GAF score above 50 decreased</w:t>
      </w:r>
      <w:r>
        <w:t xml:space="preserve"> and t</w:t>
      </w:r>
      <w:r w:rsidR="00542758">
        <w:t>he average GAF score (34.7) is lower than the FY13 average (35.3).</w:t>
      </w:r>
      <w:bookmarkEnd w:id="267"/>
    </w:p>
    <w:p w:rsidR="00F77503" w:rsidRDefault="00F77503" w:rsidP="00043246">
      <w:pPr>
        <w:pStyle w:val="BodyText"/>
        <w:keepNext/>
        <w:rPr>
          <w:b/>
          <w:i/>
          <w:noProof/>
          <w:snapToGrid/>
          <w:color w:val="auto"/>
          <w:sz w:val="18"/>
          <w:szCs w:val="20"/>
          <w:u w:val="single"/>
        </w:rPr>
      </w:pPr>
    </w:p>
    <w:p w:rsidR="00043246" w:rsidRDefault="00043246" w:rsidP="00043246">
      <w:pPr>
        <w:pStyle w:val="BodyText"/>
        <w:keepNext/>
      </w:pPr>
      <w:r w:rsidRPr="0007178D">
        <w:rPr>
          <w:b/>
          <w:i/>
          <w:noProof/>
          <w:snapToGrid/>
          <w:color w:val="auto"/>
          <w:sz w:val="18"/>
          <w:szCs w:val="20"/>
          <w:u w:val="single"/>
        </w:rPr>
        <w:t xml:space="preserve">Reference: </w:t>
      </w:r>
      <w:r w:rsidRPr="002E566B">
        <w:rPr>
          <w:b/>
          <w:i/>
          <w:noProof/>
          <w:snapToGrid/>
          <w:color w:val="auto"/>
          <w:sz w:val="18"/>
          <w:szCs w:val="20"/>
          <w:u w:val="single"/>
        </w:rPr>
        <w:t>GAF scale chart,</w:t>
      </w:r>
      <w:r>
        <w:rPr>
          <w:i/>
          <w:noProof/>
          <w:snapToGrid/>
          <w:color w:val="auto"/>
          <w:sz w:val="18"/>
          <w:szCs w:val="20"/>
        </w:rPr>
        <w:t xml:space="preserve"> </w:t>
      </w:r>
      <w:r w:rsidRPr="00256EA1">
        <w:rPr>
          <w:i/>
          <w:noProof/>
          <w:snapToGrid/>
          <w:color w:val="auto"/>
          <w:sz w:val="18"/>
        </w:rPr>
        <w:t>Dr. Ray Wintker of the Murfreesboro VAMC</w:t>
      </w:r>
    </w:p>
    <w:tbl>
      <w:tblPr>
        <w:tblW w:w="10095"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735"/>
        <w:gridCol w:w="4050"/>
        <w:gridCol w:w="5310"/>
      </w:tblGrid>
      <w:tr w:rsidR="00043246" w:rsidTr="00FF0168">
        <w:trPr>
          <w:trHeight w:val="54"/>
        </w:trPr>
        <w:tc>
          <w:tcPr>
            <w:tcW w:w="735" w:type="dxa"/>
            <w:shd w:val="clear" w:color="auto" w:fill="auto"/>
            <w:tcMar>
              <w:top w:w="15" w:type="dxa"/>
              <w:left w:w="15" w:type="dxa"/>
              <w:bottom w:w="0" w:type="dxa"/>
              <w:right w:w="15" w:type="dxa"/>
            </w:tcMar>
            <w:vAlign w:val="center"/>
          </w:tcPr>
          <w:p w:rsidR="00043246" w:rsidRDefault="00043246" w:rsidP="00DA588C">
            <w:pPr>
              <w:keepNext/>
              <w:jc w:val="center"/>
              <w:rPr>
                <w:rFonts w:cs="Arial"/>
                <w:b/>
                <w:bCs/>
                <w:sz w:val="18"/>
                <w:szCs w:val="18"/>
              </w:rPr>
            </w:pPr>
            <w:r>
              <w:rPr>
                <w:rFonts w:cs="Arial"/>
                <w:b/>
                <w:bCs/>
                <w:sz w:val="18"/>
                <w:szCs w:val="18"/>
              </w:rPr>
              <w:t>Domain</w:t>
            </w:r>
          </w:p>
        </w:tc>
        <w:tc>
          <w:tcPr>
            <w:tcW w:w="4050" w:type="dxa"/>
            <w:shd w:val="clear" w:color="auto" w:fill="auto"/>
            <w:tcMar>
              <w:top w:w="15" w:type="dxa"/>
              <w:left w:w="15" w:type="dxa"/>
              <w:bottom w:w="0" w:type="dxa"/>
              <w:right w:w="15" w:type="dxa"/>
            </w:tcMar>
            <w:vAlign w:val="center"/>
          </w:tcPr>
          <w:p w:rsidR="00043246" w:rsidRDefault="00043246" w:rsidP="00DA588C">
            <w:pPr>
              <w:keepNext/>
              <w:jc w:val="center"/>
              <w:rPr>
                <w:rFonts w:cs="Arial"/>
                <w:b/>
                <w:bCs/>
                <w:sz w:val="18"/>
                <w:szCs w:val="18"/>
              </w:rPr>
            </w:pPr>
            <w:r>
              <w:rPr>
                <w:rFonts w:cs="Arial"/>
                <w:b/>
                <w:bCs/>
                <w:sz w:val="18"/>
                <w:szCs w:val="18"/>
              </w:rPr>
              <w:t>Symptom Severity</w:t>
            </w:r>
          </w:p>
        </w:tc>
        <w:tc>
          <w:tcPr>
            <w:tcW w:w="5310" w:type="dxa"/>
            <w:shd w:val="clear" w:color="auto" w:fill="auto"/>
            <w:tcMar>
              <w:top w:w="15" w:type="dxa"/>
              <w:left w:w="15" w:type="dxa"/>
              <w:bottom w:w="0" w:type="dxa"/>
              <w:right w:w="15" w:type="dxa"/>
            </w:tcMar>
            <w:vAlign w:val="center"/>
          </w:tcPr>
          <w:p w:rsidR="00043246" w:rsidRDefault="00043246" w:rsidP="00DA588C">
            <w:pPr>
              <w:keepNext/>
              <w:jc w:val="center"/>
              <w:rPr>
                <w:rFonts w:cs="Arial"/>
                <w:b/>
                <w:bCs/>
                <w:sz w:val="18"/>
                <w:szCs w:val="18"/>
              </w:rPr>
            </w:pPr>
            <w:r>
              <w:rPr>
                <w:rFonts w:cs="Arial"/>
                <w:b/>
                <w:bCs/>
                <w:sz w:val="18"/>
                <w:szCs w:val="18"/>
              </w:rPr>
              <w:t>Level of Functioning</w:t>
            </w:r>
          </w:p>
        </w:tc>
      </w:tr>
      <w:tr w:rsidR="00043246" w:rsidTr="00FF0168">
        <w:trPr>
          <w:trHeight w:val="344"/>
        </w:trPr>
        <w:tc>
          <w:tcPr>
            <w:tcW w:w="735" w:type="dxa"/>
            <w:shd w:val="clear" w:color="auto" w:fill="auto"/>
            <w:tcMar>
              <w:top w:w="15" w:type="dxa"/>
              <w:left w:w="15" w:type="dxa"/>
              <w:bottom w:w="0" w:type="dxa"/>
              <w:right w:w="15" w:type="dxa"/>
            </w:tcMar>
            <w:vAlign w:val="center"/>
          </w:tcPr>
          <w:p w:rsidR="00043246" w:rsidRDefault="00043246" w:rsidP="00DA588C">
            <w:pPr>
              <w:keepNext/>
              <w:jc w:val="center"/>
              <w:rPr>
                <w:rFonts w:cs="Arial"/>
                <w:b/>
                <w:bCs/>
                <w:sz w:val="18"/>
                <w:szCs w:val="18"/>
              </w:rPr>
            </w:pPr>
            <w:r>
              <w:rPr>
                <w:rFonts w:cs="Arial"/>
                <w:b/>
                <w:bCs/>
                <w:sz w:val="18"/>
                <w:szCs w:val="18"/>
              </w:rPr>
              <w:t>1 ~ 10</w:t>
            </w:r>
          </w:p>
        </w:tc>
        <w:tc>
          <w:tcPr>
            <w:tcW w:w="4050" w:type="dxa"/>
            <w:shd w:val="clear" w:color="auto" w:fill="auto"/>
            <w:tcMar>
              <w:top w:w="15" w:type="dxa"/>
              <w:left w:w="15" w:type="dxa"/>
              <w:bottom w:w="0" w:type="dxa"/>
              <w:right w:w="15" w:type="dxa"/>
            </w:tcMar>
            <w:vAlign w:val="center"/>
          </w:tcPr>
          <w:p w:rsidR="00043246" w:rsidRDefault="00043246" w:rsidP="00DA588C">
            <w:pPr>
              <w:keepNext/>
              <w:rPr>
                <w:rFonts w:cs="Arial"/>
                <w:sz w:val="18"/>
                <w:szCs w:val="18"/>
              </w:rPr>
            </w:pPr>
            <w:r>
              <w:rPr>
                <w:rFonts w:cs="Arial"/>
                <w:sz w:val="18"/>
                <w:szCs w:val="18"/>
              </w:rPr>
              <w:t>Persistent danger of severely hurting self or others or serious suicidal act with clear expectation of death</w:t>
            </w:r>
          </w:p>
        </w:tc>
        <w:tc>
          <w:tcPr>
            <w:tcW w:w="5310" w:type="dxa"/>
            <w:shd w:val="clear" w:color="auto" w:fill="auto"/>
            <w:tcMar>
              <w:top w:w="15" w:type="dxa"/>
              <w:left w:w="15" w:type="dxa"/>
              <w:bottom w:w="0" w:type="dxa"/>
              <w:right w:w="15" w:type="dxa"/>
            </w:tcMar>
            <w:vAlign w:val="center"/>
          </w:tcPr>
          <w:p w:rsidR="00043246" w:rsidRDefault="00043246" w:rsidP="00DA588C">
            <w:pPr>
              <w:keepNext/>
              <w:rPr>
                <w:rFonts w:cs="Arial"/>
                <w:sz w:val="18"/>
                <w:szCs w:val="18"/>
              </w:rPr>
            </w:pPr>
            <w:r>
              <w:rPr>
                <w:rFonts w:cs="Arial"/>
                <w:sz w:val="18"/>
                <w:szCs w:val="18"/>
              </w:rPr>
              <w:t>Persistent inability to maintain minimal personal hygiene</w:t>
            </w:r>
          </w:p>
        </w:tc>
      </w:tr>
      <w:tr w:rsidR="00043246" w:rsidTr="00FF0168">
        <w:trPr>
          <w:trHeight w:val="164"/>
        </w:trPr>
        <w:tc>
          <w:tcPr>
            <w:tcW w:w="735" w:type="dxa"/>
            <w:shd w:val="clear" w:color="auto" w:fill="auto"/>
            <w:tcMar>
              <w:top w:w="15" w:type="dxa"/>
              <w:left w:w="15" w:type="dxa"/>
              <w:bottom w:w="0" w:type="dxa"/>
              <w:right w:w="15" w:type="dxa"/>
            </w:tcMar>
            <w:vAlign w:val="center"/>
          </w:tcPr>
          <w:p w:rsidR="00043246" w:rsidRDefault="00043246" w:rsidP="00DA588C">
            <w:pPr>
              <w:keepNext/>
              <w:jc w:val="center"/>
              <w:rPr>
                <w:rFonts w:cs="Arial"/>
                <w:b/>
                <w:bCs/>
                <w:sz w:val="18"/>
                <w:szCs w:val="18"/>
              </w:rPr>
            </w:pPr>
            <w:r>
              <w:rPr>
                <w:rFonts w:cs="Arial"/>
                <w:b/>
                <w:bCs/>
                <w:sz w:val="18"/>
                <w:szCs w:val="18"/>
              </w:rPr>
              <w:t>11 ~ 20</w:t>
            </w:r>
          </w:p>
        </w:tc>
        <w:tc>
          <w:tcPr>
            <w:tcW w:w="4050" w:type="dxa"/>
            <w:shd w:val="clear" w:color="auto" w:fill="auto"/>
            <w:tcMar>
              <w:top w:w="15" w:type="dxa"/>
              <w:left w:w="15" w:type="dxa"/>
              <w:bottom w:w="0" w:type="dxa"/>
              <w:right w:w="15" w:type="dxa"/>
            </w:tcMar>
            <w:vAlign w:val="center"/>
          </w:tcPr>
          <w:p w:rsidR="00043246" w:rsidRDefault="00043246" w:rsidP="00DA588C">
            <w:pPr>
              <w:keepNext/>
              <w:rPr>
                <w:rFonts w:cs="Arial"/>
                <w:sz w:val="18"/>
                <w:szCs w:val="18"/>
              </w:rPr>
            </w:pPr>
            <w:r>
              <w:rPr>
                <w:rFonts w:cs="Arial"/>
                <w:sz w:val="18"/>
                <w:szCs w:val="18"/>
              </w:rPr>
              <w:t>Some danger of hurting self or others or gross impairment in communication</w:t>
            </w:r>
          </w:p>
        </w:tc>
        <w:tc>
          <w:tcPr>
            <w:tcW w:w="5310" w:type="dxa"/>
            <w:shd w:val="clear" w:color="auto" w:fill="auto"/>
            <w:tcMar>
              <w:top w:w="15" w:type="dxa"/>
              <w:left w:w="15" w:type="dxa"/>
              <w:bottom w:w="0" w:type="dxa"/>
              <w:right w:w="15" w:type="dxa"/>
            </w:tcMar>
            <w:vAlign w:val="center"/>
          </w:tcPr>
          <w:p w:rsidR="00043246" w:rsidRDefault="00043246" w:rsidP="00DA588C">
            <w:pPr>
              <w:keepNext/>
              <w:rPr>
                <w:rFonts w:cs="Arial"/>
                <w:sz w:val="18"/>
                <w:szCs w:val="18"/>
              </w:rPr>
            </w:pPr>
            <w:r>
              <w:rPr>
                <w:rFonts w:cs="Arial"/>
                <w:sz w:val="18"/>
                <w:szCs w:val="18"/>
              </w:rPr>
              <w:t>Occasionally fails to maintain minimal personal hygiene</w:t>
            </w:r>
          </w:p>
        </w:tc>
      </w:tr>
      <w:tr w:rsidR="00043246" w:rsidTr="00FF0168">
        <w:trPr>
          <w:trHeight w:val="55"/>
        </w:trPr>
        <w:tc>
          <w:tcPr>
            <w:tcW w:w="735" w:type="dxa"/>
            <w:shd w:val="clear" w:color="auto" w:fill="auto"/>
            <w:tcMar>
              <w:top w:w="15" w:type="dxa"/>
              <w:left w:w="15" w:type="dxa"/>
              <w:bottom w:w="0" w:type="dxa"/>
              <w:right w:w="15" w:type="dxa"/>
            </w:tcMar>
            <w:vAlign w:val="center"/>
          </w:tcPr>
          <w:p w:rsidR="00043246" w:rsidRDefault="00043246" w:rsidP="00DA588C">
            <w:pPr>
              <w:keepNext/>
              <w:jc w:val="center"/>
              <w:rPr>
                <w:rFonts w:cs="Arial"/>
                <w:b/>
                <w:bCs/>
                <w:sz w:val="18"/>
                <w:szCs w:val="18"/>
              </w:rPr>
            </w:pPr>
            <w:r>
              <w:rPr>
                <w:rFonts w:cs="Arial"/>
                <w:b/>
                <w:bCs/>
                <w:sz w:val="18"/>
                <w:szCs w:val="18"/>
              </w:rPr>
              <w:t>21 - 30</w:t>
            </w:r>
          </w:p>
        </w:tc>
        <w:tc>
          <w:tcPr>
            <w:tcW w:w="4050" w:type="dxa"/>
            <w:shd w:val="clear" w:color="auto" w:fill="auto"/>
            <w:tcMar>
              <w:top w:w="15" w:type="dxa"/>
              <w:left w:w="15" w:type="dxa"/>
              <w:bottom w:w="0" w:type="dxa"/>
              <w:right w:w="15" w:type="dxa"/>
            </w:tcMar>
            <w:vAlign w:val="center"/>
          </w:tcPr>
          <w:p w:rsidR="00043246" w:rsidRDefault="00043246" w:rsidP="00DA588C">
            <w:pPr>
              <w:keepNext/>
              <w:rPr>
                <w:rFonts w:cs="Arial"/>
                <w:sz w:val="18"/>
                <w:szCs w:val="18"/>
              </w:rPr>
            </w:pPr>
            <w:r>
              <w:rPr>
                <w:rFonts w:cs="Arial"/>
                <w:sz w:val="18"/>
                <w:szCs w:val="18"/>
              </w:rPr>
              <w:t>Behavior is considerably influenced by delusions or serious impairment in communication or judgment</w:t>
            </w:r>
          </w:p>
        </w:tc>
        <w:tc>
          <w:tcPr>
            <w:tcW w:w="5310" w:type="dxa"/>
            <w:shd w:val="clear" w:color="auto" w:fill="auto"/>
            <w:tcMar>
              <w:top w:w="15" w:type="dxa"/>
              <w:left w:w="15" w:type="dxa"/>
              <w:bottom w:w="0" w:type="dxa"/>
              <w:right w:w="15" w:type="dxa"/>
            </w:tcMar>
            <w:vAlign w:val="center"/>
          </w:tcPr>
          <w:p w:rsidR="00043246" w:rsidRDefault="00043246" w:rsidP="00DA588C">
            <w:pPr>
              <w:keepNext/>
              <w:rPr>
                <w:rFonts w:cs="Arial"/>
                <w:sz w:val="18"/>
                <w:szCs w:val="18"/>
              </w:rPr>
            </w:pPr>
            <w:r>
              <w:rPr>
                <w:rFonts w:cs="Arial"/>
                <w:sz w:val="18"/>
                <w:szCs w:val="18"/>
              </w:rPr>
              <w:t>Inability to function in almost all areas</w:t>
            </w:r>
          </w:p>
        </w:tc>
      </w:tr>
      <w:tr w:rsidR="00043246" w:rsidTr="00FF0168">
        <w:trPr>
          <w:trHeight w:val="55"/>
        </w:trPr>
        <w:tc>
          <w:tcPr>
            <w:tcW w:w="735" w:type="dxa"/>
            <w:shd w:val="clear" w:color="auto" w:fill="auto"/>
            <w:tcMar>
              <w:top w:w="15" w:type="dxa"/>
              <w:left w:w="15" w:type="dxa"/>
              <w:bottom w:w="0" w:type="dxa"/>
              <w:right w:w="15" w:type="dxa"/>
            </w:tcMar>
            <w:vAlign w:val="center"/>
          </w:tcPr>
          <w:p w:rsidR="00043246" w:rsidRDefault="00043246" w:rsidP="00DA588C">
            <w:pPr>
              <w:keepNext/>
              <w:jc w:val="center"/>
              <w:rPr>
                <w:rFonts w:cs="Arial"/>
                <w:b/>
                <w:bCs/>
                <w:sz w:val="18"/>
                <w:szCs w:val="18"/>
              </w:rPr>
            </w:pPr>
            <w:r>
              <w:rPr>
                <w:rFonts w:cs="Arial"/>
                <w:b/>
                <w:bCs/>
                <w:sz w:val="18"/>
                <w:szCs w:val="18"/>
              </w:rPr>
              <w:t>31 - 40</w:t>
            </w:r>
          </w:p>
        </w:tc>
        <w:tc>
          <w:tcPr>
            <w:tcW w:w="4050" w:type="dxa"/>
            <w:shd w:val="clear" w:color="auto" w:fill="auto"/>
            <w:tcMar>
              <w:top w:w="15" w:type="dxa"/>
              <w:left w:w="15" w:type="dxa"/>
              <w:bottom w:w="0" w:type="dxa"/>
              <w:right w:w="15" w:type="dxa"/>
            </w:tcMar>
            <w:vAlign w:val="center"/>
          </w:tcPr>
          <w:p w:rsidR="00043246" w:rsidRDefault="00043246" w:rsidP="00DA588C">
            <w:pPr>
              <w:keepNext/>
              <w:rPr>
                <w:rFonts w:cs="Arial"/>
                <w:sz w:val="18"/>
                <w:szCs w:val="18"/>
              </w:rPr>
            </w:pPr>
            <w:r>
              <w:rPr>
                <w:rFonts w:cs="Arial"/>
                <w:sz w:val="18"/>
                <w:szCs w:val="18"/>
              </w:rPr>
              <w:t>Some impairment in reality testing or communication</w:t>
            </w:r>
          </w:p>
        </w:tc>
        <w:tc>
          <w:tcPr>
            <w:tcW w:w="5310" w:type="dxa"/>
            <w:shd w:val="clear" w:color="auto" w:fill="auto"/>
            <w:tcMar>
              <w:top w:w="15" w:type="dxa"/>
              <w:left w:w="15" w:type="dxa"/>
              <w:bottom w:w="0" w:type="dxa"/>
              <w:right w:w="15" w:type="dxa"/>
            </w:tcMar>
            <w:vAlign w:val="center"/>
          </w:tcPr>
          <w:p w:rsidR="00043246" w:rsidRDefault="00043246" w:rsidP="00DA588C">
            <w:pPr>
              <w:keepNext/>
              <w:rPr>
                <w:rFonts w:cs="Arial"/>
                <w:sz w:val="18"/>
                <w:szCs w:val="18"/>
              </w:rPr>
            </w:pPr>
            <w:r>
              <w:rPr>
                <w:rFonts w:cs="Arial"/>
                <w:sz w:val="18"/>
                <w:szCs w:val="18"/>
              </w:rPr>
              <w:t>Major impairment in several areas, such as work or school, family relations, judgment, thinking, or mood</w:t>
            </w:r>
          </w:p>
        </w:tc>
      </w:tr>
      <w:tr w:rsidR="00043246" w:rsidTr="00FF0168">
        <w:trPr>
          <w:trHeight w:val="55"/>
        </w:trPr>
        <w:tc>
          <w:tcPr>
            <w:tcW w:w="735" w:type="dxa"/>
            <w:shd w:val="clear" w:color="auto" w:fill="auto"/>
            <w:tcMar>
              <w:top w:w="15" w:type="dxa"/>
              <w:left w:w="15" w:type="dxa"/>
              <w:bottom w:w="0" w:type="dxa"/>
              <w:right w:w="15" w:type="dxa"/>
            </w:tcMar>
            <w:vAlign w:val="center"/>
          </w:tcPr>
          <w:p w:rsidR="00043246" w:rsidRDefault="00043246" w:rsidP="00DA588C">
            <w:pPr>
              <w:keepNext/>
              <w:jc w:val="center"/>
              <w:rPr>
                <w:rFonts w:cs="Arial"/>
                <w:b/>
                <w:bCs/>
                <w:sz w:val="18"/>
                <w:szCs w:val="18"/>
              </w:rPr>
            </w:pPr>
            <w:r>
              <w:rPr>
                <w:rFonts w:cs="Arial"/>
                <w:b/>
                <w:bCs/>
                <w:sz w:val="18"/>
                <w:szCs w:val="18"/>
              </w:rPr>
              <w:t>41 - 50</w:t>
            </w:r>
          </w:p>
        </w:tc>
        <w:tc>
          <w:tcPr>
            <w:tcW w:w="4050" w:type="dxa"/>
            <w:shd w:val="clear" w:color="auto" w:fill="auto"/>
            <w:tcMar>
              <w:top w:w="15" w:type="dxa"/>
              <w:left w:w="15" w:type="dxa"/>
              <w:bottom w:w="0" w:type="dxa"/>
              <w:right w:w="15" w:type="dxa"/>
            </w:tcMar>
            <w:vAlign w:val="center"/>
          </w:tcPr>
          <w:p w:rsidR="00043246" w:rsidRDefault="00043246" w:rsidP="00DA588C">
            <w:pPr>
              <w:keepNext/>
              <w:rPr>
                <w:rFonts w:cs="Arial"/>
                <w:sz w:val="18"/>
                <w:szCs w:val="18"/>
              </w:rPr>
            </w:pPr>
            <w:r>
              <w:rPr>
                <w:rFonts w:cs="Arial"/>
                <w:sz w:val="18"/>
                <w:szCs w:val="18"/>
              </w:rPr>
              <w:t>Serious symptoms</w:t>
            </w:r>
          </w:p>
        </w:tc>
        <w:tc>
          <w:tcPr>
            <w:tcW w:w="5310" w:type="dxa"/>
            <w:shd w:val="clear" w:color="auto" w:fill="auto"/>
            <w:tcMar>
              <w:top w:w="15" w:type="dxa"/>
              <w:left w:w="15" w:type="dxa"/>
              <w:bottom w:w="0" w:type="dxa"/>
              <w:right w:w="15" w:type="dxa"/>
            </w:tcMar>
            <w:vAlign w:val="center"/>
          </w:tcPr>
          <w:p w:rsidR="00043246" w:rsidRDefault="00043246" w:rsidP="00DA588C">
            <w:pPr>
              <w:keepNext/>
              <w:rPr>
                <w:rFonts w:cs="Arial"/>
                <w:sz w:val="18"/>
                <w:szCs w:val="18"/>
              </w:rPr>
            </w:pPr>
            <w:r>
              <w:rPr>
                <w:rFonts w:cs="Arial"/>
                <w:sz w:val="18"/>
                <w:szCs w:val="18"/>
              </w:rPr>
              <w:t>Any serious impairment in social, occupational, or school functioning</w:t>
            </w:r>
          </w:p>
        </w:tc>
      </w:tr>
      <w:tr w:rsidR="00043246" w:rsidTr="00FF0168">
        <w:trPr>
          <w:trHeight w:val="92"/>
        </w:trPr>
        <w:tc>
          <w:tcPr>
            <w:tcW w:w="735" w:type="dxa"/>
            <w:shd w:val="clear" w:color="auto" w:fill="auto"/>
            <w:tcMar>
              <w:top w:w="15" w:type="dxa"/>
              <w:left w:w="15" w:type="dxa"/>
              <w:bottom w:w="0" w:type="dxa"/>
              <w:right w:w="15" w:type="dxa"/>
            </w:tcMar>
            <w:vAlign w:val="center"/>
          </w:tcPr>
          <w:p w:rsidR="00043246" w:rsidRDefault="00043246" w:rsidP="00DA588C">
            <w:pPr>
              <w:keepNext/>
              <w:jc w:val="center"/>
              <w:rPr>
                <w:rFonts w:cs="Arial"/>
                <w:b/>
                <w:bCs/>
                <w:sz w:val="18"/>
                <w:szCs w:val="18"/>
              </w:rPr>
            </w:pPr>
            <w:r>
              <w:rPr>
                <w:rFonts w:cs="Arial"/>
                <w:b/>
                <w:bCs/>
                <w:sz w:val="18"/>
                <w:szCs w:val="18"/>
              </w:rPr>
              <w:t>51 - 60</w:t>
            </w:r>
          </w:p>
        </w:tc>
        <w:tc>
          <w:tcPr>
            <w:tcW w:w="4050" w:type="dxa"/>
            <w:shd w:val="clear" w:color="auto" w:fill="auto"/>
            <w:tcMar>
              <w:top w:w="15" w:type="dxa"/>
              <w:left w:w="15" w:type="dxa"/>
              <w:bottom w:w="0" w:type="dxa"/>
              <w:right w:w="15" w:type="dxa"/>
            </w:tcMar>
            <w:vAlign w:val="center"/>
          </w:tcPr>
          <w:p w:rsidR="00043246" w:rsidRDefault="00043246" w:rsidP="00DA588C">
            <w:pPr>
              <w:keepNext/>
              <w:rPr>
                <w:rFonts w:cs="Arial"/>
                <w:sz w:val="18"/>
                <w:szCs w:val="18"/>
              </w:rPr>
            </w:pPr>
            <w:r>
              <w:rPr>
                <w:rFonts w:cs="Arial"/>
                <w:sz w:val="18"/>
                <w:szCs w:val="18"/>
              </w:rPr>
              <w:t>Moderate symptoms</w:t>
            </w:r>
          </w:p>
        </w:tc>
        <w:tc>
          <w:tcPr>
            <w:tcW w:w="5310" w:type="dxa"/>
            <w:shd w:val="clear" w:color="auto" w:fill="auto"/>
            <w:tcMar>
              <w:top w:w="15" w:type="dxa"/>
              <w:left w:w="15" w:type="dxa"/>
              <w:bottom w:w="0" w:type="dxa"/>
              <w:right w:w="15" w:type="dxa"/>
            </w:tcMar>
            <w:vAlign w:val="center"/>
          </w:tcPr>
          <w:p w:rsidR="00043246" w:rsidRDefault="00043246" w:rsidP="00DA588C">
            <w:pPr>
              <w:keepNext/>
              <w:rPr>
                <w:rFonts w:cs="Arial"/>
                <w:sz w:val="18"/>
                <w:szCs w:val="18"/>
              </w:rPr>
            </w:pPr>
            <w:r>
              <w:rPr>
                <w:rFonts w:cs="Arial"/>
                <w:sz w:val="18"/>
                <w:szCs w:val="18"/>
              </w:rPr>
              <w:t>Moderate difficulty in social, occupational, or school functioning</w:t>
            </w:r>
          </w:p>
        </w:tc>
      </w:tr>
      <w:tr w:rsidR="00043246" w:rsidTr="00FF0168">
        <w:trPr>
          <w:trHeight w:val="615"/>
        </w:trPr>
        <w:tc>
          <w:tcPr>
            <w:tcW w:w="735" w:type="dxa"/>
            <w:shd w:val="clear" w:color="auto" w:fill="auto"/>
            <w:tcMar>
              <w:top w:w="15" w:type="dxa"/>
              <w:left w:w="15" w:type="dxa"/>
              <w:bottom w:w="0" w:type="dxa"/>
              <w:right w:w="15" w:type="dxa"/>
            </w:tcMar>
            <w:vAlign w:val="center"/>
          </w:tcPr>
          <w:p w:rsidR="00043246" w:rsidRDefault="00043246" w:rsidP="00DA588C">
            <w:pPr>
              <w:keepNext/>
              <w:jc w:val="center"/>
              <w:rPr>
                <w:rFonts w:cs="Arial"/>
                <w:b/>
                <w:bCs/>
                <w:sz w:val="18"/>
                <w:szCs w:val="18"/>
              </w:rPr>
            </w:pPr>
            <w:r>
              <w:rPr>
                <w:rFonts w:cs="Arial"/>
                <w:b/>
                <w:bCs/>
                <w:sz w:val="18"/>
                <w:szCs w:val="18"/>
              </w:rPr>
              <w:t>61 - 70</w:t>
            </w:r>
          </w:p>
        </w:tc>
        <w:tc>
          <w:tcPr>
            <w:tcW w:w="4050" w:type="dxa"/>
            <w:shd w:val="clear" w:color="auto" w:fill="auto"/>
            <w:tcMar>
              <w:top w:w="15" w:type="dxa"/>
              <w:left w:w="15" w:type="dxa"/>
              <w:bottom w:w="0" w:type="dxa"/>
              <w:right w:w="15" w:type="dxa"/>
            </w:tcMar>
            <w:vAlign w:val="center"/>
          </w:tcPr>
          <w:p w:rsidR="00043246" w:rsidRDefault="00043246" w:rsidP="00DA588C">
            <w:pPr>
              <w:keepNext/>
              <w:rPr>
                <w:rFonts w:cs="Arial"/>
                <w:sz w:val="18"/>
                <w:szCs w:val="18"/>
              </w:rPr>
            </w:pPr>
            <w:r>
              <w:rPr>
                <w:rFonts w:cs="Arial"/>
                <w:sz w:val="18"/>
                <w:szCs w:val="18"/>
              </w:rPr>
              <w:t xml:space="preserve">Some mild symptoms </w:t>
            </w:r>
          </w:p>
        </w:tc>
        <w:tc>
          <w:tcPr>
            <w:tcW w:w="5310" w:type="dxa"/>
            <w:shd w:val="clear" w:color="auto" w:fill="auto"/>
            <w:tcMar>
              <w:top w:w="15" w:type="dxa"/>
              <w:left w:w="15" w:type="dxa"/>
              <w:bottom w:w="0" w:type="dxa"/>
              <w:right w:w="15" w:type="dxa"/>
            </w:tcMar>
            <w:vAlign w:val="center"/>
          </w:tcPr>
          <w:p w:rsidR="00043246" w:rsidRDefault="00043246" w:rsidP="00DA588C">
            <w:pPr>
              <w:keepNext/>
              <w:rPr>
                <w:rFonts w:cs="Arial"/>
                <w:sz w:val="18"/>
                <w:szCs w:val="18"/>
              </w:rPr>
            </w:pPr>
            <w:r>
              <w:rPr>
                <w:rFonts w:cs="Arial"/>
                <w:sz w:val="18"/>
                <w:szCs w:val="18"/>
              </w:rPr>
              <w:t>Some difficulty in social or occupational functioning, but generally functioning pretty well, has some meaningful interpersonal relationships.</w:t>
            </w:r>
          </w:p>
        </w:tc>
      </w:tr>
      <w:tr w:rsidR="00043246" w:rsidTr="00FF0168">
        <w:trPr>
          <w:trHeight w:val="65"/>
        </w:trPr>
        <w:tc>
          <w:tcPr>
            <w:tcW w:w="735" w:type="dxa"/>
            <w:shd w:val="clear" w:color="auto" w:fill="auto"/>
            <w:tcMar>
              <w:top w:w="15" w:type="dxa"/>
              <w:left w:w="15" w:type="dxa"/>
              <w:bottom w:w="0" w:type="dxa"/>
              <w:right w:w="15" w:type="dxa"/>
            </w:tcMar>
            <w:vAlign w:val="center"/>
          </w:tcPr>
          <w:p w:rsidR="00043246" w:rsidRDefault="00043246" w:rsidP="00DA588C">
            <w:pPr>
              <w:keepNext/>
              <w:jc w:val="center"/>
              <w:rPr>
                <w:rFonts w:cs="Arial"/>
                <w:b/>
                <w:bCs/>
                <w:sz w:val="18"/>
                <w:szCs w:val="18"/>
              </w:rPr>
            </w:pPr>
            <w:r>
              <w:rPr>
                <w:rFonts w:cs="Arial"/>
                <w:b/>
                <w:bCs/>
                <w:sz w:val="18"/>
                <w:szCs w:val="18"/>
              </w:rPr>
              <w:t>71 - 80</w:t>
            </w:r>
          </w:p>
        </w:tc>
        <w:tc>
          <w:tcPr>
            <w:tcW w:w="4050" w:type="dxa"/>
            <w:shd w:val="clear" w:color="auto" w:fill="auto"/>
            <w:tcMar>
              <w:top w:w="15" w:type="dxa"/>
              <w:left w:w="15" w:type="dxa"/>
              <w:bottom w:w="0" w:type="dxa"/>
              <w:right w:w="15" w:type="dxa"/>
            </w:tcMar>
            <w:vAlign w:val="center"/>
          </w:tcPr>
          <w:p w:rsidR="00043246" w:rsidRDefault="00043246" w:rsidP="00DA588C">
            <w:pPr>
              <w:keepNext/>
              <w:rPr>
                <w:rFonts w:cs="Arial"/>
                <w:sz w:val="18"/>
                <w:szCs w:val="18"/>
              </w:rPr>
            </w:pPr>
            <w:r>
              <w:rPr>
                <w:rFonts w:cs="Arial"/>
                <w:sz w:val="18"/>
                <w:szCs w:val="18"/>
              </w:rPr>
              <w:t>If symptoms are present, they are transient and expectable reactions to psychosocial stressors</w:t>
            </w:r>
          </w:p>
        </w:tc>
        <w:tc>
          <w:tcPr>
            <w:tcW w:w="5310" w:type="dxa"/>
            <w:shd w:val="clear" w:color="auto" w:fill="auto"/>
            <w:tcMar>
              <w:top w:w="15" w:type="dxa"/>
              <w:left w:w="15" w:type="dxa"/>
              <w:bottom w:w="0" w:type="dxa"/>
              <w:right w:w="15" w:type="dxa"/>
            </w:tcMar>
            <w:vAlign w:val="center"/>
          </w:tcPr>
          <w:p w:rsidR="00043246" w:rsidRDefault="00043246" w:rsidP="00DA588C">
            <w:pPr>
              <w:keepNext/>
              <w:rPr>
                <w:rFonts w:cs="Arial"/>
                <w:sz w:val="18"/>
                <w:szCs w:val="18"/>
              </w:rPr>
            </w:pPr>
            <w:r>
              <w:rPr>
                <w:rFonts w:cs="Arial"/>
                <w:sz w:val="18"/>
                <w:szCs w:val="18"/>
              </w:rPr>
              <w:t>No more than slight impairment in social, occupational, or school functioning</w:t>
            </w:r>
          </w:p>
        </w:tc>
      </w:tr>
      <w:tr w:rsidR="00043246" w:rsidTr="00FF0168">
        <w:trPr>
          <w:trHeight w:val="55"/>
        </w:trPr>
        <w:tc>
          <w:tcPr>
            <w:tcW w:w="735" w:type="dxa"/>
            <w:shd w:val="clear" w:color="auto" w:fill="auto"/>
            <w:tcMar>
              <w:top w:w="15" w:type="dxa"/>
              <w:left w:w="15" w:type="dxa"/>
              <w:bottom w:w="0" w:type="dxa"/>
              <w:right w:w="15" w:type="dxa"/>
            </w:tcMar>
            <w:vAlign w:val="center"/>
          </w:tcPr>
          <w:p w:rsidR="00043246" w:rsidRDefault="00043246" w:rsidP="00DA588C">
            <w:pPr>
              <w:keepNext/>
              <w:jc w:val="center"/>
              <w:rPr>
                <w:rFonts w:cs="Arial"/>
                <w:b/>
                <w:bCs/>
                <w:sz w:val="18"/>
                <w:szCs w:val="18"/>
              </w:rPr>
            </w:pPr>
            <w:r>
              <w:rPr>
                <w:rFonts w:cs="Arial"/>
                <w:b/>
                <w:bCs/>
                <w:sz w:val="18"/>
                <w:szCs w:val="18"/>
              </w:rPr>
              <w:t>81 - 90</w:t>
            </w:r>
          </w:p>
        </w:tc>
        <w:tc>
          <w:tcPr>
            <w:tcW w:w="4050" w:type="dxa"/>
            <w:shd w:val="clear" w:color="auto" w:fill="auto"/>
            <w:tcMar>
              <w:top w:w="15" w:type="dxa"/>
              <w:left w:w="15" w:type="dxa"/>
              <w:bottom w:w="0" w:type="dxa"/>
              <w:right w:w="15" w:type="dxa"/>
            </w:tcMar>
            <w:vAlign w:val="center"/>
          </w:tcPr>
          <w:p w:rsidR="00043246" w:rsidRDefault="00043246" w:rsidP="00DA588C">
            <w:pPr>
              <w:keepNext/>
              <w:rPr>
                <w:rFonts w:cs="Arial"/>
                <w:sz w:val="18"/>
                <w:szCs w:val="18"/>
              </w:rPr>
            </w:pPr>
            <w:r>
              <w:rPr>
                <w:rFonts w:cs="Arial"/>
                <w:sz w:val="18"/>
                <w:szCs w:val="18"/>
              </w:rPr>
              <w:t>Absent or minimal symptoms, Generally satisfied with life. No more than everyday problems or concerns.</w:t>
            </w:r>
          </w:p>
        </w:tc>
        <w:tc>
          <w:tcPr>
            <w:tcW w:w="5310" w:type="dxa"/>
            <w:shd w:val="clear" w:color="auto" w:fill="auto"/>
            <w:tcMar>
              <w:top w:w="15" w:type="dxa"/>
              <w:left w:w="15" w:type="dxa"/>
              <w:bottom w:w="0" w:type="dxa"/>
              <w:right w:w="15" w:type="dxa"/>
            </w:tcMar>
            <w:vAlign w:val="center"/>
          </w:tcPr>
          <w:p w:rsidR="00043246" w:rsidRDefault="00043246" w:rsidP="00DA588C">
            <w:pPr>
              <w:keepNext/>
              <w:rPr>
                <w:rFonts w:cs="Arial"/>
                <w:sz w:val="18"/>
                <w:szCs w:val="18"/>
              </w:rPr>
            </w:pPr>
            <w:r>
              <w:rPr>
                <w:rFonts w:cs="Arial"/>
                <w:sz w:val="18"/>
                <w:szCs w:val="18"/>
              </w:rPr>
              <w:t>Good functioning in all areas, interested and involved in a wide range of activities, socially effective,</w:t>
            </w:r>
          </w:p>
        </w:tc>
      </w:tr>
      <w:tr w:rsidR="00043246" w:rsidTr="00FF0168">
        <w:trPr>
          <w:trHeight w:val="119"/>
        </w:trPr>
        <w:tc>
          <w:tcPr>
            <w:tcW w:w="735" w:type="dxa"/>
            <w:shd w:val="clear" w:color="auto" w:fill="auto"/>
            <w:tcMar>
              <w:top w:w="15" w:type="dxa"/>
              <w:left w:w="15" w:type="dxa"/>
              <w:bottom w:w="0" w:type="dxa"/>
              <w:right w:w="15" w:type="dxa"/>
            </w:tcMar>
            <w:vAlign w:val="center"/>
          </w:tcPr>
          <w:p w:rsidR="00043246" w:rsidRDefault="00043246" w:rsidP="00DA588C">
            <w:pPr>
              <w:jc w:val="center"/>
              <w:rPr>
                <w:rFonts w:cs="Arial"/>
                <w:b/>
                <w:bCs/>
                <w:sz w:val="18"/>
                <w:szCs w:val="18"/>
              </w:rPr>
            </w:pPr>
            <w:r>
              <w:rPr>
                <w:rFonts w:cs="Arial"/>
                <w:b/>
                <w:bCs/>
                <w:sz w:val="18"/>
                <w:szCs w:val="18"/>
              </w:rPr>
              <w:t>91 - 100</w:t>
            </w:r>
          </w:p>
        </w:tc>
        <w:tc>
          <w:tcPr>
            <w:tcW w:w="4050" w:type="dxa"/>
            <w:shd w:val="clear" w:color="auto" w:fill="auto"/>
            <w:tcMar>
              <w:top w:w="15" w:type="dxa"/>
              <w:left w:w="15" w:type="dxa"/>
              <w:bottom w:w="0" w:type="dxa"/>
              <w:right w:w="15" w:type="dxa"/>
            </w:tcMar>
            <w:vAlign w:val="center"/>
          </w:tcPr>
          <w:p w:rsidR="00043246" w:rsidRDefault="00043246" w:rsidP="00DA588C">
            <w:pPr>
              <w:rPr>
                <w:rFonts w:cs="Arial"/>
                <w:sz w:val="18"/>
                <w:szCs w:val="18"/>
              </w:rPr>
            </w:pPr>
            <w:r>
              <w:rPr>
                <w:rFonts w:cs="Arial"/>
                <w:sz w:val="18"/>
                <w:szCs w:val="18"/>
              </w:rPr>
              <w:t>No symptoms</w:t>
            </w:r>
          </w:p>
        </w:tc>
        <w:tc>
          <w:tcPr>
            <w:tcW w:w="5310" w:type="dxa"/>
            <w:shd w:val="clear" w:color="auto" w:fill="auto"/>
            <w:tcMar>
              <w:top w:w="15" w:type="dxa"/>
              <w:left w:w="15" w:type="dxa"/>
              <w:bottom w:w="0" w:type="dxa"/>
              <w:right w:w="15" w:type="dxa"/>
            </w:tcMar>
            <w:vAlign w:val="center"/>
          </w:tcPr>
          <w:p w:rsidR="00043246" w:rsidRDefault="00043246" w:rsidP="00DA588C">
            <w:pPr>
              <w:rPr>
                <w:rFonts w:cs="Arial"/>
                <w:sz w:val="18"/>
                <w:szCs w:val="18"/>
              </w:rPr>
            </w:pPr>
            <w:r>
              <w:rPr>
                <w:rFonts w:cs="Arial"/>
                <w:sz w:val="18"/>
                <w:szCs w:val="18"/>
              </w:rPr>
              <w:t>Superior functioning</w:t>
            </w:r>
          </w:p>
        </w:tc>
      </w:tr>
    </w:tbl>
    <w:tbl>
      <w:tblPr>
        <w:tblpPr w:leftFromText="180" w:rightFromText="180" w:vertAnchor="text" w:horzAnchor="page" w:tblpX="4798" w:tblpY="189"/>
        <w:tblW w:w="0" w:type="auto"/>
        <w:tblLayout w:type="fixed"/>
        <w:tblLook w:val="04A0" w:firstRow="1" w:lastRow="0" w:firstColumn="1" w:lastColumn="0" w:noHBand="0" w:noVBand="1"/>
      </w:tblPr>
      <w:tblGrid>
        <w:gridCol w:w="7038"/>
      </w:tblGrid>
      <w:tr w:rsidR="00EE7B68" w:rsidTr="00180180">
        <w:tc>
          <w:tcPr>
            <w:tcW w:w="7038" w:type="dxa"/>
          </w:tcPr>
          <w:p w:rsidR="00EE7B68" w:rsidRDefault="00EE7B68" w:rsidP="00EE7B68">
            <w:pPr>
              <w:spacing w:before="120"/>
              <w:ind w:left="900" w:hanging="900"/>
            </w:pPr>
            <w:bookmarkStart w:id="268" w:name="_Toc416357919"/>
            <w:r w:rsidRPr="00650386">
              <w:rPr>
                <w:rStyle w:val="FigureChar"/>
              </w:rPr>
              <w:t xml:space="preserve">Figure </w:t>
            </w:r>
            <w:r w:rsidRPr="00650386">
              <w:rPr>
                <w:rStyle w:val="FigureChar"/>
              </w:rPr>
              <w:fldChar w:fldCharType="begin"/>
            </w:r>
            <w:r w:rsidRPr="00650386">
              <w:rPr>
                <w:rStyle w:val="FigureChar"/>
              </w:rPr>
              <w:instrText xml:space="preserve"> SEQ Figure \* ARABIC </w:instrText>
            </w:r>
            <w:r w:rsidRPr="00650386">
              <w:rPr>
                <w:rStyle w:val="FigureChar"/>
              </w:rPr>
              <w:fldChar w:fldCharType="separate"/>
            </w:r>
            <w:r w:rsidR="007E3DB6">
              <w:rPr>
                <w:rStyle w:val="FigureChar"/>
                <w:noProof/>
              </w:rPr>
              <w:t>34</w:t>
            </w:r>
            <w:r w:rsidRPr="00650386">
              <w:rPr>
                <w:rStyle w:val="FigureChar"/>
              </w:rPr>
              <w:fldChar w:fldCharType="end"/>
            </w:r>
            <w:r w:rsidRPr="00650386">
              <w:rPr>
                <w:rStyle w:val="FigureChar"/>
              </w:rPr>
              <w:t xml:space="preserve">. </w:t>
            </w:r>
            <w:r>
              <w:rPr>
                <w:rStyle w:val="FigureChar"/>
              </w:rPr>
              <w:t>Distribution of Individuals in Care by BMI and Obesity Population (09/03/</w:t>
            </w:r>
            <w:r w:rsidR="00180180">
              <w:rPr>
                <w:rStyle w:val="FigureChar"/>
              </w:rPr>
              <w:t>10</w:t>
            </w:r>
            <w:r>
              <w:rPr>
                <w:rStyle w:val="FigureChar"/>
              </w:rPr>
              <w:t xml:space="preserve"> ~ 9/30/1</w:t>
            </w:r>
            <w:r w:rsidR="00180180">
              <w:rPr>
                <w:rStyle w:val="FigureChar"/>
              </w:rPr>
              <w:t>4</w:t>
            </w:r>
            <w:r w:rsidRPr="00650386">
              <w:rPr>
                <w:rStyle w:val="FigureChar"/>
              </w:rPr>
              <w:t>)</w:t>
            </w:r>
            <w:bookmarkEnd w:id="268"/>
          </w:p>
          <w:p w:rsidR="00EE7B68" w:rsidRPr="006B0E9F" w:rsidRDefault="00180180" w:rsidP="00EE7B68">
            <w:pPr>
              <w:pStyle w:val="BodyText"/>
            </w:pPr>
            <w:r>
              <w:rPr>
                <w:noProof/>
                <w:lang w:eastAsia="en-US"/>
              </w:rPr>
              <w:drawing>
                <wp:inline distT="0" distB="0" distL="0" distR="0" wp14:anchorId="2DC41533" wp14:editId="566E00F2">
                  <wp:extent cx="4362450" cy="3609975"/>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EE7B68" w:rsidRDefault="00EE7B68" w:rsidP="00EE7B68"/>
        </w:tc>
      </w:tr>
    </w:tbl>
    <w:p w:rsidR="00043246" w:rsidRPr="00D760F8" w:rsidRDefault="005F25F2" w:rsidP="003F18B1">
      <w:pPr>
        <w:pStyle w:val="Heading2"/>
      </w:pPr>
      <w:bookmarkStart w:id="269" w:name="_Ref246671908"/>
      <w:bookmarkStart w:id="270" w:name="_Ref246671982"/>
      <w:bookmarkStart w:id="271" w:name="_Toc384134321"/>
      <w:bookmarkStart w:id="272" w:name="_Toc416357877"/>
      <w:r>
        <w:t>Weight Gain</w:t>
      </w:r>
      <w:r w:rsidR="00043246">
        <w:t xml:space="preserve"> and Obesity</w:t>
      </w:r>
      <w:bookmarkEnd w:id="269"/>
      <w:bookmarkEnd w:id="270"/>
      <w:bookmarkEnd w:id="271"/>
      <w:bookmarkEnd w:id="272"/>
    </w:p>
    <w:p w:rsidR="00043246" w:rsidRDefault="00EE7B68" w:rsidP="00A80446">
      <w:pPr>
        <w:pStyle w:val="KeyFindings"/>
      </w:pPr>
      <w:bookmarkStart w:id="273" w:name="_Toc384134322"/>
      <w:r>
        <w:t>Out of 27</w:t>
      </w:r>
      <w:r w:rsidR="001E4CFF">
        <w:t>8</w:t>
      </w:r>
      <w:r>
        <w:t xml:space="preserve"> individuals remaining in care as of September 30, 201</w:t>
      </w:r>
      <w:r w:rsidR="001E4CFF">
        <w:t>4</w:t>
      </w:r>
      <w:r>
        <w:t>, 2</w:t>
      </w:r>
      <w:r w:rsidR="001E4CFF">
        <w:t>70</w:t>
      </w:r>
      <w:r>
        <w:t xml:space="preserve"> or 97% had their w</w:t>
      </w:r>
      <w:r w:rsidR="00043246" w:rsidRPr="00264B12">
        <w:t>eight and height information</w:t>
      </w:r>
      <w:r>
        <w:t xml:space="preserve"> available</w:t>
      </w:r>
      <w:r w:rsidR="00043246" w:rsidRPr="00264B12">
        <w:t xml:space="preserve"> </w:t>
      </w:r>
      <w:r w:rsidR="00DC5CA2">
        <w:t xml:space="preserve">from the vital sign records </w:t>
      </w:r>
      <w:r w:rsidR="00055A32">
        <w:t>and/</w:t>
      </w:r>
      <w:r w:rsidR="00DC5CA2">
        <w:t>or</w:t>
      </w:r>
      <w:r w:rsidR="00043246">
        <w:t xml:space="preserve"> the most recent </w:t>
      </w:r>
      <w:r w:rsidR="00043246" w:rsidRPr="002622B5">
        <w:rPr>
          <w:i/>
        </w:rPr>
        <w:t xml:space="preserve">History </w:t>
      </w:r>
      <w:r w:rsidR="00055A32">
        <w:rPr>
          <w:i/>
        </w:rPr>
        <w:t>and</w:t>
      </w:r>
      <w:r w:rsidR="00043246" w:rsidRPr="002622B5">
        <w:rPr>
          <w:i/>
        </w:rPr>
        <w:t xml:space="preserve"> Physical Assessment</w:t>
      </w:r>
      <w:r w:rsidR="00043246">
        <w:t xml:space="preserve"> </w:t>
      </w:r>
      <w:r w:rsidR="008C2245">
        <w:t>in</w:t>
      </w:r>
      <w:r w:rsidR="00043246">
        <w:t xml:space="preserve"> </w:t>
      </w:r>
      <w:r w:rsidR="00043246" w:rsidRPr="00264B12">
        <w:t>A</w:t>
      </w:r>
      <w:r w:rsidR="00DC5CA2">
        <w:t>vatar</w:t>
      </w:r>
      <w:r>
        <w:t>.</w:t>
      </w:r>
      <w:r w:rsidR="00043246" w:rsidRPr="00264B12">
        <w:t xml:space="preserve"> </w:t>
      </w:r>
      <w:bookmarkEnd w:id="273"/>
    </w:p>
    <w:p w:rsidR="00DC5CA2" w:rsidRDefault="00EE7B68" w:rsidP="00A80446">
      <w:pPr>
        <w:pStyle w:val="KeyFindings"/>
      </w:pPr>
      <w:bookmarkStart w:id="274" w:name="_Toc384134323"/>
      <w:r>
        <w:t xml:space="preserve">Of </w:t>
      </w:r>
      <w:r w:rsidR="00A11341">
        <w:t>th</w:t>
      </w:r>
      <w:r>
        <w:t>ose</w:t>
      </w:r>
      <w:r w:rsidR="00A11341">
        <w:t xml:space="preserve"> 2</w:t>
      </w:r>
      <w:r w:rsidR="001E4CFF">
        <w:t>70</w:t>
      </w:r>
      <w:r w:rsidR="00A11341">
        <w:t xml:space="preserve"> individuals</w:t>
      </w:r>
      <w:r w:rsidR="00055A32">
        <w:t xml:space="preserve"> with weight and height data available</w:t>
      </w:r>
      <w:r>
        <w:t>,</w:t>
      </w:r>
      <w:r w:rsidR="00A11341">
        <w:t xml:space="preserve"> </w:t>
      </w:r>
      <w:r w:rsidR="001E4CFF">
        <w:t>99</w:t>
      </w:r>
      <w:r w:rsidR="00043246" w:rsidRPr="00264B12">
        <w:t xml:space="preserve"> </w:t>
      </w:r>
      <w:r w:rsidR="00A11341">
        <w:t xml:space="preserve">or </w:t>
      </w:r>
      <w:r w:rsidR="001E4CFF">
        <w:t>37</w:t>
      </w:r>
      <w:r w:rsidR="00A11341">
        <w:t>%</w:t>
      </w:r>
      <w:r w:rsidR="00043246">
        <w:t xml:space="preserve"> were obese</w:t>
      </w:r>
      <w:r w:rsidR="00043246" w:rsidRPr="00264B12">
        <w:t xml:space="preserve"> </w:t>
      </w:r>
      <w:r w:rsidR="00043246">
        <w:t xml:space="preserve">as their BMI was 30 or above.  </w:t>
      </w:r>
      <w:r w:rsidR="00341E95">
        <w:t xml:space="preserve">This is </w:t>
      </w:r>
      <w:r w:rsidR="001E4CFF">
        <w:t>a decrease from</w:t>
      </w:r>
      <w:r w:rsidR="0041626D">
        <w:t xml:space="preserve"> 42% in</w:t>
      </w:r>
      <w:r w:rsidR="00341E95">
        <w:t xml:space="preserve"> the previous year</w:t>
      </w:r>
      <w:r w:rsidR="00DC5CA2">
        <w:t xml:space="preserve">, but much higher than those </w:t>
      </w:r>
      <w:r w:rsidR="00055A32">
        <w:t xml:space="preserve">formally </w:t>
      </w:r>
      <w:r w:rsidR="00DC5CA2">
        <w:t>diagnosed to be obese on Axis-III (61)</w:t>
      </w:r>
      <w:r w:rsidR="00EB17EA">
        <w:t xml:space="preserve">. </w:t>
      </w:r>
    </w:p>
    <w:p w:rsidR="00DC5CA2" w:rsidRDefault="00EB17EA" w:rsidP="00A80446">
      <w:pPr>
        <w:pStyle w:val="KeyFindings"/>
      </w:pPr>
      <w:r>
        <w:t>T</w:t>
      </w:r>
      <w:r w:rsidR="00341E95">
        <w:t xml:space="preserve">he percentage of individuals </w:t>
      </w:r>
      <w:r w:rsidR="00DC5CA2">
        <w:t>considered overweight</w:t>
      </w:r>
      <w:r w:rsidR="004A6DF2">
        <w:t xml:space="preserve"> but not obese</w:t>
      </w:r>
      <w:r w:rsidR="00DC5CA2">
        <w:t xml:space="preserve"> as their BMI f</w:t>
      </w:r>
      <w:r w:rsidR="004F3DB5">
        <w:t>el</w:t>
      </w:r>
      <w:r w:rsidR="00DC5CA2">
        <w:t xml:space="preserve">l between 25 and 30 increased from 31% in September 2013 </w:t>
      </w:r>
      <w:r w:rsidR="00406337">
        <w:t xml:space="preserve">to </w:t>
      </w:r>
      <w:r w:rsidR="00055A32">
        <w:t>3</w:t>
      </w:r>
      <w:r w:rsidR="00DC5CA2">
        <w:t>4</w:t>
      </w:r>
      <w:r w:rsidR="00406337">
        <w:t>%</w:t>
      </w:r>
      <w:r w:rsidR="00DC5CA2">
        <w:t xml:space="preserve"> in September 2014.  </w:t>
      </w:r>
      <w:r w:rsidR="004A6DF2">
        <w:t xml:space="preserve">But, again, this is </w:t>
      </w:r>
      <w:r w:rsidR="003D5D58">
        <w:t>significantly</w:t>
      </w:r>
      <w:r w:rsidR="004A6DF2">
        <w:t xml:space="preserve"> higher than those diagnosed to be overweight on Axis III (7%). </w:t>
      </w:r>
      <w:r w:rsidR="00341E95">
        <w:t xml:space="preserve">  </w:t>
      </w:r>
    </w:p>
    <w:p w:rsidR="00D114B6" w:rsidRDefault="00DC5CA2" w:rsidP="00D114B6">
      <w:pPr>
        <w:pStyle w:val="KeyFindings"/>
      </w:pPr>
      <w:r>
        <w:t xml:space="preserve">Despite the overall </w:t>
      </w:r>
      <w:r w:rsidR="004A6DF2">
        <w:t xml:space="preserve">declining trend in the </w:t>
      </w:r>
      <w:r w:rsidR="007C624E">
        <w:t xml:space="preserve">percentage of individuals with obesity </w:t>
      </w:r>
      <w:r w:rsidR="004A6DF2">
        <w:t>or overweight</w:t>
      </w:r>
      <w:r w:rsidR="004C60EB">
        <w:t xml:space="preserve"> over the past few years</w:t>
      </w:r>
      <w:r w:rsidR="004A6DF2">
        <w:t xml:space="preserve">, individuals in our care have </w:t>
      </w:r>
      <w:r w:rsidR="004C60EB">
        <w:t xml:space="preserve">a </w:t>
      </w:r>
      <w:r w:rsidR="004A6DF2">
        <w:t>noticeably high rate of obesity or overweight</w:t>
      </w:r>
      <w:r w:rsidR="003D5D58">
        <w:t xml:space="preserve"> than the general population in the District of Columbia: </w:t>
      </w:r>
      <w:r w:rsidR="004A6DF2">
        <w:t xml:space="preserve">70% of individuals in </w:t>
      </w:r>
      <w:r w:rsidR="004C60EB">
        <w:t xml:space="preserve">our </w:t>
      </w:r>
      <w:r w:rsidR="004A6DF2">
        <w:t>care are considered to be overweight</w:t>
      </w:r>
      <w:r w:rsidR="00D114B6">
        <w:t xml:space="preserve"> (3</w:t>
      </w:r>
      <w:r w:rsidR="000951BF">
        <w:t>3.7</w:t>
      </w:r>
      <w:r w:rsidR="00D114B6">
        <w:t>%)</w:t>
      </w:r>
      <w:r w:rsidR="004A6DF2">
        <w:t xml:space="preserve"> or obese</w:t>
      </w:r>
      <w:r w:rsidR="00D114B6">
        <w:t xml:space="preserve"> (3</w:t>
      </w:r>
      <w:r w:rsidR="000951BF">
        <w:t>6.7</w:t>
      </w:r>
      <w:r w:rsidR="00D114B6">
        <w:t>%)</w:t>
      </w:r>
      <w:bookmarkEnd w:id="274"/>
      <w:r w:rsidR="003D5D58">
        <w:t>, whereas 54% of</w:t>
      </w:r>
      <w:r w:rsidR="000951BF">
        <w:t xml:space="preserve"> the</w:t>
      </w:r>
      <w:r w:rsidR="003D5D58">
        <w:t xml:space="preserve"> adult population in the District of Columbia were estimated to be obese (23%) or overweight (32%) between 2011 and 2012 according to a recent study conducted by the Center for Disease Control and Prevention (CDC)</w:t>
      </w:r>
      <w:r w:rsidR="003D5D58">
        <w:rPr>
          <w:rStyle w:val="FootnoteReference"/>
        </w:rPr>
        <w:footnoteReference w:id="18"/>
      </w:r>
      <w:r w:rsidR="003D5D58">
        <w:t xml:space="preserve">. </w:t>
      </w:r>
    </w:p>
    <w:p w:rsidR="00D114B6" w:rsidRDefault="003D5D58" w:rsidP="00D114B6">
      <w:pPr>
        <w:pStyle w:val="KeyFindings"/>
      </w:pPr>
      <w:r>
        <w:t>T</w:t>
      </w:r>
      <w:r w:rsidR="00D114B6">
        <w:t xml:space="preserve">he obesity rate among individuals in </w:t>
      </w:r>
      <w:r w:rsidR="00791C0F">
        <w:t>SEH</w:t>
      </w:r>
      <w:r w:rsidR="00D114B6">
        <w:t xml:space="preserve"> care (37%) is </w:t>
      </w:r>
      <w:r>
        <w:t xml:space="preserve">only slightly </w:t>
      </w:r>
      <w:r w:rsidR="00D114B6">
        <w:t>higher than the obesity rate among adults in the United States</w:t>
      </w:r>
      <w:r>
        <w:t xml:space="preserve">: </w:t>
      </w:r>
      <w:r w:rsidR="00D114B6">
        <w:t xml:space="preserve">about 35% of adults in the United States were estimated to be obese </w:t>
      </w:r>
      <w:r>
        <w:t>and 34% to be overweight.</w:t>
      </w:r>
    </w:p>
    <w:p w:rsidR="0030334E" w:rsidRDefault="00656542" w:rsidP="00A80446">
      <w:pPr>
        <w:pStyle w:val="KeyFindings"/>
      </w:pPr>
      <w:r>
        <w:t>T</w:t>
      </w:r>
      <w:r w:rsidR="00FD1B57">
        <w:t xml:space="preserve">here </w:t>
      </w:r>
      <w:r w:rsidR="00094E42">
        <w:t xml:space="preserve">is </w:t>
      </w:r>
      <w:r w:rsidR="00FD1B57">
        <w:t>m</w:t>
      </w:r>
      <w:r w:rsidR="00094E42">
        <w:t xml:space="preserve">uch </w:t>
      </w:r>
      <w:r w:rsidR="00FD1B57">
        <w:t xml:space="preserve">research </w:t>
      </w:r>
      <w:r w:rsidR="004C60EB">
        <w:t xml:space="preserve">suggesting that </w:t>
      </w:r>
      <w:r w:rsidR="00FD1B57">
        <w:t>t</w:t>
      </w:r>
      <w:r w:rsidR="00FD1B57" w:rsidRPr="00FD1B57">
        <w:t>he prevalence of obesity and obesity-related diseases is higher among individuals with psychiatric illness than in the general population</w:t>
      </w:r>
      <w:r w:rsidR="004F3DB5">
        <w:t>,</w:t>
      </w:r>
      <w:r w:rsidR="00FD1B57">
        <w:t xml:space="preserve"> particularly </w:t>
      </w:r>
      <w:r w:rsidR="0030334E">
        <w:t xml:space="preserve">for those residing </w:t>
      </w:r>
      <w:r w:rsidR="00FD1B57">
        <w:t>in psychiatric inpatient settings</w:t>
      </w:r>
      <w:r w:rsidR="004F3DB5">
        <w:t>.  R</w:t>
      </w:r>
      <w:r w:rsidR="0030334E">
        <w:t>easons</w:t>
      </w:r>
      <w:r w:rsidR="004F3DB5">
        <w:t xml:space="preserve"> may include</w:t>
      </w:r>
      <w:r w:rsidR="004C60EB">
        <w:t xml:space="preserve"> </w:t>
      </w:r>
      <w:r w:rsidR="0030334E">
        <w:t xml:space="preserve">frequent </w:t>
      </w:r>
      <w:r w:rsidR="00984255">
        <w:t xml:space="preserve">metabolic </w:t>
      </w:r>
      <w:r w:rsidR="004C60EB">
        <w:t>side effects of psych</w:t>
      </w:r>
      <w:r w:rsidR="00984255">
        <w:t xml:space="preserve">otropic </w:t>
      </w:r>
      <w:r w:rsidR="004C60EB">
        <w:t>medications</w:t>
      </w:r>
      <w:r>
        <w:t xml:space="preserve"> and other environmental factors</w:t>
      </w:r>
      <w:r w:rsidR="00984255" w:rsidRPr="00984255">
        <w:rPr>
          <w:rStyle w:val="FootnoteReference"/>
          <w:color w:val="auto"/>
        </w:rPr>
        <w:footnoteReference w:id="19"/>
      </w:r>
      <w:r w:rsidR="004F3DB5">
        <w:t>.</w:t>
      </w:r>
      <w:r w:rsidR="0030334E" w:rsidRPr="0030334E">
        <w:rPr>
          <w:color w:val="auto"/>
        </w:rPr>
        <w:t xml:space="preserve"> </w:t>
      </w:r>
      <w:r w:rsidR="004F3DB5">
        <w:rPr>
          <w:color w:val="auto"/>
        </w:rPr>
        <w:t xml:space="preserve"> However, </w:t>
      </w:r>
      <w:r w:rsidR="002B43C8">
        <w:t>there is no repre</w:t>
      </w:r>
      <w:r>
        <w:t>sentative statistics</w:t>
      </w:r>
      <w:r w:rsidR="002B43C8">
        <w:t xml:space="preserve"> </w:t>
      </w:r>
      <w:r w:rsidR="0030334E">
        <w:t>on the obesity rate among</w:t>
      </w:r>
      <w:r w:rsidR="00791C0F">
        <w:t xml:space="preserve"> inpatients </w:t>
      </w:r>
      <w:r w:rsidR="0030334E">
        <w:t>ser</w:t>
      </w:r>
      <w:r>
        <w:t xml:space="preserve">ved </w:t>
      </w:r>
      <w:r w:rsidR="00791C0F">
        <w:t xml:space="preserve">in behavioral health care facilities </w:t>
      </w:r>
      <w:r w:rsidR="002B43C8">
        <w:t xml:space="preserve">that can be </w:t>
      </w:r>
      <w:r w:rsidR="00984255">
        <w:t xml:space="preserve">compared </w:t>
      </w:r>
      <w:r w:rsidR="002B43C8">
        <w:t xml:space="preserve">with the obesity rate </w:t>
      </w:r>
      <w:r w:rsidR="0030334E">
        <w:t>for individuals in SEH care</w:t>
      </w:r>
      <w:r w:rsidR="002B43C8">
        <w:t>.</w:t>
      </w:r>
    </w:p>
    <w:p w:rsidR="00D1656F" w:rsidRDefault="00D1656F" w:rsidP="00BA3C8B">
      <w:pPr>
        <w:pStyle w:val="BodyText"/>
        <w:keepNext/>
        <w:spacing w:before="120"/>
        <w:ind w:left="900" w:hanging="900"/>
      </w:pPr>
      <w:bookmarkStart w:id="275" w:name="_Toc384134326"/>
      <w:bookmarkStart w:id="276" w:name="_Toc416357920"/>
      <w:r w:rsidRPr="00E269E2">
        <w:rPr>
          <w:rStyle w:val="FigureChar"/>
        </w:rPr>
        <w:t xml:space="preserve">Figure </w:t>
      </w:r>
      <w:r w:rsidRPr="00286D55">
        <w:rPr>
          <w:rStyle w:val="FigureChar"/>
        </w:rPr>
        <w:fldChar w:fldCharType="begin"/>
      </w:r>
      <w:r w:rsidRPr="00286D55">
        <w:rPr>
          <w:rStyle w:val="FigureChar"/>
        </w:rPr>
        <w:instrText xml:space="preserve"> SEQ Figure \* ARABIC </w:instrText>
      </w:r>
      <w:r w:rsidRPr="00286D55">
        <w:rPr>
          <w:rStyle w:val="FigureChar"/>
        </w:rPr>
        <w:fldChar w:fldCharType="separate"/>
      </w:r>
      <w:r w:rsidR="007E3DB6">
        <w:rPr>
          <w:rStyle w:val="FigureChar"/>
          <w:noProof/>
        </w:rPr>
        <w:t>35</w:t>
      </w:r>
      <w:r w:rsidRPr="00286D55">
        <w:rPr>
          <w:rStyle w:val="FigureChar"/>
        </w:rPr>
        <w:fldChar w:fldCharType="end"/>
      </w:r>
      <w:r w:rsidRPr="00E269E2">
        <w:rPr>
          <w:rStyle w:val="FigureChar"/>
        </w:rPr>
        <w:t xml:space="preserve">. </w:t>
      </w:r>
      <w:r>
        <w:rPr>
          <w:rStyle w:val="FigureChar"/>
        </w:rPr>
        <w:t>Weight Gain or Loss by Length of Stay from Admission (FY1</w:t>
      </w:r>
      <w:r w:rsidR="00C128E3">
        <w:rPr>
          <w:rStyle w:val="FigureChar"/>
        </w:rPr>
        <w:t>4</w:t>
      </w:r>
      <w:r>
        <w:rPr>
          <w:rStyle w:val="FigureChar"/>
        </w:rPr>
        <w:t>)</w:t>
      </w:r>
      <w:bookmarkEnd w:id="275"/>
      <w:bookmarkEnd w:id="276"/>
    </w:p>
    <w:p w:rsidR="00D1656F" w:rsidRDefault="00C128E3" w:rsidP="00D1656F">
      <w:r>
        <w:rPr>
          <w:noProof/>
        </w:rPr>
        <w:drawing>
          <wp:inline distT="0" distB="0" distL="0" distR="0" wp14:anchorId="55271F53" wp14:editId="58E9A411">
            <wp:extent cx="6625087" cy="2346385"/>
            <wp:effectExtent l="0" t="0" r="4445"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256582" w:rsidRPr="00CE40F1" w:rsidRDefault="00256582" w:rsidP="00256582">
      <w:pPr>
        <w:pStyle w:val="KeyFindings"/>
      </w:pPr>
      <w:bookmarkStart w:id="277" w:name="_Toc384134324"/>
      <w:bookmarkStart w:id="278" w:name="_Toc384134325"/>
      <w:bookmarkStart w:id="279" w:name="_Toc384134327"/>
      <w:r w:rsidRPr="00CE40F1">
        <w:t xml:space="preserve">Our data tracing weight changes </w:t>
      </w:r>
      <w:r>
        <w:t xml:space="preserve">of </w:t>
      </w:r>
      <w:r w:rsidR="00C62398">
        <w:t>individuals in care</w:t>
      </w:r>
      <w:r>
        <w:t xml:space="preserve"> from their admissions </w:t>
      </w:r>
      <w:r w:rsidRPr="00CE40F1">
        <w:t>demonstrates that a majority of individuals a</w:t>
      </w:r>
      <w:r w:rsidR="004824F8">
        <w:t xml:space="preserve">dmitted to our care gain weight </w:t>
      </w:r>
      <w:r>
        <w:t>while staying in care: a</w:t>
      </w:r>
      <w:r w:rsidRPr="00CE40F1">
        <w:t>mong individuals admitted in FY1</w:t>
      </w:r>
      <w:r>
        <w:t>4</w:t>
      </w:r>
      <w:r w:rsidRPr="00CE40F1">
        <w:t xml:space="preserve">, </w:t>
      </w:r>
      <w:r>
        <w:t xml:space="preserve">79% gained their weight </w:t>
      </w:r>
      <w:r w:rsidRPr="00CE40F1">
        <w:t xml:space="preserve">within </w:t>
      </w:r>
      <w:r>
        <w:t xml:space="preserve">3 to </w:t>
      </w:r>
      <w:r w:rsidRPr="00CE40F1">
        <w:t>30 day</w:t>
      </w:r>
      <w:r>
        <w:t>s</w:t>
      </w:r>
      <w:r w:rsidRPr="00CE40F1">
        <w:t xml:space="preserve"> </w:t>
      </w:r>
      <w:r>
        <w:t>upon a</w:t>
      </w:r>
      <w:r w:rsidRPr="00CE40F1">
        <w:t xml:space="preserve">dmission.  The percentage of individuals </w:t>
      </w:r>
      <w:r w:rsidR="004824F8">
        <w:t>who</w:t>
      </w:r>
      <w:r w:rsidRPr="00CE40F1">
        <w:t xml:space="preserve"> gain</w:t>
      </w:r>
      <w:r w:rsidR="004824F8">
        <w:t>ed weight</w:t>
      </w:r>
      <w:r w:rsidRPr="00CE40F1">
        <w:t xml:space="preserve"> </w:t>
      </w:r>
      <w:r>
        <w:t xml:space="preserve">compared with the weight at the time of admission remained at around 80% </w:t>
      </w:r>
      <w:r w:rsidRPr="00CE40F1">
        <w:rPr>
          <w:vertAlign w:val="superscript"/>
        </w:rPr>
        <w:footnoteReference w:id="20"/>
      </w:r>
      <w:r w:rsidRPr="00CE40F1">
        <w:t xml:space="preserve"> during the</w:t>
      </w:r>
      <w:r>
        <w:t>ir</w:t>
      </w:r>
      <w:r w:rsidRPr="00CE40F1">
        <w:t xml:space="preserve"> first </w:t>
      </w:r>
      <w:r>
        <w:t xml:space="preserve">ten (10) months </w:t>
      </w:r>
      <w:r w:rsidRPr="00CE40F1">
        <w:t>of hospitalization.</w:t>
      </w:r>
      <w:bookmarkEnd w:id="277"/>
    </w:p>
    <w:p w:rsidR="0050537A" w:rsidRDefault="00B91CA8" w:rsidP="00B91CA8">
      <w:pPr>
        <w:pStyle w:val="KeyFindings"/>
      </w:pPr>
      <w:r w:rsidRPr="00E60D1E">
        <w:t>The level of weight gain increase</w:t>
      </w:r>
      <w:r w:rsidR="00DB782D">
        <w:t>s</w:t>
      </w:r>
      <w:r w:rsidRPr="00E60D1E">
        <w:t xml:space="preserve"> with longer hospital stay: the percentage of average weight gain for FY1</w:t>
      </w:r>
      <w:r w:rsidR="00DE70B1">
        <w:t>4</w:t>
      </w:r>
      <w:r w:rsidRPr="00E60D1E">
        <w:t xml:space="preserve"> admissions was about </w:t>
      </w:r>
      <w:r w:rsidR="00DE70B1">
        <w:t>3</w:t>
      </w:r>
      <w:r w:rsidRPr="00E60D1E">
        <w:t xml:space="preserve">% by </w:t>
      </w:r>
      <w:r w:rsidR="00900001">
        <w:t>3-</w:t>
      </w:r>
      <w:r w:rsidRPr="00E60D1E">
        <w:t>30 days from admission</w:t>
      </w:r>
      <w:r w:rsidR="00DB782D">
        <w:t xml:space="preserve">.  Then, </w:t>
      </w:r>
      <w:r w:rsidRPr="00E60D1E">
        <w:t xml:space="preserve">it increased to </w:t>
      </w:r>
      <w:r w:rsidR="00DE70B1">
        <w:t>above 4</w:t>
      </w:r>
      <w:r w:rsidRPr="00E60D1E">
        <w:t xml:space="preserve">% by </w:t>
      </w:r>
      <w:r w:rsidR="00900001">
        <w:t>31-</w:t>
      </w:r>
      <w:r w:rsidRPr="00E60D1E">
        <w:t xml:space="preserve">60 days, </w:t>
      </w:r>
      <w:r w:rsidR="00DE70B1">
        <w:t>above 6%</w:t>
      </w:r>
      <w:r w:rsidRPr="00E60D1E">
        <w:t xml:space="preserve"> by </w:t>
      </w:r>
      <w:r w:rsidR="00900001">
        <w:t>61-</w:t>
      </w:r>
      <w:r w:rsidR="00DE70B1">
        <w:t>9</w:t>
      </w:r>
      <w:r w:rsidRPr="00E60D1E">
        <w:t xml:space="preserve">0 days and </w:t>
      </w:r>
      <w:r w:rsidR="00DE70B1">
        <w:t>8.5</w:t>
      </w:r>
      <w:r w:rsidRPr="00E60D1E">
        <w:t xml:space="preserve">% by </w:t>
      </w:r>
      <w:r w:rsidR="00900001">
        <w:t>8-</w:t>
      </w:r>
      <w:r w:rsidR="00DE70B1">
        <w:t>10 months</w:t>
      </w:r>
      <w:r w:rsidRPr="00E60D1E">
        <w:t xml:space="preserve"> from admission.</w:t>
      </w:r>
      <w:bookmarkEnd w:id="278"/>
    </w:p>
    <w:p w:rsidR="00DE70B1" w:rsidRDefault="00DB782D" w:rsidP="00B91CA8">
      <w:pPr>
        <w:pStyle w:val="KeyFindings"/>
      </w:pPr>
      <w:r>
        <w:t>However, l</w:t>
      </w:r>
      <w:r w:rsidR="000E4538">
        <w:t xml:space="preserve">ike the </w:t>
      </w:r>
      <w:r w:rsidR="00CC180A">
        <w:t xml:space="preserve">recent </w:t>
      </w:r>
      <w:r>
        <w:t xml:space="preserve">declining trend of </w:t>
      </w:r>
      <w:r w:rsidR="000E4538">
        <w:t xml:space="preserve">obesity rate, the level of weight gain </w:t>
      </w:r>
      <w:r w:rsidR="000046A8">
        <w:t xml:space="preserve">among FY14 admissions </w:t>
      </w:r>
      <w:r w:rsidR="00CC180A">
        <w:t xml:space="preserve">was </w:t>
      </w:r>
      <w:r w:rsidR="000046A8">
        <w:t xml:space="preserve">moderately </w:t>
      </w:r>
      <w:r w:rsidR="00CC180A">
        <w:t xml:space="preserve">slower than that of </w:t>
      </w:r>
      <w:r>
        <w:t xml:space="preserve">the </w:t>
      </w:r>
      <w:r w:rsidR="000046A8">
        <w:t>FY13 admission group: in FY13, the percentage of weight gain reached nearly 9% by 91-120 day time</w:t>
      </w:r>
      <w:r w:rsidR="00900001">
        <w:t xml:space="preserve"> </w:t>
      </w:r>
      <w:r w:rsidR="006470C2">
        <w:t>frame, whereas the average weight gain for the same time frame in FY14 was 6%.</w:t>
      </w:r>
    </w:p>
    <w:p w:rsidR="00683A3D" w:rsidRPr="00683A3D" w:rsidRDefault="00683A3D" w:rsidP="00BA3C8B">
      <w:pPr>
        <w:pStyle w:val="BodyText"/>
        <w:keepNext/>
        <w:spacing w:before="120"/>
        <w:ind w:left="900" w:hanging="900"/>
        <w:rPr>
          <w:rStyle w:val="FigureChar"/>
        </w:rPr>
      </w:pPr>
      <w:bookmarkStart w:id="280" w:name="_Toc416357921"/>
      <w:r w:rsidRPr="00E269E2">
        <w:rPr>
          <w:rStyle w:val="FigureChar"/>
        </w:rPr>
        <w:t xml:space="preserve">Figure </w:t>
      </w:r>
      <w:r w:rsidRPr="00286D55">
        <w:rPr>
          <w:rStyle w:val="FigureChar"/>
        </w:rPr>
        <w:fldChar w:fldCharType="begin"/>
      </w:r>
      <w:r w:rsidRPr="00286D55">
        <w:rPr>
          <w:rStyle w:val="FigureChar"/>
        </w:rPr>
        <w:instrText xml:space="preserve"> SEQ Figure \* ARABIC </w:instrText>
      </w:r>
      <w:r w:rsidRPr="00286D55">
        <w:rPr>
          <w:rStyle w:val="FigureChar"/>
        </w:rPr>
        <w:fldChar w:fldCharType="separate"/>
      </w:r>
      <w:r w:rsidR="007E3DB6">
        <w:rPr>
          <w:rStyle w:val="FigureChar"/>
          <w:noProof/>
        </w:rPr>
        <w:t>36</w:t>
      </w:r>
      <w:r w:rsidRPr="00286D55">
        <w:rPr>
          <w:rStyle w:val="FigureChar"/>
        </w:rPr>
        <w:fldChar w:fldCharType="end"/>
      </w:r>
      <w:r w:rsidRPr="00E269E2">
        <w:rPr>
          <w:rStyle w:val="FigureChar"/>
        </w:rPr>
        <w:t>.</w:t>
      </w:r>
      <w:r w:rsidRPr="00683A3D">
        <w:rPr>
          <w:rStyle w:val="FigureChar"/>
        </w:rPr>
        <w:t xml:space="preserve"> Percentage of Average Weight Gain from Admission</w:t>
      </w:r>
      <w:r>
        <w:rPr>
          <w:rStyle w:val="FigureChar"/>
        </w:rPr>
        <w:t xml:space="preserve"> (FY</w:t>
      </w:r>
      <w:r w:rsidR="00DE70B1">
        <w:rPr>
          <w:rStyle w:val="FigureChar"/>
        </w:rPr>
        <w:t xml:space="preserve">13 ~ </w:t>
      </w:r>
      <w:r w:rsidR="00B202BF">
        <w:rPr>
          <w:rStyle w:val="FigureChar"/>
        </w:rPr>
        <w:t>FY</w:t>
      </w:r>
      <w:r>
        <w:rPr>
          <w:rStyle w:val="FigureChar"/>
        </w:rPr>
        <w:t>1</w:t>
      </w:r>
      <w:r w:rsidR="00E7139A">
        <w:rPr>
          <w:rStyle w:val="FigureChar"/>
        </w:rPr>
        <w:t>4</w:t>
      </w:r>
      <w:r>
        <w:rPr>
          <w:rStyle w:val="FigureChar"/>
        </w:rPr>
        <w:t>)</w:t>
      </w:r>
      <w:bookmarkEnd w:id="279"/>
      <w:bookmarkEnd w:id="280"/>
    </w:p>
    <w:p w:rsidR="00D1656F" w:rsidRDefault="00961811" w:rsidP="00D1656F">
      <w:r>
        <w:rPr>
          <w:noProof/>
        </w:rPr>
        <w:drawing>
          <wp:inline distT="0" distB="0" distL="0" distR="0" wp14:anchorId="312A13BA" wp14:editId="36439745">
            <wp:extent cx="6553200" cy="2743200"/>
            <wp:effectExtent l="0" t="0" r="190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BA3C8B" w:rsidRDefault="00BA3C8B" w:rsidP="00D1656F">
      <w:pPr>
        <w:pStyle w:val="KeyFindings"/>
      </w:pPr>
      <w:bookmarkStart w:id="281" w:name="_Toc384134328"/>
      <w:r>
        <w:t xml:space="preserve">Still, the weight gain occurs so quickly within a short time frame for </w:t>
      </w:r>
      <w:r w:rsidR="00094E42">
        <w:t>many</w:t>
      </w:r>
      <w:r>
        <w:t xml:space="preserve"> admissions and </w:t>
      </w:r>
      <w:r w:rsidRPr="0050537A">
        <w:t xml:space="preserve">consequently </w:t>
      </w:r>
      <w:r>
        <w:t>their obesity rate increases as they stay longer</w:t>
      </w:r>
      <w:r w:rsidRPr="0050537A">
        <w:t xml:space="preserve">: </w:t>
      </w:r>
      <w:r>
        <w:t>as indicated above,</w:t>
      </w:r>
      <w:r w:rsidRPr="0050537A">
        <w:t xml:space="preserve"> </w:t>
      </w:r>
      <w:r>
        <w:t xml:space="preserve">only 26% of </w:t>
      </w:r>
      <w:r w:rsidRPr="0050537A">
        <w:t xml:space="preserve">individuals </w:t>
      </w:r>
      <w:r>
        <w:t xml:space="preserve">admitted in FY14 </w:t>
      </w:r>
      <w:r w:rsidRPr="0050537A">
        <w:t xml:space="preserve">had their BMI at 30 or above at </w:t>
      </w:r>
      <w:r>
        <w:t xml:space="preserve">the time of </w:t>
      </w:r>
      <w:r w:rsidRPr="0050537A">
        <w:t>admission</w:t>
      </w:r>
      <w:r>
        <w:t>, but t</w:t>
      </w:r>
      <w:r w:rsidRPr="0050537A">
        <w:t xml:space="preserve">he </w:t>
      </w:r>
      <w:r>
        <w:t xml:space="preserve">obesity rate among the same admission group </w:t>
      </w:r>
      <w:r w:rsidRPr="0050537A">
        <w:t>increased to 3</w:t>
      </w:r>
      <w:r>
        <w:t>8</w:t>
      </w:r>
      <w:r w:rsidRPr="0050537A">
        <w:t xml:space="preserve">% </w:t>
      </w:r>
      <w:r>
        <w:t xml:space="preserve">by 61-90 day time frame.  The overall obesity rate </w:t>
      </w:r>
      <w:r w:rsidRPr="0050537A">
        <w:t>continued to increase with minor fluctuation</w:t>
      </w:r>
      <w:r>
        <w:t xml:space="preserve"> for those staying even longer at the Hospital</w:t>
      </w:r>
      <w:r w:rsidRPr="0050537A">
        <w:t xml:space="preserve">: </w:t>
      </w:r>
      <w:r>
        <w:t>58</w:t>
      </w:r>
      <w:r w:rsidRPr="0050537A">
        <w:t xml:space="preserve">% by </w:t>
      </w:r>
      <w:r>
        <w:t>241-300 days</w:t>
      </w:r>
      <w:r w:rsidRPr="0050537A">
        <w:t>.</w:t>
      </w:r>
      <w:bookmarkEnd w:id="281"/>
    </w:p>
    <w:p w:rsidR="003642EF" w:rsidRPr="00683A3D" w:rsidRDefault="00B202BF" w:rsidP="00BA3C8B">
      <w:pPr>
        <w:pStyle w:val="BodyText"/>
        <w:keepNext/>
        <w:spacing w:before="120"/>
        <w:ind w:left="900" w:hanging="900"/>
        <w:rPr>
          <w:rStyle w:val="FigureChar"/>
        </w:rPr>
      </w:pPr>
      <w:bookmarkStart w:id="282" w:name="_Toc384134329"/>
      <w:bookmarkStart w:id="283" w:name="_Toc416357922"/>
      <w:r>
        <w:rPr>
          <w:noProof/>
          <w:lang w:eastAsia="en-US"/>
        </w:rPr>
        <w:drawing>
          <wp:anchor distT="0" distB="0" distL="114300" distR="114300" simplePos="0" relativeHeight="251693568" behindDoc="1" locked="0" layoutInCell="1" allowOverlap="0" wp14:anchorId="1561DD1D" wp14:editId="666C5396">
            <wp:simplePos x="0" y="0"/>
            <wp:positionH relativeFrom="column">
              <wp:posOffset>-57150</wp:posOffset>
            </wp:positionH>
            <wp:positionV relativeFrom="margin">
              <wp:posOffset>5785485</wp:posOffset>
            </wp:positionV>
            <wp:extent cx="6482715" cy="2468880"/>
            <wp:effectExtent l="0" t="0" r="0" b="0"/>
            <wp:wrapTight wrapText="bothSides">
              <wp:wrapPolygon edited="0">
                <wp:start x="19232" y="167"/>
                <wp:lineTo x="3174" y="1000"/>
                <wp:lineTo x="3110" y="2000"/>
                <wp:lineTo x="10790" y="3167"/>
                <wp:lineTo x="3174" y="3167"/>
                <wp:lineTo x="3174" y="4167"/>
                <wp:lineTo x="13901" y="5833"/>
                <wp:lineTo x="5967" y="8167"/>
                <wp:lineTo x="3364" y="10500"/>
                <wp:lineTo x="3364" y="11167"/>
                <wp:lineTo x="698" y="11500"/>
                <wp:lineTo x="762" y="12500"/>
                <wp:lineTo x="10790" y="13833"/>
                <wp:lineTo x="825" y="14667"/>
                <wp:lineTo x="698" y="16500"/>
                <wp:lineTo x="1587" y="16500"/>
                <wp:lineTo x="317" y="17667"/>
                <wp:lineTo x="444" y="18333"/>
                <wp:lineTo x="10790" y="19167"/>
                <wp:lineTo x="635" y="19833"/>
                <wp:lineTo x="571" y="20667"/>
                <wp:lineTo x="4253" y="21000"/>
                <wp:lineTo x="16440" y="21000"/>
                <wp:lineTo x="19994" y="20667"/>
                <wp:lineTo x="19740" y="19833"/>
                <wp:lineTo x="10790" y="19167"/>
                <wp:lineTo x="21264" y="18500"/>
                <wp:lineTo x="21137" y="17333"/>
                <wp:lineTo x="1968" y="16500"/>
                <wp:lineTo x="3301" y="16500"/>
                <wp:lineTo x="10029" y="14500"/>
                <wp:lineTo x="10790" y="13833"/>
                <wp:lineTo x="17836" y="13500"/>
                <wp:lineTo x="18026" y="12500"/>
                <wp:lineTo x="15361" y="11167"/>
                <wp:lineTo x="15488" y="10333"/>
                <wp:lineTo x="10029" y="8500"/>
                <wp:lineTo x="11933" y="8500"/>
                <wp:lineTo x="15361" y="6833"/>
                <wp:lineTo x="15297" y="5833"/>
                <wp:lineTo x="21454" y="5833"/>
                <wp:lineTo x="21454" y="4500"/>
                <wp:lineTo x="10790" y="3167"/>
                <wp:lineTo x="13647" y="3167"/>
                <wp:lineTo x="20629" y="1333"/>
                <wp:lineTo x="20565" y="167"/>
                <wp:lineTo x="19232" y="167"/>
              </wp:wrapPolygon>
            </wp:wrapTight>
            <wp:docPr id="167" name="Chart 16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14:sizeRelV relativeFrom="margin">
              <wp14:pctHeight>0</wp14:pctHeight>
            </wp14:sizeRelV>
          </wp:anchor>
        </w:drawing>
      </w:r>
      <w:r w:rsidR="003642EF" w:rsidRPr="00E269E2">
        <w:rPr>
          <w:rStyle w:val="FigureChar"/>
        </w:rPr>
        <w:t xml:space="preserve">Figure </w:t>
      </w:r>
      <w:r w:rsidR="003642EF" w:rsidRPr="00286D55">
        <w:rPr>
          <w:rStyle w:val="FigureChar"/>
        </w:rPr>
        <w:fldChar w:fldCharType="begin"/>
      </w:r>
      <w:r w:rsidR="003642EF" w:rsidRPr="00286D55">
        <w:rPr>
          <w:rStyle w:val="FigureChar"/>
        </w:rPr>
        <w:instrText xml:space="preserve"> SEQ Figure \* ARABIC </w:instrText>
      </w:r>
      <w:r w:rsidR="003642EF" w:rsidRPr="00286D55">
        <w:rPr>
          <w:rStyle w:val="FigureChar"/>
        </w:rPr>
        <w:fldChar w:fldCharType="separate"/>
      </w:r>
      <w:r w:rsidR="007E3DB6">
        <w:rPr>
          <w:rStyle w:val="FigureChar"/>
          <w:noProof/>
        </w:rPr>
        <w:t>37</w:t>
      </w:r>
      <w:r w:rsidR="003642EF" w:rsidRPr="00286D55">
        <w:rPr>
          <w:rStyle w:val="FigureChar"/>
        </w:rPr>
        <w:fldChar w:fldCharType="end"/>
      </w:r>
      <w:r w:rsidR="003642EF" w:rsidRPr="00E269E2">
        <w:rPr>
          <w:rStyle w:val="FigureChar"/>
        </w:rPr>
        <w:t>.</w:t>
      </w:r>
      <w:r w:rsidR="003642EF" w:rsidRPr="00683A3D">
        <w:rPr>
          <w:rStyle w:val="FigureChar"/>
        </w:rPr>
        <w:t xml:space="preserve"> Percentage of </w:t>
      </w:r>
      <w:r w:rsidR="003642EF">
        <w:rPr>
          <w:rStyle w:val="FigureChar"/>
        </w:rPr>
        <w:t>Individuals Obese</w:t>
      </w:r>
      <w:r>
        <w:rPr>
          <w:rStyle w:val="FigureChar"/>
        </w:rPr>
        <w:t xml:space="preserve"> </w:t>
      </w:r>
      <w:r w:rsidR="003642EF">
        <w:rPr>
          <w:rStyle w:val="FigureChar"/>
        </w:rPr>
        <w:t xml:space="preserve">(BMI&gt;=30) by Length of Stay </w:t>
      </w:r>
      <w:r w:rsidR="008A0CE9">
        <w:rPr>
          <w:rStyle w:val="FigureChar"/>
        </w:rPr>
        <w:t xml:space="preserve">from Admission </w:t>
      </w:r>
      <w:r w:rsidR="003642EF">
        <w:rPr>
          <w:rStyle w:val="FigureChar"/>
        </w:rPr>
        <w:t>(FY13</w:t>
      </w:r>
      <w:r w:rsidR="007F0908">
        <w:rPr>
          <w:rStyle w:val="FigureChar"/>
        </w:rPr>
        <w:t xml:space="preserve"> ~ FY14</w:t>
      </w:r>
      <w:r w:rsidR="003642EF">
        <w:rPr>
          <w:rStyle w:val="FigureChar"/>
        </w:rPr>
        <w:t>)</w:t>
      </w:r>
      <w:bookmarkEnd w:id="282"/>
      <w:bookmarkEnd w:id="283"/>
    </w:p>
    <w:p w:rsidR="003642EF" w:rsidRPr="006B2769" w:rsidRDefault="003642EF" w:rsidP="006B2769"/>
    <w:tbl>
      <w:tblPr>
        <w:tblpPr w:leftFromText="180" w:rightFromText="180" w:vertAnchor="text" w:horzAnchor="page" w:tblpX="5443" w:tblpY="431"/>
        <w:tblOverlap w:val="never"/>
        <w:tblW w:w="0" w:type="auto"/>
        <w:tblLayout w:type="fixed"/>
        <w:tblLook w:val="04A0" w:firstRow="1" w:lastRow="0" w:firstColumn="1" w:lastColumn="0" w:noHBand="0" w:noVBand="1"/>
      </w:tblPr>
      <w:tblGrid>
        <w:gridCol w:w="6318"/>
      </w:tblGrid>
      <w:tr w:rsidR="00043246" w:rsidTr="00D77DC6">
        <w:trPr>
          <w:cantSplit/>
        </w:trPr>
        <w:tc>
          <w:tcPr>
            <w:tcW w:w="6318" w:type="dxa"/>
          </w:tcPr>
          <w:p w:rsidR="00043246" w:rsidRDefault="00043246" w:rsidP="00DA588C">
            <w:bookmarkStart w:id="284" w:name="_Toc316897958"/>
          </w:p>
        </w:tc>
      </w:tr>
      <w:bookmarkEnd w:id="284"/>
    </w:tbl>
    <w:p w:rsidR="005A5453" w:rsidRPr="00650386" w:rsidRDefault="00043246" w:rsidP="009C089F">
      <w:pPr>
        <w:pStyle w:val="Heading1"/>
      </w:pPr>
      <w:r>
        <w:br w:type="page"/>
      </w:r>
      <w:bookmarkStart w:id="285" w:name="_Toc384134353"/>
      <w:bookmarkStart w:id="286" w:name="_Toc416357878"/>
      <w:bookmarkEnd w:id="200"/>
      <w:r w:rsidR="002E4C3B">
        <w:rPr>
          <w14:shadow w14:blurRad="0" w14:dist="0" w14:dir="0" w14:sx="0" w14:sy="0" w14:kx="0" w14:ky="0" w14:algn="none">
            <w14:srgbClr w14:val="000000"/>
          </w14:shadow>
        </w:rPr>
        <mc:AlternateContent>
          <mc:Choice Requires="wps">
            <w:drawing>
              <wp:anchor distT="0" distB="0" distL="114300" distR="114300" simplePos="0" relativeHeight="251667968" behindDoc="0" locked="0" layoutInCell="1" allowOverlap="0" wp14:anchorId="1ECA8357" wp14:editId="5A1D5C9F">
                <wp:simplePos x="0" y="0"/>
                <wp:positionH relativeFrom="column">
                  <wp:posOffset>-95250</wp:posOffset>
                </wp:positionH>
                <wp:positionV relativeFrom="paragraph">
                  <wp:posOffset>413385</wp:posOffset>
                </wp:positionV>
                <wp:extent cx="6719570" cy="4305300"/>
                <wp:effectExtent l="19050" t="19050" r="81280" b="76200"/>
                <wp:wrapTopAndBottom/>
                <wp:docPr id="28" name="AutoShap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9570" cy="4305300"/>
                        </a:xfrm>
                        <a:prstGeom prst="roundRect">
                          <a:avLst>
                            <a:gd name="adj" fmla="val 6634"/>
                          </a:avLst>
                        </a:prstGeom>
                        <a:solidFill>
                          <a:schemeClr val="accent1">
                            <a:lumMod val="20000"/>
                            <a:lumOff val="80000"/>
                            <a:alpha val="25000"/>
                          </a:schemeClr>
                        </a:solidFill>
                        <a:ln w="50800" cmpd="thickThin">
                          <a:solidFill>
                            <a:schemeClr val="tx2">
                              <a:lumMod val="100000"/>
                              <a:lumOff val="0"/>
                            </a:schemeClr>
                          </a:solidFill>
                          <a:round/>
                          <a:headEnd/>
                          <a:tailEnd/>
                        </a:ln>
                        <a:effectLst>
                          <a:outerShdw dist="35921" dir="2700000" algn="ctr" rotWithShape="0">
                            <a:schemeClr val="accent1">
                              <a:lumMod val="20000"/>
                              <a:lumOff val="80000"/>
                            </a:schemeClr>
                          </a:outerShdw>
                        </a:effectLst>
                      </wps:spPr>
                      <wps:txbx>
                        <w:txbxContent>
                          <w:p w:rsidR="005B4E16" w:rsidRDefault="005B4E16" w:rsidP="009E6F6C">
                            <w:pPr>
                              <w:pStyle w:val="IntenseQuote"/>
                              <w:tabs>
                                <w:tab w:val="clear" w:pos="360"/>
                                <w:tab w:val="left" w:pos="270"/>
                              </w:tabs>
                              <w:ind w:left="270" w:hanging="270"/>
                            </w:pPr>
                            <w:r>
                              <w:t xml:space="preserve">On average, </w:t>
                            </w:r>
                            <w:r w:rsidRPr="00200247">
                              <w:rPr>
                                <w:b/>
                              </w:rPr>
                              <w:t>193 unusual incidents (UI) were reported each month during FY14</w:t>
                            </w:r>
                            <w:r>
                              <w:t xml:space="preserve">.  This is an </w:t>
                            </w:r>
                            <w:r w:rsidRPr="00200247">
                              <w:rPr>
                                <w:b/>
                              </w:rPr>
                              <w:t xml:space="preserve">increase of 28% </w:t>
                            </w:r>
                            <w:r>
                              <w:t xml:space="preserve">from FY13.  This increase is primarily attributed to an </w:t>
                            </w:r>
                            <w:r w:rsidRPr="00200247">
                              <w:rPr>
                                <w:b/>
                              </w:rPr>
                              <w:t>increase of admissions</w:t>
                            </w:r>
                            <w:r>
                              <w:t xml:space="preserve"> as a majority of violence related incidents are triggered by recent admissions: in FY14, 24% of aggressors in physical assaults and 28% of aggressors in aggressive behaviors initiated such incidents when they had been in care only for less than 30 days while those in care for less than 30 days composed only 12% to 15% on a given day.</w:t>
                            </w:r>
                          </w:p>
                          <w:p w:rsidR="005B4E16" w:rsidRPr="00C02426" w:rsidRDefault="005B4E16" w:rsidP="00C02426">
                            <w:pPr>
                              <w:pStyle w:val="IntenseQuote"/>
                              <w:tabs>
                                <w:tab w:val="clear" w:pos="360"/>
                                <w:tab w:val="left" w:pos="270"/>
                              </w:tabs>
                              <w:ind w:left="270" w:hanging="270"/>
                            </w:pPr>
                            <w:r>
                              <w:t xml:space="preserve">Individuals in care are more likely to get </w:t>
                            </w:r>
                            <w:r w:rsidRPr="00200247">
                              <w:rPr>
                                <w:b/>
                              </w:rPr>
                              <w:t>agitated and become aggressive</w:t>
                            </w:r>
                            <w:r>
                              <w:t xml:space="preserve">, resulting in frequent violence related UIs </w:t>
                            </w:r>
                            <w:r w:rsidRPr="00200247">
                              <w:rPr>
                                <w:b/>
                              </w:rPr>
                              <w:t>during the process of changing their physical location and activities</w:t>
                            </w:r>
                            <w:r>
                              <w:t xml:space="preserve"> when there are more stimuli and noise in the environment.</w:t>
                            </w:r>
                          </w:p>
                          <w:p w:rsidR="005B4E16" w:rsidRDefault="005B4E16" w:rsidP="00581FDA">
                            <w:pPr>
                              <w:pStyle w:val="IntenseQuote"/>
                              <w:tabs>
                                <w:tab w:val="clear" w:pos="360"/>
                                <w:tab w:val="left" w:pos="270"/>
                              </w:tabs>
                              <w:ind w:left="270" w:hanging="270"/>
                            </w:pPr>
                            <w:r>
                              <w:t xml:space="preserve">Often times, a small number of the same individuals in care get involved repeatedly in violence related incidents: during FY14, </w:t>
                            </w:r>
                            <w:r w:rsidRPr="00200247">
                              <w:rPr>
                                <w:b/>
                              </w:rPr>
                              <w:t>25 individuals (less than 4%</w:t>
                            </w:r>
                            <w:r>
                              <w:t xml:space="preserve"> of all individuals served) were accountable for </w:t>
                            </w:r>
                            <w:r>
                              <w:rPr>
                                <w:b/>
                              </w:rPr>
                              <w:t>n</w:t>
                            </w:r>
                            <w:r w:rsidRPr="00200247">
                              <w:rPr>
                                <w:b/>
                              </w:rPr>
                              <w:t>early half (46%) of physical assaults or aggressive behaviors</w:t>
                            </w:r>
                            <w:r>
                              <w:t xml:space="preserve">.  </w:t>
                            </w:r>
                            <w:r w:rsidRPr="00200247">
                              <w:rPr>
                                <w:b/>
                              </w:rPr>
                              <w:t>Victimization is also frequently repeated</w:t>
                            </w:r>
                            <w:r>
                              <w:t xml:space="preserve">: during FY14, </w:t>
                            </w:r>
                            <w:r w:rsidRPr="00581FDA">
                              <w:t xml:space="preserve">15 individuals </w:t>
                            </w:r>
                            <w:r>
                              <w:t xml:space="preserve">in care </w:t>
                            </w:r>
                            <w:r w:rsidRPr="00581FDA">
                              <w:t xml:space="preserve">and 9 employees each were victimized </w:t>
                            </w:r>
                            <w:r>
                              <w:t>by physical assaults or aggressive behaviors five (5) times or more</w:t>
                            </w:r>
                            <w:r w:rsidRPr="00581FDA">
                              <w:t>.</w:t>
                            </w:r>
                          </w:p>
                          <w:p w:rsidR="005B4E16" w:rsidRPr="00AB1760" w:rsidRDefault="005B4E16" w:rsidP="00AB1760">
                            <w:pPr>
                              <w:pStyle w:val="IntenseQuote"/>
                              <w:tabs>
                                <w:tab w:val="clear" w:pos="360"/>
                                <w:tab w:val="left" w:pos="270"/>
                              </w:tabs>
                              <w:ind w:left="270" w:hanging="270"/>
                            </w:pPr>
                            <w:r>
                              <w:t xml:space="preserve">Nearly two out of three assaults or aggressive behaviors identified to be at </w:t>
                            </w:r>
                            <w:r w:rsidRPr="00200247">
                              <w:rPr>
                                <w:b/>
                              </w:rPr>
                              <w:t>severe</w:t>
                            </w:r>
                            <w:r>
                              <w:t xml:space="preserve"> level were triggered by individuals admitted with a </w:t>
                            </w:r>
                            <w:r w:rsidRPr="00200247">
                              <w:rPr>
                                <w:b/>
                              </w:rPr>
                              <w:t>pre-trial</w:t>
                            </w:r>
                            <w:r>
                              <w:t xml:space="preserve"> legal status.</w:t>
                            </w:r>
                          </w:p>
                          <w:p w:rsidR="005B4E16" w:rsidRPr="00A202E2" w:rsidRDefault="005B4E16" w:rsidP="00A202E2">
                            <w:pPr>
                              <w:pStyle w:val="IntenseQuote"/>
                              <w:tabs>
                                <w:tab w:val="clear" w:pos="360"/>
                                <w:tab w:val="left" w:pos="270"/>
                              </w:tabs>
                              <w:ind w:left="270" w:hanging="270"/>
                            </w:pPr>
                            <w:r>
                              <w:t xml:space="preserve">The number of physical assaults increased in FY14 along with other types of violence related incidents but the </w:t>
                            </w:r>
                            <w:r w:rsidRPr="00200247">
                              <w:rPr>
                                <w:b/>
                              </w:rPr>
                              <w:t>relative frequency of physical assaults compared with aggressive behaviors continued to decrease</w:t>
                            </w:r>
                            <w:r>
                              <w:t xml:space="preserve">.  This trend may be attributed to </w:t>
                            </w:r>
                            <w:r w:rsidRPr="00200247">
                              <w:rPr>
                                <w:b/>
                              </w:rPr>
                              <w:t>improved responses and interventions</w:t>
                            </w:r>
                            <w:r>
                              <w:t xml:space="preserve"> to a violent event by the treatment team as they successfully prevented many aggressive behaviors from turning into assaults.</w:t>
                            </w:r>
                          </w:p>
                          <w:p w:rsidR="005B4E16" w:rsidRPr="005507EF" w:rsidRDefault="005B4E16" w:rsidP="009E6F6C">
                            <w:pPr>
                              <w:pStyle w:val="IntenseQuote"/>
                              <w:tabs>
                                <w:tab w:val="clear" w:pos="360"/>
                                <w:tab w:val="left" w:pos="270"/>
                              </w:tabs>
                              <w:ind w:left="270" w:hanging="270"/>
                            </w:pPr>
                            <w:r>
                              <w:t xml:space="preserve">Fall incidents, and the number of unique individuals </w:t>
                            </w:r>
                            <w:r w:rsidRPr="00200247">
                              <w:rPr>
                                <w:b/>
                              </w:rPr>
                              <w:t>who fell repeatedly increased</w:t>
                            </w:r>
                            <w:r>
                              <w:t xml:space="preserve"> in FY14. </w:t>
                            </w:r>
                          </w:p>
                          <w:p w:rsidR="005B4E16" w:rsidRPr="00023CC8" w:rsidRDefault="005B4E16" w:rsidP="009E6F6C">
                            <w:pPr>
                              <w:pStyle w:val="IntenseQuote"/>
                              <w:tabs>
                                <w:tab w:val="clear" w:pos="360"/>
                                <w:tab w:val="left" w:pos="270"/>
                              </w:tabs>
                              <w:ind w:left="270" w:hanging="270"/>
                            </w:pPr>
                            <w:r>
                              <w:t xml:space="preserve">Physical Injury incidents increased for both IICs and staff in FY14. Also, 47% of patient injuries and 73% of staff injuries were directly triggered by physical assaults or </w:t>
                            </w:r>
                            <w:proofErr w:type="gramStart"/>
                            <w:r>
                              <w:t>falls</w:t>
                            </w:r>
                            <w:proofErr w:type="gramEnd"/>
                            <w:r>
                              <w:t xml:space="preserve"> related to assaults.</w:t>
                            </w:r>
                            <w:r w:rsidRPr="00023CC8">
                              <w:t xml:space="preserve"> </w:t>
                            </w:r>
                          </w:p>
                        </w:txbxContent>
                      </wps:txbx>
                      <wps:bodyPr rot="0" vert="horz" wrap="square" lIns="91440" tIns="18288" rIns="91440" bIns="18288"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1" o:spid="_x0000_s1031" style="position:absolute;left:0;text-align:left;margin-left:-7.5pt;margin-top:32.55pt;width:529.1pt;height:33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43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" o:allowoverlap="f" fillcolor="#dbe5f1 [660]" strokecolor="#1f497d [3215]" strokeweight="4pt">
                <v:fill opacity="16448f"/>
                <v:stroke linestyle="thickThin"/>
                <v:shadow on="t" color="#dbe5f1 [660]"/>
                <v:textbox inset=",1.44pt,,1.44pt">
                  <w:txbxContent>
                    <w:p w:rsidR="005B4E16" w:rsidRDefault="005B4E16" w:rsidP="009E6F6C">
                      <w:pPr>
                        <w:pStyle w:val="IntenseQuote"/>
                        <w:tabs>
                          <w:tab w:val="clear" w:pos="360"/>
                          <w:tab w:val="left" w:pos="270"/>
                        </w:tabs>
                        <w:ind w:left="270" w:hanging="270"/>
                      </w:pPr>
                      <w:r>
                        <w:t xml:space="preserve">On average, </w:t>
                      </w:r>
                      <w:r w:rsidRPr="00200247">
                        <w:rPr>
                          <w:b/>
                        </w:rPr>
                        <w:t>193 unusual incidents (UI) were reported each month during FY14</w:t>
                      </w:r>
                      <w:r>
                        <w:t xml:space="preserve">.  This is an </w:t>
                      </w:r>
                      <w:r w:rsidRPr="00200247">
                        <w:rPr>
                          <w:b/>
                        </w:rPr>
                        <w:t xml:space="preserve">increase of 28% </w:t>
                      </w:r>
                      <w:r>
                        <w:t xml:space="preserve">from FY13.  This increase is primarily attributed to an </w:t>
                      </w:r>
                      <w:r w:rsidRPr="00200247">
                        <w:rPr>
                          <w:b/>
                        </w:rPr>
                        <w:t>increase of admissions</w:t>
                      </w:r>
                      <w:r>
                        <w:t xml:space="preserve"> as a majority of violence related incidents are triggered by recent admissions: in FY14, 24% of aggressors in physical assaults and 28% of aggressors in aggressive behaviors initiated such incidents when they had been in care only for less than 30 days while those in care for less than 30 days composed only 12% to 15% on a given day.</w:t>
                      </w:r>
                    </w:p>
                    <w:p w:rsidR="005B4E16" w:rsidRPr="00C02426" w:rsidRDefault="005B4E16" w:rsidP="00C02426">
                      <w:pPr>
                        <w:pStyle w:val="IntenseQuote"/>
                        <w:tabs>
                          <w:tab w:val="clear" w:pos="360"/>
                          <w:tab w:val="left" w:pos="270"/>
                        </w:tabs>
                        <w:ind w:left="270" w:hanging="270"/>
                      </w:pPr>
                      <w:r>
                        <w:t xml:space="preserve">Individuals in care are more likely to get </w:t>
                      </w:r>
                      <w:r w:rsidRPr="00200247">
                        <w:rPr>
                          <w:b/>
                        </w:rPr>
                        <w:t>agitated and become aggressive</w:t>
                      </w:r>
                      <w:r>
                        <w:t xml:space="preserve">, resulting in frequent violence related UIs </w:t>
                      </w:r>
                      <w:r w:rsidRPr="00200247">
                        <w:rPr>
                          <w:b/>
                        </w:rPr>
                        <w:t>during the process of changing their physical location and activities</w:t>
                      </w:r>
                      <w:r>
                        <w:t xml:space="preserve"> when there are more stimuli and noise in the environment.</w:t>
                      </w:r>
                    </w:p>
                    <w:p w:rsidR="005B4E16" w:rsidRDefault="005B4E16" w:rsidP="00581FDA">
                      <w:pPr>
                        <w:pStyle w:val="IntenseQuote"/>
                        <w:tabs>
                          <w:tab w:val="clear" w:pos="360"/>
                          <w:tab w:val="left" w:pos="270"/>
                        </w:tabs>
                        <w:ind w:left="270" w:hanging="270"/>
                      </w:pPr>
                      <w:r>
                        <w:t xml:space="preserve">Often times, a small number of the same individuals in care get involved repeatedly in violence related incidents: during FY14, </w:t>
                      </w:r>
                      <w:r w:rsidRPr="00200247">
                        <w:rPr>
                          <w:b/>
                        </w:rPr>
                        <w:t>25 individuals (less than 4%</w:t>
                      </w:r>
                      <w:r>
                        <w:t xml:space="preserve"> of all individuals served) were accountable for </w:t>
                      </w:r>
                      <w:r>
                        <w:rPr>
                          <w:b/>
                        </w:rPr>
                        <w:t>n</w:t>
                      </w:r>
                      <w:r w:rsidRPr="00200247">
                        <w:rPr>
                          <w:b/>
                        </w:rPr>
                        <w:t>early half (46%) of physical assaults or aggressive behaviors</w:t>
                      </w:r>
                      <w:r>
                        <w:t xml:space="preserve">.  </w:t>
                      </w:r>
                      <w:r w:rsidRPr="00200247">
                        <w:rPr>
                          <w:b/>
                        </w:rPr>
                        <w:t>Victimization is also frequently repeated</w:t>
                      </w:r>
                      <w:r>
                        <w:t xml:space="preserve">: during FY14, </w:t>
                      </w:r>
                      <w:r w:rsidRPr="00581FDA">
                        <w:t xml:space="preserve">15 individuals </w:t>
                      </w:r>
                      <w:r>
                        <w:t xml:space="preserve">in care </w:t>
                      </w:r>
                      <w:r w:rsidRPr="00581FDA">
                        <w:t xml:space="preserve">and 9 employees each were victimized </w:t>
                      </w:r>
                      <w:r>
                        <w:t>by physical assaults or aggressive behaviors five (5) times or more</w:t>
                      </w:r>
                      <w:r w:rsidRPr="00581FDA">
                        <w:t>.</w:t>
                      </w:r>
                    </w:p>
                    <w:p w:rsidR="005B4E16" w:rsidRPr="00AB1760" w:rsidRDefault="005B4E16" w:rsidP="00AB1760">
                      <w:pPr>
                        <w:pStyle w:val="IntenseQuote"/>
                        <w:tabs>
                          <w:tab w:val="clear" w:pos="360"/>
                          <w:tab w:val="left" w:pos="270"/>
                        </w:tabs>
                        <w:ind w:left="270" w:hanging="270"/>
                      </w:pPr>
                      <w:r>
                        <w:t xml:space="preserve">Nearly two out of three assaults or aggressive behaviors identified to be at </w:t>
                      </w:r>
                      <w:r w:rsidRPr="00200247">
                        <w:rPr>
                          <w:b/>
                        </w:rPr>
                        <w:t>severe</w:t>
                      </w:r>
                      <w:r>
                        <w:t xml:space="preserve"> level were triggered by individuals admitted with a </w:t>
                      </w:r>
                      <w:r w:rsidRPr="00200247">
                        <w:rPr>
                          <w:b/>
                        </w:rPr>
                        <w:t>pre-trial</w:t>
                      </w:r>
                      <w:r>
                        <w:t xml:space="preserve"> legal status.</w:t>
                      </w:r>
                    </w:p>
                    <w:p w:rsidR="005B4E16" w:rsidRPr="00A202E2" w:rsidRDefault="005B4E16" w:rsidP="00A202E2">
                      <w:pPr>
                        <w:pStyle w:val="IntenseQuote"/>
                        <w:tabs>
                          <w:tab w:val="clear" w:pos="360"/>
                          <w:tab w:val="left" w:pos="270"/>
                        </w:tabs>
                        <w:ind w:left="270" w:hanging="270"/>
                      </w:pPr>
                      <w:r>
                        <w:t xml:space="preserve">The number of physical assaults increased in FY14 along with other types of violence related incidents but the </w:t>
                      </w:r>
                      <w:r w:rsidRPr="00200247">
                        <w:rPr>
                          <w:b/>
                        </w:rPr>
                        <w:t>relative frequency of physical assaults compared with aggressive behaviors continued to decrease</w:t>
                      </w:r>
                      <w:r>
                        <w:t xml:space="preserve">.  This trend may be attributed to </w:t>
                      </w:r>
                      <w:r w:rsidRPr="00200247">
                        <w:rPr>
                          <w:b/>
                        </w:rPr>
                        <w:t>improved responses and interventions</w:t>
                      </w:r>
                      <w:r>
                        <w:t xml:space="preserve"> to a violent event by the treatment team as they successfully prevented many aggressive behaviors from turning into assaults.</w:t>
                      </w:r>
                    </w:p>
                    <w:p w:rsidR="005B4E16" w:rsidRPr="005507EF" w:rsidRDefault="005B4E16" w:rsidP="009E6F6C">
                      <w:pPr>
                        <w:pStyle w:val="IntenseQuote"/>
                        <w:tabs>
                          <w:tab w:val="clear" w:pos="360"/>
                          <w:tab w:val="left" w:pos="270"/>
                        </w:tabs>
                        <w:ind w:left="270" w:hanging="270"/>
                      </w:pPr>
                      <w:r>
                        <w:t xml:space="preserve">Fall incidents, and the number of unique individuals </w:t>
                      </w:r>
                      <w:r w:rsidRPr="00200247">
                        <w:rPr>
                          <w:b/>
                        </w:rPr>
                        <w:t>who fell repeatedly increased</w:t>
                      </w:r>
                      <w:r>
                        <w:t xml:space="preserve"> in FY14. </w:t>
                      </w:r>
                    </w:p>
                    <w:p w:rsidR="005B4E16" w:rsidRPr="00023CC8" w:rsidRDefault="005B4E16" w:rsidP="009E6F6C">
                      <w:pPr>
                        <w:pStyle w:val="IntenseQuote"/>
                        <w:tabs>
                          <w:tab w:val="clear" w:pos="360"/>
                          <w:tab w:val="left" w:pos="270"/>
                        </w:tabs>
                        <w:ind w:left="270" w:hanging="270"/>
                      </w:pPr>
                      <w:r>
                        <w:t xml:space="preserve">Physical Injury incidents increased for both IICs and staff in FY14. Also, 47% of patient injuries and 73% of staff injuries were directly triggered by physical assaults or </w:t>
                      </w:r>
                      <w:proofErr w:type="gramStart"/>
                      <w:r>
                        <w:t>falls</w:t>
                      </w:r>
                      <w:proofErr w:type="gramEnd"/>
                      <w:r>
                        <w:t xml:space="preserve"> related to assaults.</w:t>
                      </w:r>
                      <w:r w:rsidRPr="00023CC8">
                        <w:t xml:space="preserve"> </w:t>
                      </w:r>
                    </w:p>
                  </w:txbxContent>
                </v:textbox>
                <w10:wrap type="topAndBottom"/>
              </v:roundrect>
            </w:pict>
          </mc:Fallback>
        </mc:AlternateContent>
      </w:r>
      <w:r w:rsidR="005A5453" w:rsidRPr="00650386">
        <w:t>Unusual Incidents</w:t>
      </w:r>
      <w:bookmarkEnd w:id="285"/>
      <w:bookmarkEnd w:id="286"/>
    </w:p>
    <w:tbl>
      <w:tblPr>
        <w:tblStyle w:val="TableGrid"/>
        <w:tblpPr w:leftFromText="187" w:rightFromText="187" w:vertAnchor="text" w:horzAnchor="margin" w:tblpXSpec="right" w:tblpY="30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48"/>
      </w:tblGrid>
      <w:tr w:rsidR="00D63DCD" w:rsidTr="00333EEA">
        <w:trPr>
          <w:cantSplit/>
        </w:trPr>
        <w:tc>
          <w:tcPr>
            <w:tcW w:w="5148" w:type="dxa"/>
          </w:tcPr>
          <w:p w:rsidR="00D63DCD" w:rsidRDefault="00D63DCD" w:rsidP="00333EEA">
            <w:pPr>
              <w:pStyle w:val="KeyFindings"/>
              <w:numPr>
                <w:ilvl w:val="0"/>
                <w:numId w:val="0"/>
              </w:numPr>
              <w:ind w:left="720" w:hanging="648"/>
              <w:rPr>
                <w:rStyle w:val="FigureChar"/>
              </w:rPr>
            </w:pPr>
            <w:bookmarkStart w:id="287" w:name="_Toc384134357"/>
            <w:bookmarkStart w:id="288" w:name="_Toc416357923"/>
            <w:bookmarkStart w:id="289" w:name="_Toc384134354"/>
            <w:r w:rsidRPr="00E269E2">
              <w:rPr>
                <w:rStyle w:val="FigureChar"/>
              </w:rPr>
              <w:t xml:space="preserve">Figure </w:t>
            </w:r>
            <w:r>
              <w:rPr>
                <w:rStyle w:val="FigureChar"/>
              </w:rPr>
              <w:fldChar w:fldCharType="begin"/>
            </w:r>
            <w:r>
              <w:rPr>
                <w:rStyle w:val="FigureChar"/>
              </w:rPr>
              <w:instrText xml:space="preserve"> SEQ Figure \* ARABIC </w:instrText>
            </w:r>
            <w:r>
              <w:rPr>
                <w:rStyle w:val="FigureChar"/>
              </w:rPr>
              <w:fldChar w:fldCharType="separate"/>
            </w:r>
            <w:r w:rsidR="007E3DB6">
              <w:rPr>
                <w:rStyle w:val="FigureChar"/>
                <w:noProof/>
              </w:rPr>
              <w:t>38</w:t>
            </w:r>
            <w:r>
              <w:rPr>
                <w:rStyle w:val="FigureChar"/>
              </w:rPr>
              <w:fldChar w:fldCharType="end"/>
            </w:r>
            <w:r w:rsidRPr="00E269E2">
              <w:rPr>
                <w:rStyle w:val="FigureChar"/>
              </w:rPr>
              <w:t xml:space="preserve">. </w:t>
            </w:r>
            <w:r>
              <w:rPr>
                <w:rStyle w:val="FigureChar"/>
              </w:rPr>
              <w:t>Average Monthly Number of Unusual Incidents (UIs)</w:t>
            </w:r>
            <w:bookmarkEnd w:id="287"/>
            <w:r>
              <w:rPr>
                <w:rStyle w:val="FigureChar"/>
              </w:rPr>
              <w:t xml:space="preserve"> between FY11 and FY14</w:t>
            </w:r>
            <w:bookmarkEnd w:id="288"/>
          </w:p>
          <w:p w:rsidR="00D63DCD" w:rsidRDefault="00D63DCD" w:rsidP="00333EEA">
            <w:pPr>
              <w:jc w:val="center"/>
            </w:pPr>
            <w:r>
              <w:rPr>
                <w:noProof/>
              </w:rPr>
              <w:drawing>
                <wp:inline distT="0" distB="0" distL="0" distR="0" wp14:anchorId="4EF23C84" wp14:editId="3E0880AD">
                  <wp:extent cx="3257550" cy="1952625"/>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r>
    </w:tbl>
    <w:p w:rsidR="00F352EC" w:rsidRPr="008F764F" w:rsidRDefault="00F352EC" w:rsidP="003F18B1">
      <w:pPr>
        <w:pStyle w:val="Heading2"/>
      </w:pPr>
      <w:bookmarkStart w:id="290" w:name="_Toc416357879"/>
      <w:r>
        <w:t xml:space="preserve">Volume </w:t>
      </w:r>
      <w:r w:rsidR="00B338CE">
        <w:t xml:space="preserve">and Trend of </w:t>
      </w:r>
      <w:r w:rsidRPr="008F764F">
        <w:t>Unusual Incident</w:t>
      </w:r>
      <w:r w:rsidR="00B338CE">
        <w:t xml:space="preserve"> </w:t>
      </w:r>
      <w:r>
        <w:t>(UI)</w:t>
      </w:r>
      <w:bookmarkEnd w:id="289"/>
      <w:r w:rsidR="00B338CE">
        <w:t xml:space="preserve"> Reports</w:t>
      </w:r>
      <w:bookmarkEnd w:id="290"/>
    </w:p>
    <w:p w:rsidR="00D63DCD" w:rsidRDefault="00A91565" w:rsidP="00736CA9">
      <w:pPr>
        <w:pStyle w:val="KeyFindings"/>
      </w:pPr>
      <w:bookmarkStart w:id="291" w:name="_Toc384134355"/>
      <w:r>
        <w:t xml:space="preserve">During FY14, </w:t>
      </w:r>
      <w:r w:rsidR="002979CC">
        <w:t xml:space="preserve">the </w:t>
      </w:r>
      <w:r w:rsidR="00A52569">
        <w:t xml:space="preserve">SEH </w:t>
      </w:r>
      <w:r w:rsidR="002979CC">
        <w:t xml:space="preserve">Risk Manager received </w:t>
      </w:r>
      <w:r>
        <w:t>a</w:t>
      </w:r>
      <w:r w:rsidRPr="008333CC">
        <w:t xml:space="preserve"> total of 2</w:t>
      </w:r>
      <w:r>
        <w:t>,3</w:t>
      </w:r>
      <w:r w:rsidRPr="008333CC">
        <w:t>21</w:t>
      </w:r>
      <w:r w:rsidR="004A2077">
        <w:t xml:space="preserve"> </w:t>
      </w:r>
      <w:r w:rsidR="002979CC" w:rsidRPr="008333CC">
        <w:t>unusual incident</w:t>
      </w:r>
      <w:r w:rsidR="002979CC">
        <w:t xml:space="preserve"> (UI)</w:t>
      </w:r>
      <w:r w:rsidR="00333EEA">
        <w:t xml:space="preserve"> reports</w:t>
      </w:r>
      <w:r w:rsidR="002979CC">
        <w:t xml:space="preserve">, which </w:t>
      </w:r>
      <w:r w:rsidR="004A2077">
        <w:t xml:space="preserve">is translated into </w:t>
      </w:r>
      <w:r w:rsidR="004A2077" w:rsidRPr="008333CC">
        <w:t xml:space="preserve">an average of </w:t>
      </w:r>
      <w:r w:rsidR="004A2077">
        <w:t>193</w:t>
      </w:r>
      <w:r w:rsidR="004A2077" w:rsidRPr="008333CC">
        <w:t xml:space="preserve"> per month</w:t>
      </w:r>
      <w:r w:rsidR="004A2077">
        <w:t xml:space="preserve"> or</w:t>
      </w:r>
      <w:r w:rsidR="00944EC9">
        <w:t xml:space="preserve"> about</w:t>
      </w:r>
      <w:r w:rsidR="004A2077">
        <w:t xml:space="preserve"> six (6) per day.</w:t>
      </w:r>
      <w:r>
        <w:t xml:space="preserve"> </w:t>
      </w:r>
      <w:r w:rsidR="004A2077">
        <w:t xml:space="preserve"> </w:t>
      </w:r>
      <w:r w:rsidR="00736CA9">
        <w:t xml:space="preserve">This is an </w:t>
      </w:r>
      <w:r w:rsidR="00736CA9" w:rsidRPr="008333CC">
        <w:t xml:space="preserve">increase of </w:t>
      </w:r>
      <w:r w:rsidR="00736CA9">
        <w:t>28</w:t>
      </w:r>
      <w:r w:rsidR="00736CA9" w:rsidRPr="008333CC">
        <w:t>% from FY1</w:t>
      </w:r>
      <w:r w:rsidR="00736CA9">
        <w:t>3</w:t>
      </w:r>
      <w:r w:rsidR="00736CA9" w:rsidRPr="008333CC">
        <w:t>,</w:t>
      </w:r>
      <w:r w:rsidR="00736CA9">
        <w:t xml:space="preserve"> </w:t>
      </w:r>
      <w:r w:rsidR="00736CA9" w:rsidRPr="008333CC">
        <w:t xml:space="preserve">when </w:t>
      </w:r>
      <w:r w:rsidR="00736CA9">
        <w:t>a total of 1,808 or</w:t>
      </w:r>
      <w:r w:rsidR="00736CA9" w:rsidRPr="008333CC">
        <w:t xml:space="preserve"> </w:t>
      </w:r>
      <w:proofErr w:type="gramStart"/>
      <w:r w:rsidR="00944EC9">
        <w:t>a</w:t>
      </w:r>
      <w:r w:rsidR="00D63DCD">
        <w:t xml:space="preserve">n </w:t>
      </w:r>
      <w:r w:rsidR="00944EC9">
        <w:t xml:space="preserve">average of </w:t>
      </w:r>
      <w:r w:rsidR="00736CA9" w:rsidRPr="008333CC">
        <w:t>1</w:t>
      </w:r>
      <w:r w:rsidR="00736CA9">
        <w:t>51</w:t>
      </w:r>
      <w:r w:rsidR="00D63DCD">
        <w:t xml:space="preserve"> </w:t>
      </w:r>
      <w:r w:rsidR="00944EC9">
        <w:t>UIs</w:t>
      </w:r>
      <w:r w:rsidR="00D63DCD">
        <w:t xml:space="preserve"> per month</w:t>
      </w:r>
      <w:r w:rsidR="00944EC9">
        <w:t xml:space="preserve"> w</w:t>
      </w:r>
      <w:r w:rsidR="00A52569">
        <w:t>ere</w:t>
      </w:r>
      <w:proofErr w:type="gramEnd"/>
      <w:r w:rsidR="00944EC9">
        <w:t xml:space="preserve"> reported</w:t>
      </w:r>
      <w:r w:rsidR="00D63DCD">
        <w:rPr>
          <w:rStyle w:val="FootnoteReference"/>
        </w:rPr>
        <w:footnoteReference w:id="21"/>
      </w:r>
      <w:r w:rsidR="00736CA9">
        <w:t>.</w:t>
      </w:r>
    </w:p>
    <w:p w:rsidR="00F352EC" w:rsidRDefault="00736CA9" w:rsidP="00A80446">
      <w:pPr>
        <w:pStyle w:val="KeyFindings"/>
      </w:pPr>
      <w:r>
        <w:t>T</w:t>
      </w:r>
      <w:r w:rsidR="00907CD2">
        <w:t>he number of UIs</w:t>
      </w:r>
      <w:r>
        <w:t>,</w:t>
      </w:r>
      <w:r w:rsidR="00944EC9">
        <w:t xml:space="preserve"> when</w:t>
      </w:r>
      <w:r>
        <w:t xml:space="preserve"> excluding</w:t>
      </w:r>
      <w:r w:rsidR="00907CD2">
        <w:t xml:space="preserve"> </w:t>
      </w:r>
      <w:r w:rsidR="00A01436">
        <w:t xml:space="preserve">any medication variance (MV) </w:t>
      </w:r>
      <w:r w:rsidR="002979CC">
        <w:t xml:space="preserve">and </w:t>
      </w:r>
      <w:r w:rsidR="00A91565">
        <w:t>medication</w:t>
      </w:r>
      <w:r w:rsidR="002979CC">
        <w:t>/</w:t>
      </w:r>
      <w:r w:rsidR="00A91565">
        <w:t>vital sign</w:t>
      </w:r>
      <w:r w:rsidR="002979CC">
        <w:t xml:space="preserve"> refusal events</w:t>
      </w:r>
      <w:r>
        <w:t>,</w:t>
      </w:r>
      <w:r w:rsidR="00A91565">
        <w:rPr>
          <w:rStyle w:val="FootnoteReference"/>
        </w:rPr>
        <w:footnoteReference w:id="22"/>
      </w:r>
      <w:r w:rsidR="004E2D41">
        <w:t xml:space="preserve"> </w:t>
      </w:r>
      <w:r>
        <w:t xml:space="preserve">had been </w:t>
      </w:r>
      <w:r w:rsidR="00A52569">
        <w:t>trending downward</w:t>
      </w:r>
      <w:r>
        <w:t xml:space="preserve"> between FY11 and FY13</w:t>
      </w:r>
      <w:bookmarkEnd w:id="291"/>
      <w:r w:rsidR="00F03A81">
        <w:t xml:space="preserve"> </w:t>
      </w:r>
      <w:r w:rsidR="00A52569">
        <w:t>but</w:t>
      </w:r>
      <w:r w:rsidR="00F03A81">
        <w:t xml:space="preserve"> increased significantly in FY14</w:t>
      </w:r>
      <w:r w:rsidR="00944EC9">
        <w:t xml:space="preserve">.  This is </w:t>
      </w:r>
      <w:r w:rsidR="00A52569">
        <w:t>likely</w:t>
      </w:r>
      <w:r w:rsidR="00944EC9">
        <w:t xml:space="preserve"> due to an increase in</w:t>
      </w:r>
      <w:r w:rsidR="00F03A81">
        <w:t xml:space="preserve"> the number of admission</w:t>
      </w:r>
      <w:r w:rsidR="00944EC9">
        <w:t xml:space="preserve">s and </w:t>
      </w:r>
      <w:r w:rsidR="00D63DCD">
        <w:t xml:space="preserve">an increase </w:t>
      </w:r>
      <w:r w:rsidR="003C7F34">
        <w:t>in</w:t>
      </w:r>
      <w:r w:rsidR="00D63DCD">
        <w:t xml:space="preserve"> </w:t>
      </w:r>
      <w:r w:rsidR="00944EC9">
        <w:t>the daily census in FY14</w:t>
      </w:r>
      <w:r w:rsidR="001E1FB1">
        <w:t>, which is further presented below.</w:t>
      </w:r>
      <w:r>
        <w:t xml:space="preserve"> </w:t>
      </w:r>
    </w:p>
    <w:p w:rsidR="0068295B" w:rsidRDefault="0068295B" w:rsidP="00A80446">
      <w:pPr>
        <w:pStyle w:val="KeyFindings"/>
      </w:pPr>
      <w:r>
        <w:t xml:space="preserve">Most of the UIs reported </w:t>
      </w:r>
      <w:r w:rsidR="00A03BEC">
        <w:t>were</w:t>
      </w:r>
      <w:r>
        <w:t xml:space="preserve"> patient involved incidents where at least one </w:t>
      </w:r>
      <w:r w:rsidR="00B064F1">
        <w:t>individual in care</w:t>
      </w:r>
      <w:r w:rsidR="009F7C00">
        <w:t xml:space="preserve"> </w:t>
      </w:r>
      <w:r>
        <w:t>participate</w:t>
      </w:r>
      <w:r w:rsidR="00A03BEC">
        <w:t>d</w:t>
      </w:r>
      <w:r w:rsidR="002B2E75">
        <w:t xml:space="preserve"> as an</w:t>
      </w:r>
      <w:r>
        <w:t xml:space="preserve"> aggressor</w:t>
      </w:r>
      <w:r w:rsidR="002B2E75">
        <w:t xml:space="preserve">, </w:t>
      </w:r>
      <w:r>
        <w:t>victim or unspecified role.</w:t>
      </w:r>
      <w:r w:rsidR="002B2E75">
        <w:t xml:space="preserve">  On average, </w:t>
      </w:r>
      <w:r w:rsidR="00C934BC">
        <w:t xml:space="preserve">12 </w:t>
      </w:r>
      <w:r w:rsidR="009F7C00">
        <w:t>UI</w:t>
      </w:r>
      <w:r w:rsidR="00C934BC">
        <w:t>s</w:t>
      </w:r>
      <w:r w:rsidR="009F7C00">
        <w:t xml:space="preserve"> per</w:t>
      </w:r>
      <w:r w:rsidR="00F03A81">
        <w:t xml:space="preserve"> month involve</w:t>
      </w:r>
      <w:r w:rsidR="00A03BEC">
        <w:t>d</w:t>
      </w:r>
      <w:r w:rsidR="00F03A81">
        <w:t xml:space="preserve"> </w:t>
      </w:r>
      <w:r w:rsidR="002B2E75">
        <w:t>no</w:t>
      </w:r>
      <w:r w:rsidR="00F03A81">
        <w:t xml:space="preserve"> </w:t>
      </w:r>
      <w:r w:rsidR="002B2E75">
        <w:t xml:space="preserve">individual in care </w:t>
      </w:r>
      <w:r w:rsidR="00F03A81">
        <w:t xml:space="preserve">but </w:t>
      </w:r>
      <w:r w:rsidR="00A03BEC">
        <w:t xml:space="preserve">pertained </w:t>
      </w:r>
      <w:r w:rsidR="00F03A81">
        <w:t>only</w:t>
      </w:r>
      <w:r w:rsidR="00A03BEC">
        <w:t xml:space="preserve"> to</w:t>
      </w:r>
      <w:r w:rsidR="00F03A81">
        <w:t xml:space="preserve"> </w:t>
      </w:r>
      <w:r w:rsidR="00E37B25">
        <w:t>(an) employee(s)</w:t>
      </w:r>
      <w:r w:rsidR="002B2E75">
        <w:t>.</w:t>
      </w:r>
      <w:r w:rsidR="00C934BC">
        <w:t xml:space="preserve"> </w:t>
      </w:r>
    </w:p>
    <w:p w:rsidR="005F16AB" w:rsidRDefault="005F16AB" w:rsidP="005F16AB">
      <w:pPr>
        <w:pStyle w:val="KeyFindings"/>
      </w:pPr>
      <w:r>
        <w:t xml:space="preserve">During FY14, the </w:t>
      </w:r>
      <w:r w:rsidR="00A37421">
        <w:t xml:space="preserve">monthly </w:t>
      </w:r>
      <w:r w:rsidR="009F7C00">
        <w:t>number of UIs ranged between 169 and 199 except for the following three</w:t>
      </w:r>
      <w:r w:rsidR="00330FAD">
        <w:t xml:space="preserve"> (3)</w:t>
      </w:r>
      <w:r w:rsidR="009F7C00">
        <w:t xml:space="preserve"> months when it </w:t>
      </w:r>
      <w:r w:rsidR="00B338CE">
        <w:t>was</w:t>
      </w:r>
      <w:r w:rsidR="009F7C00">
        <w:t xml:space="preserve"> well above 200</w:t>
      </w:r>
      <w:r w:rsidR="00A37421">
        <w:t xml:space="preserve">: January, </w:t>
      </w:r>
      <w:r>
        <w:t>April and August of 2014</w:t>
      </w:r>
      <w:r w:rsidR="00A37421">
        <w:t>.  These months are also the three (3) months with the highest admissions in FY14</w:t>
      </w:r>
      <w:r>
        <w:t>.</w:t>
      </w:r>
    </w:p>
    <w:p w:rsidR="00C9503C" w:rsidRDefault="00C9503C" w:rsidP="006676BA">
      <w:pPr>
        <w:pStyle w:val="KeyFindings"/>
        <w:keepNext/>
        <w:numPr>
          <w:ilvl w:val="0"/>
          <w:numId w:val="0"/>
        </w:numPr>
      </w:pPr>
      <w:bookmarkStart w:id="292" w:name="_Toc384134358"/>
      <w:bookmarkStart w:id="293" w:name="_Toc416357924"/>
      <w:r w:rsidRPr="00E269E2">
        <w:rPr>
          <w:rStyle w:val="FigureChar"/>
        </w:rPr>
        <w:t xml:space="preserve">Figure </w:t>
      </w:r>
      <w:r w:rsidRPr="000A4939">
        <w:rPr>
          <w:rStyle w:val="FigureChar"/>
        </w:rPr>
        <w:fldChar w:fldCharType="begin"/>
      </w:r>
      <w:r w:rsidRPr="000A4939">
        <w:rPr>
          <w:rStyle w:val="FigureChar"/>
        </w:rPr>
        <w:instrText xml:space="preserve"> SEQ Figure \* ARABIC </w:instrText>
      </w:r>
      <w:r w:rsidRPr="000A4939">
        <w:rPr>
          <w:rStyle w:val="FigureChar"/>
        </w:rPr>
        <w:fldChar w:fldCharType="separate"/>
      </w:r>
      <w:r w:rsidR="007E3DB6">
        <w:rPr>
          <w:rStyle w:val="FigureChar"/>
          <w:noProof/>
        </w:rPr>
        <w:t>39</w:t>
      </w:r>
      <w:r w:rsidRPr="000A4939">
        <w:rPr>
          <w:rStyle w:val="FigureChar"/>
        </w:rPr>
        <w:fldChar w:fldCharType="end"/>
      </w:r>
      <w:r w:rsidRPr="00E269E2">
        <w:rPr>
          <w:rStyle w:val="FigureChar"/>
        </w:rPr>
        <w:t xml:space="preserve">. </w:t>
      </w:r>
      <w:r>
        <w:rPr>
          <w:rStyle w:val="FigureChar"/>
        </w:rPr>
        <w:t>Trend in the Number</w:t>
      </w:r>
      <w:r w:rsidR="001E150C">
        <w:rPr>
          <w:rStyle w:val="FigureChar"/>
        </w:rPr>
        <w:t xml:space="preserve"> of UIs by Month (FY1</w:t>
      </w:r>
      <w:r w:rsidR="00B22E89">
        <w:rPr>
          <w:rStyle w:val="FigureChar"/>
        </w:rPr>
        <w:t>4</w:t>
      </w:r>
      <w:r w:rsidR="001E150C">
        <w:rPr>
          <w:rStyle w:val="FigureChar"/>
        </w:rPr>
        <w:t>)</w:t>
      </w:r>
      <w:bookmarkEnd w:id="292"/>
      <w:bookmarkEnd w:id="293"/>
    </w:p>
    <w:p w:rsidR="00C9503C" w:rsidRPr="00636314" w:rsidRDefault="00636314" w:rsidP="00636314">
      <w:r>
        <w:rPr>
          <w:noProof/>
        </w:rPr>
        <w:drawing>
          <wp:inline distT="0" distB="0" distL="0" distR="0" wp14:anchorId="295FDE56" wp14:editId="5DE15F2F">
            <wp:extent cx="6648450" cy="230505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E23D64" w:rsidRDefault="00933CF3" w:rsidP="00A80446">
      <w:pPr>
        <w:pStyle w:val="KeyFindings"/>
      </w:pPr>
      <w:bookmarkStart w:id="294" w:name="_Toc384134361"/>
      <w:r>
        <w:t xml:space="preserve">The </w:t>
      </w:r>
      <w:r w:rsidR="002C33D0">
        <w:t>t</w:t>
      </w:r>
      <w:r>
        <w:t xml:space="preserve">rend of </w:t>
      </w:r>
      <w:r w:rsidR="002C33D0">
        <w:t>UIs</w:t>
      </w:r>
      <w:r>
        <w:t xml:space="preserve"> often </w:t>
      </w:r>
      <w:r w:rsidR="00A82CBC">
        <w:t xml:space="preserve">mirrors </w:t>
      </w:r>
      <w:r w:rsidR="002C33D0">
        <w:t xml:space="preserve">the </w:t>
      </w:r>
      <w:r w:rsidR="00A82CBC">
        <w:t>trend of a</w:t>
      </w:r>
      <w:r>
        <w:t>dmissions</w:t>
      </w:r>
      <w:r w:rsidR="005323DE">
        <w:t xml:space="preserve"> to SEH</w:t>
      </w:r>
      <w:r>
        <w:t xml:space="preserve">.  </w:t>
      </w:r>
      <w:r w:rsidR="002C33D0">
        <w:t xml:space="preserve">The Hospital’s multiple studies demonstrate that individuals in early stage of hospitalization are more likely to </w:t>
      </w:r>
      <w:r w:rsidR="00A52569">
        <w:t>be involved</w:t>
      </w:r>
      <w:r w:rsidR="002C33D0">
        <w:t xml:space="preserve"> in unusual incidents, particularly violence related incidents</w:t>
      </w:r>
      <w:r w:rsidR="002A4623">
        <w:t>.</w:t>
      </w:r>
      <w:bookmarkEnd w:id="294"/>
      <w:r w:rsidR="00AC6EF4">
        <w:t xml:space="preserve">  In addition to the aforementioned three months with the highest number of UIs in FY14, the trend of the patient UI rate</w:t>
      </w:r>
      <w:r w:rsidR="00AC6EF4">
        <w:rPr>
          <w:rStyle w:val="FootnoteReference"/>
        </w:rPr>
        <w:footnoteReference w:id="23"/>
      </w:r>
      <w:r w:rsidR="00AC6EF4">
        <w:t xml:space="preserve"> </w:t>
      </w:r>
      <w:r w:rsidR="00E23D64">
        <w:t xml:space="preserve">over the past several years </w:t>
      </w:r>
      <w:r w:rsidR="00A52569">
        <w:t xml:space="preserve">closely </w:t>
      </w:r>
      <w:r w:rsidR="00B338CE">
        <w:t xml:space="preserve">resembled </w:t>
      </w:r>
      <w:r w:rsidR="00AC6EF4">
        <w:t>the trend in the number of admissions</w:t>
      </w:r>
      <w:r w:rsidR="00E23D64">
        <w:t xml:space="preserve"> over the same period of time</w:t>
      </w:r>
      <w:r w:rsidR="00AC6EF4">
        <w:t xml:space="preserve">. </w:t>
      </w:r>
      <w:bookmarkStart w:id="295" w:name="_Toc384134363"/>
    </w:p>
    <w:p w:rsidR="00CA419E" w:rsidRDefault="00CA419E" w:rsidP="00125E82">
      <w:pPr>
        <w:pStyle w:val="KeyFindings"/>
        <w:keepNext/>
        <w:numPr>
          <w:ilvl w:val="0"/>
          <w:numId w:val="0"/>
        </w:numPr>
      </w:pPr>
      <w:bookmarkStart w:id="296" w:name="_Toc384134362"/>
      <w:bookmarkStart w:id="297" w:name="_Toc416357925"/>
      <w:bookmarkEnd w:id="295"/>
      <w:r w:rsidRPr="00E269E2">
        <w:rPr>
          <w:rStyle w:val="FigureChar"/>
        </w:rPr>
        <w:t xml:space="preserve">Figure </w:t>
      </w:r>
      <w:r w:rsidRPr="000A4939">
        <w:rPr>
          <w:rStyle w:val="FigureChar"/>
        </w:rPr>
        <w:fldChar w:fldCharType="begin"/>
      </w:r>
      <w:r w:rsidRPr="000A4939">
        <w:rPr>
          <w:rStyle w:val="FigureChar"/>
        </w:rPr>
        <w:instrText xml:space="preserve"> SEQ Figure \* ARABIC </w:instrText>
      </w:r>
      <w:r w:rsidRPr="000A4939">
        <w:rPr>
          <w:rStyle w:val="FigureChar"/>
        </w:rPr>
        <w:fldChar w:fldCharType="separate"/>
      </w:r>
      <w:r w:rsidR="007E3DB6">
        <w:rPr>
          <w:rStyle w:val="FigureChar"/>
          <w:noProof/>
        </w:rPr>
        <w:t>40</w:t>
      </w:r>
      <w:r w:rsidRPr="000A4939">
        <w:rPr>
          <w:rStyle w:val="FigureChar"/>
        </w:rPr>
        <w:fldChar w:fldCharType="end"/>
      </w:r>
      <w:r w:rsidRPr="00E269E2">
        <w:rPr>
          <w:rStyle w:val="FigureChar"/>
        </w:rPr>
        <w:t xml:space="preserve">. </w:t>
      </w:r>
      <w:r w:rsidR="004441DD">
        <w:rPr>
          <w:rStyle w:val="FigureChar"/>
        </w:rPr>
        <w:t xml:space="preserve">Trend in the </w:t>
      </w:r>
      <w:r>
        <w:rPr>
          <w:rStyle w:val="FigureChar"/>
        </w:rPr>
        <w:t xml:space="preserve">Number of </w:t>
      </w:r>
      <w:r w:rsidR="00206A55">
        <w:rPr>
          <w:rStyle w:val="FigureChar"/>
        </w:rPr>
        <w:t>Admissions</w:t>
      </w:r>
      <w:r>
        <w:rPr>
          <w:rStyle w:val="FigureChar"/>
        </w:rPr>
        <w:t xml:space="preserve"> </w:t>
      </w:r>
      <w:r w:rsidR="004441DD">
        <w:rPr>
          <w:rStyle w:val="FigureChar"/>
        </w:rPr>
        <w:t xml:space="preserve">vs. Trend of </w:t>
      </w:r>
      <w:r w:rsidR="00206A55">
        <w:rPr>
          <w:rStyle w:val="FigureChar"/>
        </w:rPr>
        <w:t>Patient UI Rate</w:t>
      </w:r>
      <w:r w:rsidR="004441DD">
        <w:rPr>
          <w:rStyle w:val="FigureChar"/>
        </w:rPr>
        <w:t xml:space="preserve"> </w:t>
      </w:r>
      <w:r>
        <w:rPr>
          <w:rStyle w:val="FigureChar"/>
        </w:rPr>
        <w:t>(FY1</w:t>
      </w:r>
      <w:r w:rsidR="00206A55">
        <w:rPr>
          <w:rStyle w:val="FigureChar"/>
        </w:rPr>
        <w:t>2</w:t>
      </w:r>
      <w:r>
        <w:rPr>
          <w:rStyle w:val="FigureChar"/>
        </w:rPr>
        <w:t xml:space="preserve"> ~ FY1</w:t>
      </w:r>
      <w:r w:rsidR="00206A55">
        <w:rPr>
          <w:rStyle w:val="FigureChar"/>
        </w:rPr>
        <w:t>4</w:t>
      </w:r>
      <w:r>
        <w:rPr>
          <w:rStyle w:val="FigureChar"/>
        </w:rPr>
        <w:t>)</w:t>
      </w:r>
      <w:bookmarkEnd w:id="296"/>
      <w:bookmarkEnd w:id="297"/>
    </w:p>
    <w:p w:rsidR="00CA419E" w:rsidRPr="00CA419E" w:rsidRDefault="00146CE6" w:rsidP="00CA419E">
      <w:r>
        <w:rPr>
          <w:noProof/>
        </w:rPr>
        <w:drawing>
          <wp:inline distT="0" distB="0" distL="0" distR="0" wp14:anchorId="2A0D7507" wp14:editId="614F570C">
            <wp:extent cx="6648450" cy="2676525"/>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E23D64" w:rsidRDefault="005323DE" w:rsidP="00E23D64">
      <w:pPr>
        <w:pStyle w:val="KeyFindings"/>
      </w:pPr>
      <w:bookmarkStart w:id="298" w:name="_Toc281989609"/>
      <w:bookmarkStart w:id="299" w:name="_Toc349913431"/>
      <w:bookmarkStart w:id="300" w:name="_Toc384134366"/>
      <w:r>
        <w:t>From</w:t>
      </w:r>
      <w:r w:rsidR="00E23D64">
        <w:t xml:space="preserve"> FY11</w:t>
      </w:r>
      <w:r w:rsidR="00901613">
        <w:t xml:space="preserve"> through FY13</w:t>
      </w:r>
      <w:r w:rsidR="00E23D64">
        <w:t xml:space="preserve">, the patient UI rate </w:t>
      </w:r>
      <w:r w:rsidR="00901613">
        <w:t xml:space="preserve">was mostly below 20 per 1,000 patient days, ranging </w:t>
      </w:r>
      <w:r w:rsidR="00E23D64">
        <w:t>between 15 and 25</w:t>
      </w:r>
      <w:r w:rsidR="00901613">
        <w:t xml:space="preserve">.  The patient UI rate, however, </w:t>
      </w:r>
      <w:r w:rsidR="00B338CE">
        <w:t xml:space="preserve">has </w:t>
      </w:r>
      <w:r w:rsidR="00E23D64">
        <w:t>n</w:t>
      </w:r>
      <w:r>
        <w:t>ot</w:t>
      </w:r>
      <w:r w:rsidR="00E23D64">
        <w:t xml:space="preserve"> f</w:t>
      </w:r>
      <w:r w:rsidR="00B338CE">
        <w:t>allen</w:t>
      </w:r>
      <w:r w:rsidR="00E23D64">
        <w:t xml:space="preserve"> below 20 </w:t>
      </w:r>
      <w:r w:rsidR="00901613">
        <w:t xml:space="preserve">since October 2013 and </w:t>
      </w:r>
      <w:r w:rsidR="00E23D64">
        <w:t>reach</w:t>
      </w:r>
      <w:r w:rsidR="00901613">
        <w:t>ed</w:t>
      </w:r>
      <w:r w:rsidR="00E23D64">
        <w:t xml:space="preserve"> its highest level at 28</w:t>
      </w:r>
      <w:r w:rsidR="00901613">
        <w:t xml:space="preserve"> </w:t>
      </w:r>
      <w:r w:rsidR="00E74B72">
        <w:t xml:space="preserve">per 1000 patient days, or eight (8) per day, </w:t>
      </w:r>
      <w:r w:rsidR="00901613">
        <w:t>in</w:t>
      </w:r>
      <w:r w:rsidR="00E23D64">
        <w:t xml:space="preserve"> August 2014.  The </w:t>
      </w:r>
      <w:bookmarkStart w:id="301" w:name="_Toc384134364"/>
      <w:r w:rsidR="00E23D64">
        <w:t xml:space="preserve">average patient UI rate for </w:t>
      </w:r>
      <w:r w:rsidR="004F551A">
        <w:t xml:space="preserve">FY14 </w:t>
      </w:r>
      <w:r w:rsidR="005549B6">
        <w:t>was 2</w:t>
      </w:r>
      <w:r w:rsidR="00E23D64">
        <w:t>2.6</w:t>
      </w:r>
      <w:r w:rsidR="005549B6">
        <w:t>, which is an increase</w:t>
      </w:r>
      <w:r w:rsidR="00E23D64">
        <w:t xml:space="preserve"> from 17.6 in FY13.</w:t>
      </w:r>
      <w:bookmarkEnd w:id="301"/>
    </w:p>
    <w:p w:rsidR="0052769F" w:rsidRPr="005943BB" w:rsidRDefault="0052769F" w:rsidP="0052769F">
      <w:pPr>
        <w:pStyle w:val="KeyFindings"/>
        <w:rPr>
          <w:b/>
          <w:snapToGrid/>
          <w:color w:val="1F497D"/>
        </w:rPr>
      </w:pPr>
      <w:bookmarkStart w:id="302" w:name="_Toc384134369"/>
      <w:bookmarkEnd w:id="298"/>
      <w:bookmarkEnd w:id="299"/>
      <w:bookmarkEnd w:id="300"/>
      <w:r w:rsidRPr="005943BB">
        <w:t xml:space="preserve">On average, one out of three individuals served at the Hospital is </w:t>
      </w:r>
      <w:r w:rsidR="00B338CE">
        <w:t xml:space="preserve">involved in at least one incident as an aggressor, victim, witness or unidentified role </w:t>
      </w:r>
      <w:r w:rsidR="005323DE">
        <w:t>during a month of time</w:t>
      </w:r>
      <w:r w:rsidRPr="005943BB">
        <w:t xml:space="preserve">.  In FY14, the Hospital served an average of 303 unique </w:t>
      </w:r>
      <w:r w:rsidR="00C62398">
        <w:t>IICs</w:t>
      </w:r>
      <w:r w:rsidR="003F5D23" w:rsidRPr="005943BB">
        <w:t xml:space="preserve"> </w:t>
      </w:r>
      <w:r w:rsidRPr="005943BB">
        <w:t>per month.  Of those, 109 or 36% were involved in at least one UI</w:t>
      </w:r>
      <w:r w:rsidR="00B338CE">
        <w:t xml:space="preserve"> </w:t>
      </w:r>
      <w:r w:rsidR="005323DE">
        <w:t xml:space="preserve">in any role </w:t>
      </w:r>
      <w:r w:rsidRPr="005943BB">
        <w:t>each month.  However, 5</w:t>
      </w:r>
      <w:r w:rsidR="002C7C61">
        <w:t>7</w:t>
      </w:r>
      <w:r w:rsidRPr="005943BB">
        <w:t xml:space="preserve"> out of 109 experienced only one incident</w:t>
      </w:r>
      <w:r w:rsidR="00C00E21">
        <w:t>, whereas</w:t>
      </w:r>
      <w:r w:rsidRPr="005943BB">
        <w:t xml:space="preserve"> the other </w:t>
      </w:r>
      <w:r w:rsidR="00CB5F4D" w:rsidRPr="005943BB">
        <w:t>5</w:t>
      </w:r>
      <w:r w:rsidR="002C7C61">
        <w:t>2</w:t>
      </w:r>
      <w:r w:rsidRPr="005943BB">
        <w:t xml:space="preserve"> were involved in more than one incident within a month</w:t>
      </w:r>
      <w:r w:rsidR="00794B62">
        <w:t>‘s time</w:t>
      </w:r>
      <w:r w:rsidRPr="005943BB">
        <w:t xml:space="preserve">.  Of the </w:t>
      </w:r>
      <w:r w:rsidR="00A51114" w:rsidRPr="005943BB">
        <w:t>5</w:t>
      </w:r>
      <w:r w:rsidR="002C7C61">
        <w:t>2</w:t>
      </w:r>
      <w:r w:rsidRPr="005943BB">
        <w:t xml:space="preserve"> individuals, </w:t>
      </w:r>
      <w:r w:rsidR="00C4620A">
        <w:t xml:space="preserve">about eight (8) or </w:t>
      </w:r>
      <w:r w:rsidR="00281880">
        <w:t>3</w:t>
      </w:r>
      <w:r w:rsidRPr="005943BB">
        <w:t xml:space="preserve">% of the total population </w:t>
      </w:r>
      <w:r w:rsidR="00C4620A">
        <w:t xml:space="preserve">each </w:t>
      </w:r>
      <w:r w:rsidRPr="005943BB">
        <w:t xml:space="preserve">were involved in </w:t>
      </w:r>
      <w:r w:rsidR="00281880">
        <w:t>six</w:t>
      </w:r>
      <w:r w:rsidRPr="005943BB">
        <w:t xml:space="preserve"> (</w:t>
      </w:r>
      <w:r w:rsidR="00281880">
        <w:t>6</w:t>
      </w:r>
      <w:r w:rsidRPr="005943BB">
        <w:t>) or more UIs within a month</w:t>
      </w:r>
      <w:r w:rsidR="00794B62">
        <w:t>’s</w:t>
      </w:r>
      <w:r w:rsidRPr="005943BB">
        <w:t xml:space="preserve"> time.</w:t>
      </w:r>
      <w:r w:rsidR="003A5EEB" w:rsidRPr="005943BB">
        <w:t xml:space="preserve"> </w:t>
      </w:r>
      <w:r w:rsidR="007C2E3B" w:rsidRPr="005943BB">
        <w:t xml:space="preserve"> </w:t>
      </w:r>
      <w:r w:rsidR="00534AD6">
        <w:t xml:space="preserve">These numbers, however, do not distinguish the role played in each incident.  </w:t>
      </w:r>
      <w:r w:rsidR="00C4620A">
        <w:t>The s</w:t>
      </w:r>
      <w:r w:rsidR="003A5EEB" w:rsidRPr="005943BB">
        <w:t>ection</w:t>
      </w:r>
      <w:r w:rsidR="007C2E3B" w:rsidRPr="005943BB">
        <w:t xml:space="preserve"> </w:t>
      </w:r>
      <w:r w:rsidR="00C4620A" w:rsidRPr="00C4620A">
        <w:rPr>
          <w:i/>
        </w:rPr>
        <w:fldChar w:fldCharType="begin"/>
      </w:r>
      <w:r w:rsidR="00C4620A" w:rsidRPr="00C4620A">
        <w:rPr>
          <w:i/>
        </w:rPr>
        <w:instrText xml:space="preserve"> REF _Ref415236539 \w \h </w:instrText>
      </w:r>
      <w:r w:rsidR="00C4620A">
        <w:rPr>
          <w:i/>
        </w:rPr>
        <w:instrText xml:space="preserve"> \* MERGEFORMAT </w:instrText>
      </w:r>
      <w:r w:rsidR="00C4620A" w:rsidRPr="00C4620A">
        <w:rPr>
          <w:i/>
        </w:rPr>
      </w:r>
      <w:r w:rsidR="00C4620A" w:rsidRPr="00C4620A">
        <w:rPr>
          <w:i/>
        </w:rPr>
        <w:fldChar w:fldCharType="separate"/>
      </w:r>
      <w:r w:rsidR="007E3DB6">
        <w:rPr>
          <w:i/>
        </w:rPr>
        <w:t>VI.4</w:t>
      </w:r>
      <w:r w:rsidR="00C4620A" w:rsidRPr="00C4620A">
        <w:rPr>
          <w:i/>
        </w:rPr>
        <w:fldChar w:fldCharType="end"/>
      </w:r>
      <w:r w:rsidR="00C4620A" w:rsidRPr="00C4620A">
        <w:rPr>
          <w:i/>
        </w:rPr>
        <w:t xml:space="preserve"> </w:t>
      </w:r>
      <w:r w:rsidR="007C2E3B" w:rsidRPr="005943BB">
        <w:rPr>
          <w:i/>
        </w:rPr>
        <w:fldChar w:fldCharType="begin"/>
      </w:r>
      <w:r w:rsidR="007C2E3B" w:rsidRPr="005943BB">
        <w:rPr>
          <w:i/>
        </w:rPr>
        <w:instrText xml:space="preserve"> REF _Ref414874662 \h  \* MERGEFORMAT </w:instrText>
      </w:r>
      <w:r w:rsidR="007C2E3B" w:rsidRPr="005943BB">
        <w:rPr>
          <w:i/>
        </w:rPr>
      </w:r>
      <w:r w:rsidR="007C2E3B" w:rsidRPr="005943BB">
        <w:rPr>
          <w:i/>
        </w:rPr>
        <w:fldChar w:fldCharType="separate"/>
      </w:r>
      <w:r w:rsidR="007E3DB6" w:rsidRPr="007E3DB6">
        <w:rPr>
          <w:i/>
        </w:rPr>
        <w:t>Aggressors and Victims of Physical Assault and Aggressive Behavior Incidents</w:t>
      </w:r>
      <w:r w:rsidR="007C2E3B" w:rsidRPr="005943BB">
        <w:rPr>
          <w:i/>
        </w:rPr>
        <w:fldChar w:fldCharType="end"/>
      </w:r>
      <w:r w:rsidR="007C2E3B" w:rsidRPr="005943BB">
        <w:t xml:space="preserve"> on page </w:t>
      </w:r>
      <w:r w:rsidR="007C2E3B" w:rsidRPr="005943BB">
        <w:fldChar w:fldCharType="begin"/>
      </w:r>
      <w:r w:rsidR="007C2E3B" w:rsidRPr="005943BB">
        <w:instrText xml:space="preserve"> PAGEREF _Ref414874662 \h </w:instrText>
      </w:r>
      <w:r w:rsidR="007C2E3B" w:rsidRPr="005943BB">
        <w:fldChar w:fldCharType="separate"/>
      </w:r>
      <w:r w:rsidR="007E3DB6">
        <w:rPr>
          <w:noProof/>
        </w:rPr>
        <w:t>45</w:t>
      </w:r>
      <w:r w:rsidR="007C2E3B" w:rsidRPr="005943BB">
        <w:fldChar w:fldCharType="end"/>
      </w:r>
      <w:r w:rsidR="003A5EEB" w:rsidRPr="005943BB">
        <w:t xml:space="preserve"> </w:t>
      </w:r>
      <w:r w:rsidRPr="005943BB">
        <w:t xml:space="preserve">below will present further data </w:t>
      </w:r>
      <w:r w:rsidR="00534AD6">
        <w:t xml:space="preserve">focusing </w:t>
      </w:r>
      <w:r w:rsidRPr="005943BB">
        <w:t xml:space="preserve">on frequent aggressors </w:t>
      </w:r>
      <w:r w:rsidR="00534AD6">
        <w:t xml:space="preserve">and victims </w:t>
      </w:r>
      <w:r w:rsidRPr="005943BB">
        <w:t>of violen</w:t>
      </w:r>
      <w:r w:rsidR="002C7C61">
        <w:t>ce related</w:t>
      </w:r>
      <w:r w:rsidRPr="005943BB">
        <w:t xml:space="preserve"> UIs.</w:t>
      </w:r>
    </w:p>
    <w:p w:rsidR="0052769F" w:rsidRPr="005943BB" w:rsidRDefault="0052769F" w:rsidP="0052769F">
      <w:pPr>
        <w:keepNext/>
        <w:spacing w:before="120"/>
        <w:outlineLvl w:val="0"/>
        <w:rPr>
          <w:rStyle w:val="FigureChar"/>
        </w:rPr>
      </w:pPr>
      <w:bookmarkStart w:id="303" w:name="_Toc386095135"/>
      <w:bookmarkStart w:id="304" w:name="_Toc416357967"/>
      <w:r w:rsidRPr="005943BB">
        <w:rPr>
          <w:rStyle w:val="FigureChar"/>
        </w:rPr>
        <w:t xml:space="preserve">Table </w:t>
      </w:r>
      <w:r w:rsidRPr="005943BB">
        <w:rPr>
          <w:rStyle w:val="FigureChar"/>
        </w:rPr>
        <w:fldChar w:fldCharType="begin"/>
      </w:r>
      <w:r w:rsidRPr="005943BB">
        <w:rPr>
          <w:rStyle w:val="FigureChar"/>
        </w:rPr>
        <w:instrText xml:space="preserve"> SEQ Table \* ARABIC </w:instrText>
      </w:r>
      <w:r w:rsidRPr="005943BB">
        <w:rPr>
          <w:rStyle w:val="FigureChar"/>
        </w:rPr>
        <w:fldChar w:fldCharType="separate"/>
      </w:r>
      <w:r w:rsidR="007E3DB6">
        <w:rPr>
          <w:rStyle w:val="FigureChar"/>
          <w:noProof/>
        </w:rPr>
        <w:t>14</w:t>
      </w:r>
      <w:r w:rsidRPr="005943BB">
        <w:rPr>
          <w:rStyle w:val="FigureChar"/>
        </w:rPr>
        <w:fldChar w:fldCharType="end"/>
      </w:r>
      <w:r w:rsidRPr="005943BB">
        <w:rPr>
          <w:rStyle w:val="FigureChar"/>
        </w:rPr>
        <w:t>. Unique Individuals in Care Involved in UIs (FY14)</w:t>
      </w:r>
      <w:bookmarkEnd w:id="303"/>
      <w:bookmarkEnd w:id="304"/>
    </w:p>
    <w:tbl>
      <w:tblPr>
        <w:tblW w:w="10696" w:type="dxa"/>
        <w:jc w:val="center"/>
        <w:tblBorders>
          <w:top w:val="single" w:sz="4" w:space="0" w:color="4F81BD" w:themeColor="accent1"/>
          <w:left w:val="single" w:sz="4" w:space="0" w:color="4F81BD" w:themeColor="accent1"/>
          <w:bottom w:val="single" w:sz="4" w:space="0" w:color="4F81BD" w:themeColor="accent1"/>
          <w:right w:val="single" w:sz="4" w:space="0" w:color="4F81BD" w:themeColor="accent1"/>
        </w:tblBorders>
        <w:tblLayout w:type="fixed"/>
        <w:tblCellMar>
          <w:left w:w="14" w:type="dxa"/>
          <w:right w:w="14" w:type="dxa"/>
        </w:tblCellMar>
        <w:tblLook w:val="04A0" w:firstRow="1" w:lastRow="0" w:firstColumn="1" w:lastColumn="0" w:noHBand="0" w:noVBand="1"/>
      </w:tblPr>
      <w:tblGrid>
        <w:gridCol w:w="208"/>
        <w:gridCol w:w="2073"/>
        <w:gridCol w:w="543"/>
        <w:gridCol w:w="588"/>
        <w:gridCol w:w="588"/>
        <w:gridCol w:w="542"/>
        <w:gridCol w:w="542"/>
        <w:gridCol w:w="588"/>
        <w:gridCol w:w="542"/>
        <w:gridCol w:w="634"/>
        <w:gridCol w:w="542"/>
        <w:gridCol w:w="542"/>
        <w:gridCol w:w="588"/>
        <w:gridCol w:w="618"/>
        <w:gridCol w:w="823"/>
        <w:gridCol w:w="735"/>
      </w:tblGrid>
      <w:tr w:rsidR="0052769F" w:rsidRPr="005943BB" w:rsidTr="00EA7D42">
        <w:trPr>
          <w:trHeight w:val="188"/>
          <w:jc w:val="center"/>
        </w:trPr>
        <w:tc>
          <w:tcPr>
            <w:tcW w:w="2281" w:type="dxa"/>
            <w:gridSpan w:val="2"/>
            <w:tcBorders>
              <w:bottom w:val="single" w:sz="4" w:space="0" w:color="4F81BD" w:themeColor="accent1"/>
              <w:right w:val="single" w:sz="4" w:space="0" w:color="4F81BD" w:themeColor="accent1"/>
            </w:tcBorders>
            <w:shd w:val="clear" w:color="auto" w:fill="C6D9F1" w:themeFill="text2" w:themeFillTint="33"/>
            <w:vAlign w:val="center"/>
            <w:hideMark/>
          </w:tcPr>
          <w:p w:rsidR="0052769F" w:rsidRPr="005943BB" w:rsidRDefault="0052769F" w:rsidP="00CB5F4D">
            <w:pPr>
              <w:keepNext/>
              <w:jc w:val="center"/>
              <w:rPr>
                <w:rFonts w:asciiTheme="minorHAnsi" w:hAnsiTheme="minorHAnsi" w:cs="Arial"/>
                <w:b/>
                <w:bCs/>
                <w:color w:val="1F497D" w:themeColor="text2"/>
                <w:sz w:val="20"/>
                <w:lang w:eastAsia="ko-KR"/>
              </w:rPr>
            </w:pPr>
            <w:r w:rsidRPr="005943BB">
              <w:rPr>
                <w:rFonts w:asciiTheme="minorHAnsi" w:hAnsiTheme="minorHAnsi" w:cs="Arial"/>
                <w:b/>
                <w:bCs/>
                <w:color w:val="1F497D" w:themeColor="text2"/>
                <w:sz w:val="20"/>
                <w:lang w:eastAsia="ko-KR"/>
              </w:rPr>
              <w:t># of Incidents Involved</w:t>
            </w:r>
          </w:p>
        </w:tc>
        <w:tc>
          <w:tcPr>
            <w:tcW w:w="543" w:type="dxa"/>
            <w:tcBorders>
              <w:left w:val="single" w:sz="4" w:space="0" w:color="4F81BD" w:themeColor="accent1"/>
              <w:bottom w:val="single" w:sz="4" w:space="0" w:color="4F81BD" w:themeColor="accent1"/>
            </w:tcBorders>
            <w:shd w:val="clear" w:color="auto" w:fill="C6D9F1" w:themeFill="text2" w:themeFillTint="33"/>
            <w:vAlign w:val="center"/>
            <w:hideMark/>
          </w:tcPr>
          <w:p w:rsidR="0052769F" w:rsidRPr="005943BB" w:rsidRDefault="0052769F" w:rsidP="00CB5F4D">
            <w:pPr>
              <w:keepNext/>
              <w:jc w:val="center"/>
              <w:rPr>
                <w:rFonts w:asciiTheme="minorHAnsi" w:hAnsiTheme="minorHAnsi" w:cs="Arial"/>
                <w:b/>
                <w:bCs/>
                <w:color w:val="1F497D" w:themeColor="text2"/>
                <w:sz w:val="20"/>
                <w:lang w:eastAsia="ko-KR"/>
              </w:rPr>
            </w:pPr>
            <w:r w:rsidRPr="005943BB">
              <w:rPr>
                <w:rFonts w:asciiTheme="minorHAnsi" w:hAnsiTheme="minorHAnsi" w:cs="Arial"/>
                <w:b/>
                <w:bCs/>
                <w:color w:val="1F497D" w:themeColor="text2"/>
                <w:sz w:val="20"/>
                <w:lang w:eastAsia="ko-KR"/>
              </w:rPr>
              <w:t>Oct</w:t>
            </w:r>
          </w:p>
        </w:tc>
        <w:tc>
          <w:tcPr>
            <w:tcW w:w="588" w:type="dxa"/>
            <w:tcBorders>
              <w:bottom w:val="single" w:sz="4" w:space="0" w:color="4F81BD" w:themeColor="accent1"/>
            </w:tcBorders>
            <w:shd w:val="clear" w:color="auto" w:fill="C6D9F1" w:themeFill="text2" w:themeFillTint="33"/>
            <w:vAlign w:val="center"/>
            <w:hideMark/>
          </w:tcPr>
          <w:p w:rsidR="0052769F" w:rsidRPr="005943BB" w:rsidRDefault="0052769F" w:rsidP="00CB5F4D">
            <w:pPr>
              <w:keepNext/>
              <w:jc w:val="center"/>
              <w:rPr>
                <w:rFonts w:asciiTheme="minorHAnsi" w:hAnsiTheme="minorHAnsi" w:cs="Arial"/>
                <w:b/>
                <w:bCs/>
                <w:color w:val="1F497D" w:themeColor="text2"/>
                <w:sz w:val="20"/>
                <w:lang w:eastAsia="ko-KR"/>
              </w:rPr>
            </w:pPr>
            <w:r w:rsidRPr="005943BB">
              <w:rPr>
                <w:rFonts w:asciiTheme="minorHAnsi" w:hAnsiTheme="minorHAnsi" w:cs="Arial"/>
                <w:b/>
                <w:bCs/>
                <w:color w:val="1F497D" w:themeColor="text2"/>
                <w:sz w:val="20"/>
                <w:lang w:eastAsia="ko-KR"/>
              </w:rPr>
              <w:t>Nov</w:t>
            </w:r>
          </w:p>
        </w:tc>
        <w:tc>
          <w:tcPr>
            <w:tcW w:w="588" w:type="dxa"/>
            <w:tcBorders>
              <w:bottom w:val="single" w:sz="4" w:space="0" w:color="4F81BD" w:themeColor="accent1"/>
            </w:tcBorders>
            <w:shd w:val="clear" w:color="auto" w:fill="C6D9F1" w:themeFill="text2" w:themeFillTint="33"/>
            <w:vAlign w:val="center"/>
            <w:hideMark/>
          </w:tcPr>
          <w:p w:rsidR="0052769F" w:rsidRPr="005943BB" w:rsidRDefault="0052769F" w:rsidP="00CB5F4D">
            <w:pPr>
              <w:keepNext/>
              <w:jc w:val="center"/>
              <w:rPr>
                <w:rFonts w:asciiTheme="minorHAnsi" w:hAnsiTheme="minorHAnsi" w:cs="Arial"/>
                <w:b/>
                <w:bCs/>
                <w:color w:val="1F497D" w:themeColor="text2"/>
                <w:sz w:val="20"/>
                <w:lang w:eastAsia="ko-KR"/>
              </w:rPr>
            </w:pPr>
            <w:r w:rsidRPr="005943BB">
              <w:rPr>
                <w:rFonts w:asciiTheme="minorHAnsi" w:hAnsiTheme="minorHAnsi" w:cs="Arial"/>
                <w:b/>
                <w:bCs/>
                <w:color w:val="1F497D" w:themeColor="text2"/>
                <w:sz w:val="20"/>
                <w:lang w:eastAsia="ko-KR"/>
              </w:rPr>
              <w:t>Dec</w:t>
            </w:r>
          </w:p>
        </w:tc>
        <w:tc>
          <w:tcPr>
            <w:tcW w:w="542" w:type="dxa"/>
            <w:tcBorders>
              <w:bottom w:val="single" w:sz="4" w:space="0" w:color="4F81BD" w:themeColor="accent1"/>
            </w:tcBorders>
            <w:shd w:val="clear" w:color="auto" w:fill="C6D9F1" w:themeFill="text2" w:themeFillTint="33"/>
            <w:vAlign w:val="center"/>
            <w:hideMark/>
          </w:tcPr>
          <w:p w:rsidR="0052769F" w:rsidRPr="005943BB" w:rsidRDefault="0052769F" w:rsidP="00CB5F4D">
            <w:pPr>
              <w:keepNext/>
              <w:jc w:val="center"/>
              <w:rPr>
                <w:rFonts w:asciiTheme="minorHAnsi" w:hAnsiTheme="minorHAnsi" w:cs="Arial"/>
                <w:b/>
                <w:bCs/>
                <w:color w:val="1F497D" w:themeColor="text2"/>
                <w:sz w:val="20"/>
                <w:lang w:eastAsia="ko-KR"/>
              </w:rPr>
            </w:pPr>
            <w:r w:rsidRPr="005943BB">
              <w:rPr>
                <w:rFonts w:asciiTheme="minorHAnsi" w:hAnsiTheme="minorHAnsi" w:cs="Arial"/>
                <w:b/>
                <w:bCs/>
                <w:color w:val="1F497D" w:themeColor="text2"/>
                <w:sz w:val="20"/>
                <w:lang w:eastAsia="ko-KR"/>
              </w:rPr>
              <w:t>Jan</w:t>
            </w:r>
          </w:p>
        </w:tc>
        <w:tc>
          <w:tcPr>
            <w:tcW w:w="542" w:type="dxa"/>
            <w:tcBorders>
              <w:bottom w:val="single" w:sz="4" w:space="0" w:color="4F81BD" w:themeColor="accent1"/>
            </w:tcBorders>
            <w:shd w:val="clear" w:color="auto" w:fill="C6D9F1" w:themeFill="text2" w:themeFillTint="33"/>
            <w:vAlign w:val="center"/>
            <w:hideMark/>
          </w:tcPr>
          <w:p w:rsidR="0052769F" w:rsidRPr="005943BB" w:rsidRDefault="0052769F" w:rsidP="00CB5F4D">
            <w:pPr>
              <w:keepNext/>
              <w:jc w:val="center"/>
              <w:rPr>
                <w:rFonts w:asciiTheme="minorHAnsi" w:hAnsiTheme="minorHAnsi" w:cs="Arial"/>
                <w:b/>
                <w:bCs/>
                <w:color w:val="1F497D" w:themeColor="text2"/>
                <w:sz w:val="20"/>
                <w:lang w:eastAsia="ko-KR"/>
              </w:rPr>
            </w:pPr>
            <w:r w:rsidRPr="005943BB">
              <w:rPr>
                <w:rFonts w:asciiTheme="minorHAnsi" w:hAnsiTheme="minorHAnsi" w:cs="Arial"/>
                <w:b/>
                <w:bCs/>
                <w:color w:val="1F497D" w:themeColor="text2"/>
                <w:sz w:val="20"/>
                <w:lang w:eastAsia="ko-KR"/>
              </w:rPr>
              <w:t>Feb</w:t>
            </w:r>
          </w:p>
        </w:tc>
        <w:tc>
          <w:tcPr>
            <w:tcW w:w="588" w:type="dxa"/>
            <w:tcBorders>
              <w:bottom w:val="single" w:sz="4" w:space="0" w:color="4F81BD" w:themeColor="accent1"/>
            </w:tcBorders>
            <w:shd w:val="clear" w:color="auto" w:fill="C6D9F1" w:themeFill="text2" w:themeFillTint="33"/>
            <w:vAlign w:val="center"/>
            <w:hideMark/>
          </w:tcPr>
          <w:p w:rsidR="0052769F" w:rsidRPr="005943BB" w:rsidRDefault="0052769F" w:rsidP="00CB5F4D">
            <w:pPr>
              <w:keepNext/>
              <w:jc w:val="center"/>
              <w:rPr>
                <w:rFonts w:asciiTheme="minorHAnsi" w:hAnsiTheme="minorHAnsi" w:cs="Arial"/>
                <w:b/>
                <w:bCs/>
                <w:color w:val="1F497D" w:themeColor="text2"/>
                <w:sz w:val="20"/>
                <w:lang w:eastAsia="ko-KR"/>
              </w:rPr>
            </w:pPr>
            <w:r w:rsidRPr="005943BB">
              <w:rPr>
                <w:rFonts w:asciiTheme="minorHAnsi" w:hAnsiTheme="minorHAnsi" w:cs="Arial"/>
                <w:b/>
                <w:bCs/>
                <w:color w:val="1F497D" w:themeColor="text2"/>
                <w:sz w:val="20"/>
                <w:lang w:eastAsia="ko-KR"/>
              </w:rPr>
              <w:t>Mar</w:t>
            </w:r>
          </w:p>
        </w:tc>
        <w:tc>
          <w:tcPr>
            <w:tcW w:w="542" w:type="dxa"/>
            <w:tcBorders>
              <w:bottom w:val="single" w:sz="4" w:space="0" w:color="4F81BD" w:themeColor="accent1"/>
            </w:tcBorders>
            <w:shd w:val="clear" w:color="auto" w:fill="C6D9F1" w:themeFill="text2" w:themeFillTint="33"/>
            <w:vAlign w:val="center"/>
            <w:hideMark/>
          </w:tcPr>
          <w:p w:rsidR="0052769F" w:rsidRPr="005943BB" w:rsidRDefault="0052769F" w:rsidP="00CB5F4D">
            <w:pPr>
              <w:keepNext/>
              <w:jc w:val="center"/>
              <w:rPr>
                <w:rFonts w:asciiTheme="minorHAnsi" w:hAnsiTheme="minorHAnsi" w:cs="Arial"/>
                <w:b/>
                <w:bCs/>
                <w:color w:val="1F497D" w:themeColor="text2"/>
                <w:sz w:val="20"/>
                <w:lang w:eastAsia="ko-KR"/>
              </w:rPr>
            </w:pPr>
            <w:r w:rsidRPr="005943BB">
              <w:rPr>
                <w:rFonts w:asciiTheme="minorHAnsi" w:hAnsiTheme="minorHAnsi" w:cs="Arial"/>
                <w:b/>
                <w:bCs/>
                <w:color w:val="1F497D" w:themeColor="text2"/>
                <w:sz w:val="20"/>
                <w:lang w:eastAsia="ko-KR"/>
              </w:rPr>
              <w:t>Apr</w:t>
            </w:r>
          </w:p>
        </w:tc>
        <w:tc>
          <w:tcPr>
            <w:tcW w:w="634" w:type="dxa"/>
            <w:tcBorders>
              <w:bottom w:val="single" w:sz="4" w:space="0" w:color="4F81BD" w:themeColor="accent1"/>
            </w:tcBorders>
            <w:shd w:val="clear" w:color="auto" w:fill="C6D9F1" w:themeFill="text2" w:themeFillTint="33"/>
            <w:vAlign w:val="center"/>
            <w:hideMark/>
          </w:tcPr>
          <w:p w:rsidR="0052769F" w:rsidRPr="005943BB" w:rsidRDefault="0052769F" w:rsidP="00CB5F4D">
            <w:pPr>
              <w:keepNext/>
              <w:jc w:val="center"/>
              <w:rPr>
                <w:rFonts w:asciiTheme="minorHAnsi" w:hAnsiTheme="minorHAnsi" w:cs="Arial"/>
                <w:b/>
                <w:bCs/>
                <w:color w:val="1F497D" w:themeColor="text2"/>
                <w:sz w:val="20"/>
                <w:lang w:eastAsia="ko-KR"/>
              </w:rPr>
            </w:pPr>
            <w:r w:rsidRPr="005943BB">
              <w:rPr>
                <w:rFonts w:asciiTheme="minorHAnsi" w:hAnsiTheme="minorHAnsi" w:cs="Arial"/>
                <w:b/>
                <w:bCs/>
                <w:color w:val="1F497D" w:themeColor="text2"/>
                <w:sz w:val="20"/>
                <w:lang w:eastAsia="ko-KR"/>
              </w:rPr>
              <w:t>May</w:t>
            </w:r>
          </w:p>
        </w:tc>
        <w:tc>
          <w:tcPr>
            <w:tcW w:w="542" w:type="dxa"/>
            <w:tcBorders>
              <w:bottom w:val="single" w:sz="4" w:space="0" w:color="4F81BD" w:themeColor="accent1"/>
            </w:tcBorders>
            <w:shd w:val="clear" w:color="auto" w:fill="C6D9F1" w:themeFill="text2" w:themeFillTint="33"/>
            <w:vAlign w:val="center"/>
            <w:hideMark/>
          </w:tcPr>
          <w:p w:rsidR="0052769F" w:rsidRPr="005943BB" w:rsidRDefault="0052769F" w:rsidP="00CB5F4D">
            <w:pPr>
              <w:keepNext/>
              <w:jc w:val="center"/>
              <w:rPr>
                <w:rFonts w:asciiTheme="minorHAnsi" w:hAnsiTheme="minorHAnsi" w:cs="Arial"/>
                <w:b/>
                <w:bCs/>
                <w:color w:val="1F497D" w:themeColor="text2"/>
                <w:sz w:val="20"/>
                <w:lang w:eastAsia="ko-KR"/>
              </w:rPr>
            </w:pPr>
            <w:r w:rsidRPr="005943BB">
              <w:rPr>
                <w:rFonts w:asciiTheme="minorHAnsi" w:hAnsiTheme="minorHAnsi" w:cs="Arial"/>
                <w:b/>
                <w:bCs/>
                <w:color w:val="1F497D" w:themeColor="text2"/>
                <w:sz w:val="20"/>
                <w:lang w:eastAsia="ko-KR"/>
              </w:rPr>
              <w:t>Jun</w:t>
            </w:r>
          </w:p>
        </w:tc>
        <w:tc>
          <w:tcPr>
            <w:tcW w:w="542" w:type="dxa"/>
            <w:tcBorders>
              <w:bottom w:val="single" w:sz="4" w:space="0" w:color="4F81BD" w:themeColor="accent1"/>
            </w:tcBorders>
            <w:shd w:val="clear" w:color="auto" w:fill="C6D9F1" w:themeFill="text2" w:themeFillTint="33"/>
            <w:vAlign w:val="center"/>
            <w:hideMark/>
          </w:tcPr>
          <w:p w:rsidR="0052769F" w:rsidRPr="005943BB" w:rsidRDefault="0052769F" w:rsidP="00CB5F4D">
            <w:pPr>
              <w:keepNext/>
              <w:jc w:val="center"/>
              <w:rPr>
                <w:rFonts w:asciiTheme="minorHAnsi" w:hAnsiTheme="minorHAnsi" w:cs="Arial"/>
                <w:b/>
                <w:bCs/>
                <w:color w:val="1F497D" w:themeColor="text2"/>
                <w:sz w:val="20"/>
                <w:lang w:eastAsia="ko-KR"/>
              </w:rPr>
            </w:pPr>
            <w:r w:rsidRPr="005943BB">
              <w:rPr>
                <w:rFonts w:asciiTheme="minorHAnsi" w:hAnsiTheme="minorHAnsi" w:cs="Arial"/>
                <w:b/>
                <w:bCs/>
                <w:color w:val="1F497D" w:themeColor="text2"/>
                <w:sz w:val="20"/>
                <w:lang w:eastAsia="ko-KR"/>
              </w:rPr>
              <w:t>Jul</w:t>
            </w:r>
          </w:p>
        </w:tc>
        <w:tc>
          <w:tcPr>
            <w:tcW w:w="588" w:type="dxa"/>
            <w:tcBorders>
              <w:bottom w:val="single" w:sz="4" w:space="0" w:color="4F81BD" w:themeColor="accent1"/>
            </w:tcBorders>
            <w:shd w:val="clear" w:color="auto" w:fill="C6D9F1" w:themeFill="text2" w:themeFillTint="33"/>
            <w:vAlign w:val="center"/>
            <w:hideMark/>
          </w:tcPr>
          <w:p w:rsidR="0052769F" w:rsidRPr="005943BB" w:rsidRDefault="0052769F" w:rsidP="00CB5F4D">
            <w:pPr>
              <w:keepNext/>
              <w:jc w:val="center"/>
              <w:rPr>
                <w:rFonts w:asciiTheme="minorHAnsi" w:hAnsiTheme="minorHAnsi" w:cs="Arial"/>
                <w:b/>
                <w:bCs/>
                <w:color w:val="1F497D" w:themeColor="text2"/>
                <w:sz w:val="20"/>
                <w:lang w:eastAsia="ko-KR"/>
              </w:rPr>
            </w:pPr>
            <w:r w:rsidRPr="005943BB">
              <w:rPr>
                <w:rFonts w:asciiTheme="minorHAnsi" w:hAnsiTheme="minorHAnsi" w:cs="Arial"/>
                <w:b/>
                <w:bCs/>
                <w:color w:val="1F497D" w:themeColor="text2"/>
                <w:sz w:val="20"/>
                <w:lang w:eastAsia="ko-KR"/>
              </w:rPr>
              <w:t>Aug</w:t>
            </w:r>
          </w:p>
        </w:tc>
        <w:tc>
          <w:tcPr>
            <w:tcW w:w="618" w:type="dxa"/>
            <w:tcBorders>
              <w:bottom w:val="single" w:sz="4" w:space="0" w:color="4F81BD" w:themeColor="accent1"/>
              <w:right w:val="single" w:sz="4" w:space="0" w:color="4F81BD" w:themeColor="accent1"/>
            </w:tcBorders>
            <w:shd w:val="clear" w:color="auto" w:fill="C6D9F1" w:themeFill="text2" w:themeFillTint="33"/>
            <w:vAlign w:val="center"/>
          </w:tcPr>
          <w:p w:rsidR="0052769F" w:rsidRPr="005943BB" w:rsidRDefault="0052769F" w:rsidP="00CB5F4D">
            <w:pPr>
              <w:keepNext/>
              <w:jc w:val="center"/>
              <w:rPr>
                <w:rFonts w:asciiTheme="minorHAnsi" w:hAnsiTheme="minorHAnsi" w:cs="Arial"/>
                <w:b/>
                <w:bCs/>
                <w:color w:val="1F497D" w:themeColor="text2"/>
                <w:sz w:val="20"/>
                <w:lang w:eastAsia="ko-KR"/>
              </w:rPr>
            </w:pPr>
            <w:r w:rsidRPr="005943BB">
              <w:rPr>
                <w:rFonts w:asciiTheme="minorHAnsi" w:hAnsiTheme="minorHAnsi" w:cs="Arial"/>
                <w:b/>
                <w:bCs/>
                <w:color w:val="1F497D" w:themeColor="text2"/>
                <w:sz w:val="20"/>
                <w:lang w:eastAsia="ko-KR"/>
              </w:rPr>
              <w:t>Sep</w:t>
            </w:r>
          </w:p>
        </w:tc>
        <w:tc>
          <w:tcPr>
            <w:tcW w:w="823" w:type="dxa"/>
            <w:tcBorders>
              <w:left w:val="single" w:sz="4" w:space="0" w:color="4F81BD" w:themeColor="accent1"/>
              <w:bottom w:val="single" w:sz="4" w:space="0" w:color="4F81BD" w:themeColor="accent1"/>
            </w:tcBorders>
            <w:shd w:val="clear" w:color="auto" w:fill="C6D9F1" w:themeFill="text2" w:themeFillTint="33"/>
            <w:vAlign w:val="center"/>
            <w:hideMark/>
          </w:tcPr>
          <w:p w:rsidR="0052769F" w:rsidRPr="005943BB" w:rsidRDefault="00EA7D42" w:rsidP="00CB5F4D">
            <w:pPr>
              <w:keepNext/>
              <w:jc w:val="center"/>
              <w:rPr>
                <w:rFonts w:asciiTheme="minorHAnsi" w:hAnsiTheme="minorHAnsi" w:cs="Arial"/>
                <w:b/>
                <w:bCs/>
                <w:color w:val="1F497D" w:themeColor="text2"/>
                <w:sz w:val="20"/>
                <w:lang w:eastAsia="ko-KR"/>
              </w:rPr>
            </w:pPr>
            <w:r>
              <w:rPr>
                <w:rFonts w:asciiTheme="minorHAnsi" w:hAnsiTheme="minorHAnsi" w:cs="Arial"/>
                <w:b/>
                <w:bCs/>
                <w:color w:val="1F497D" w:themeColor="text2"/>
                <w:sz w:val="20"/>
                <w:lang w:eastAsia="ko-KR"/>
              </w:rPr>
              <w:t>Average</w:t>
            </w:r>
          </w:p>
        </w:tc>
        <w:tc>
          <w:tcPr>
            <w:tcW w:w="735" w:type="dxa"/>
            <w:tcBorders>
              <w:bottom w:val="single" w:sz="4" w:space="0" w:color="4F81BD" w:themeColor="accent1"/>
            </w:tcBorders>
            <w:shd w:val="clear" w:color="auto" w:fill="C6D9F1" w:themeFill="text2" w:themeFillTint="33"/>
            <w:vAlign w:val="center"/>
            <w:hideMark/>
          </w:tcPr>
          <w:p w:rsidR="0052769F" w:rsidRPr="005943BB" w:rsidRDefault="0052769F" w:rsidP="00CB5F4D">
            <w:pPr>
              <w:keepNext/>
              <w:jc w:val="center"/>
              <w:rPr>
                <w:rFonts w:asciiTheme="minorHAnsi" w:hAnsiTheme="minorHAnsi" w:cs="Arial"/>
                <w:b/>
                <w:bCs/>
                <w:color w:val="1F497D" w:themeColor="text2"/>
                <w:sz w:val="20"/>
                <w:lang w:eastAsia="ko-KR"/>
              </w:rPr>
            </w:pPr>
            <w:r w:rsidRPr="005943BB">
              <w:rPr>
                <w:rFonts w:asciiTheme="minorHAnsi" w:hAnsiTheme="minorHAnsi" w:cs="Arial"/>
                <w:b/>
                <w:bCs/>
                <w:color w:val="1F497D" w:themeColor="text2"/>
                <w:sz w:val="20"/>
                <w:lang w:eastAsia="ko-KR"/>
              </w:rPr>
              <w:t>Percent</w:t>
            </w:r>
          </w:p>
        </w:tc>
      </w:tr>
      <w:tr w:rsidR="00F44518" w:rsidRPr="005943BB" w:rsidTr="00EA7D42">
        <w:trPr>
          <w:trHeight w:val="324"/>
          <w:jc w:val="center"/>
        </w:trPr>
        <w:tc>
          <w:tcPr>
            <w:tcW w:w="208" w:type="dxa"/>
            <w:shd w:val="clear" w:color="auto" w:fill="auto"/>
            <w:noWrap/>
            <w:vAlign w:val="center"/>
            <w:hideMark/>
          </w:tcPr>
          <w:p w:rsidR="00F44518" w:rsidRPr="005943BB" w:rsidRDefault="00F44518" w:rsidP="00CB5F4D">
            <w:pPr>
              <w:keepNext/>
              <w:jc w:val="right"/>
              <w:rPr>
                <w:rFonts w:asciiTheme="minorHAnsi" w:hAnsiTheme="minorHAnsi" w:cs="Arial"/>
                <w:color w:val="1F497D" w:themeColor="text2"/>
                <w:sz w:val="20"/>
                <w:lang w:eastAsia="ko-KR"/>
              </w:rPr>
            </w:pPr>
            <w:r w:rsidRPr="005943BB">
              <w:rPr>
                <w:rFonts w:asciiTheme="minorHAnsi" w:hAnsiTheme="minorHAnsi" w:cs="Arial"/>
                <w:color w:val="1F497D" w:themeColor="text2"/>
                <w:sz w:val="20"/>
                <w:lang w:eastAsia="ko-KR"/>
              </w:rPr>
              <w:t> </w:t>
            </w:r>
          </w:p>
        </w:tc>
        <w:tc>
          <w:tcPr>
            <w:tcW w:w="2073" w:type="dxa"/>
            <w:tcBorders>
              <w:right w:val="single" w:sz="4" w:space="0" w:color="4F81BD" w:themeColor="accent1"/>
            </w:tcBorders>
            <w:shd w:val="clear" w:color="auto" w:fill="auto"/>
            <w:noWrap/>
            <w:vAlign w:val="center"/>
            <w:hideMark/>
          </w:tcPr>
          <w:p w:rsidR="00F44518" w:rsidRPr="005943BB" w:rsidRDefault="00F44518" w:rsidP="00CB5F4D">
            <w:pPr>
              <w:keepNext/>
              <w:rPr>
                <w:rFonts w:asciiTheme="minorHAnsi" w:hAnsiTheme="minorHAnsi" w:cs="Arial"/>
                <w:iCs/>
                <w:color w:val="1F497D" w:themeColor="text2"/>
                <w:sz w:val="20"/>
                <w:lang w:eastAsia="ko-KR"/>
              </w:rPr>
            </w:pPr>
            <w:r w:rsidRPr="005943BB">
              <w:rPr>
                <w:rFonts w:asciiTheme="minorHAnsi" w:hAnsiTheme="minorHAnsi" w:cs="Arial"/>
                <w:iCs/>
                <w:color w:val="1F497D" w:themeColor="text2"/>
                <w:sz w:val="20"/>
                <w:lang w:eastAsia="ko-KR"/>
              </w:rPr>
              <w:t>1 Incident</w:t>
            </w:r>
          </w:p>
        </w:tc>
        <w:tc>
          <w:tcPr>
            <w:tcW w:w="543" w:type="dxa"/>
            <w:tcBorders>
              <w:left w:val="single" w:sz="4" w:space="0" w:color="4F81BD" w:themeColor="accent1"/>
            </w:tcBorders>
            <w:shd w:val="clear" w:color="auto" w:fill="auto"/>
            <w:noWrap/>
            <w:vAlign w:val="center"/>
            <w:hideMark/>
          </w:tcPr>
          <w:p w:rsidR="00F44518" w:rsidRPr="00F44518" w:rsidRDefault="00F44518" w:rsidP="00F44518">
            <w:pPr>
              <w:jc w:val="center"/>
              <w:rPr>
                <w:rFonts w:cs="Arial"/>
                <w:color w:val="1F497D" w:themeColor="text2"/>
                <w:sz w:val="20"/>
              </w:rPr>
            </w:pPr>
            <w:r w:rsidRPr="00F44518">
              <w:rPr>
                <w:rFonts w:cs="Arial"/>
                <w:color w:val="1F497D" w:themeColor="text2"/>
                <w:sz w:val="20"/>
              </w:rPr>
              <w:t>66</w:t>
            </w:r>
          </w:p>
        </w:tc>
        <w:tc>
          <w:tcPr>
            <w:tcW w:w="588" w:type="dxa"/>
            <w:shd w:val="clear" w:color="auto" w:fill="auto"/>
            <w:noWrap/>
            <w:vAlign w:val="center"/>
            <w:hideMark/>
          </w:tcPr>
          <w:p w:rsidR="00F44518" w:rsidRPr="00F44518" w:rsidRDefault="00F44518" w:rsidP="00F44518">
            <w:pPr>
              <w:jc w:val="center"/>
              <w:rPr>
                <w:rFonts w:cs="Arial"/>
                <w:color w:val="1F497D" w:themeColor="text2"/>
                <w:sz w:val="20"/>
              </w:rPr>
            </w:pPr>
            <w:r w:rsidRPr="00F44518">
              <w:rPr>
                <w:rFonts w:cs="Arial"/>
                <w:color w:val="1F497D" w:themeColor="text2"/>
                <w:sz w:val="20"/>
              </w:rPr>
              <w:t>47</w:t>
            </w:r>
          </w:p>
        </w:tc>
        <w:tc>
          <w:tcPr>
            <w:tcW w:w="588" w:type="dxa"/>
            <w:shd w:val="clear" w:color="auto" w:fill="auto"/>
            <w:noWrap/>
            <w:vAlign w:val="center"/>
            <w:hideMark/>
          </w:tcPr>
          <w:p w:rsidR="00F44518" w:rsidRPr="00F44518" w:rsidRDefault="00F44518" w:rsidP="00F44518">
            <w:pPr>
              <w:jc w:val="center"/>
              <w:rPr>
                <w:rFonts w:cs="Arial"/>
                <w:color w:val="1F497D" w:themeColor="text2"/>
                <w:sz w:val="20"/>
              </w:rPr>
            </w:pPr>
            <w:r w:rsidRPr="00F44518">
              <w:rPr>
                <w:rFonts w:cs="Arial"/>
                <w:color w:val="1F497D" w:themeColor="text2"/>
                <w:sz w:val="20"/>
              </w:rPr>
              <w:t>50</w:t>
            </w:r>
          </w:p>
        </w:tc>
        <w:tc>
          <w:tcPr>
            <w:tcW w:w="542" w:type="dxa"/>
            <w:shd w:val="clear" w:color="auto" w:fill="auto"/>
            <w:noWrap/>
            <w:vAlign w:val="center"/>
            <w:hideMark/>
          </w:tcPr>
          <w:p w:rsidR="00F44518" w:rsidRPr="00F44518" w:rsidRDefault="00F44518" w:rsidP="00F44518">
            <w:pPr>
              <w:jc w:val="center"/>
              <w:rPr>
                <w:rFonts w:cs="Arial"/>
                <w:color w:val="1F497D" w:themeColor="text2"/>
                <w:sz w:val="20"/>
              </w:rPr>
            </w:pPr>
            <w:r w:rsidRPr="00F44518">
              <w:rPr>
                <w:rFonts w:cs="Arial"/>
                <w:color w:val="1F497D" w:themeColor="text2"/>
                <w:sz w:val="20"/>
              </w:rPr>
              <w:t>61</w:t>
            </w:r>
          </w:p>
        </w:tc>
        <w:tc>
          <w:tcPr>
            <w:tcW w:w="542" w:type="dxa"/>
            <w:shd w:val="clear" w:color="auto" w:fill="auto"/>
            <w:noWrap/>
            <w:vAlign w:val="center"/>
            <w:hideMark/>
          </w:tcPr>
          <w:p w:rsidR="00F44518" w:rsidRPr="00F44518" w:rsidRDefault="00F44518" w:rsidP="00F44518">
            <w:pPr>
              <w:jc w:val="center"/>
              <w:rPr>
                <w:rFonts w:cs="Arial"/>
                <w:color w:val="1F497D" w:themeColor="text2"/>
                <w:sz w:val="20"/>
              </w:rPr>
            </w:pPr>
            <w:r w:rsidRPr="00F44518">
              <w:rPr>
                <w:rFonts w:cs="Arial"/>
                <w:color w:val="1F497D" w:themeColor="text2"/>
                <w:sz w:val="20"/>
              </w:rPr>
              <w:t>57</w:t>
            </w:r>
          </w:p>
        </w:tc>
        <w:tc>
          <w:tcPr>
            <w:tcW w:w="588" w:type="dxa"/>
            <w:shd w:val="clear" w:color="auto" w:fill="auto"/>
            <w:noWrap/>
            <w:vAlign w:val="center"/>
            <w:hideMark/>
          </w:tcPr>
          <w:p w:rsidR="00F44518" w:rsidRPr="00F44518" w:rsidRDefault="00F44518" w:rsidP="00F44518">
            <w:pPr>
              <w:jc w:val="center"/>
              <w:rPr>
                <w:rFonts w:cs="Arial"/>
                <w:color w:val="1F497D" w:themeColor="text2"/>
                <w:sz w:val="20"/>
              </w:rPr>
            </w:pPr>
            <w:r w:rsidRPr="00F44518">
              <w:rPr>
                <w:rFonts w:cs="Arial"/>
                <w:color w:val="1F497D" w:themeColor="text2"/>
                <w:sz w:val="20"/>
              </w:rPr>
              <w:t>54</w:t>
            </w:r>
          </w:p>
        </w:tc>
        <w:tc>
          <w:tcPr>
            <w:tcW w:w="542" w:type="dxa"/>
            <w:shd w:val="clear" w:color="auto" w:fill="auto"/>
            <w:noWrap/>
            <w:vAlign w:val="center"/>
            <w:hideMark/>
          </w:tcPr>
          <w:p w:rsidR="00F44518" w:rsidRPr="00F44518" w:rsidRDefault="00F44518" w:rsidP="00F44518">
            <w:pPr>
              <w:jc w:val="center"/>
              <w:rPr>
                <w:rFonts w:cs="Arial"/>
                <w:color w:val="1F497D" w:themeColor="text2"/>
                <w:sz w:val="20"/>
              </w:rPr>
            </w:pPr>
            <w:r w:rsidRPr="00F44518">
              <w:rPr>
                <w:rFonts w:cs="Arial"/>
                <w:color w:val="1F497D" w:themeColor="text2"/>
                <w:sz w:val="20"/>
              </w:rPr>
              <w:t>61</w:t>
            </w:r>
          </w:p>
        </w:tc>
        <w:tc>
          <w:tcPr>
            <w:tcW w:w="634" w:type="dxa"/>
            <w:shd w:val="clear" w:color="auto" w:fill="auto"/>
            <w:noWrap/>
            <w:vAlign w:val="center"/>
            <w:hideMark/>
          </w:tcPr>
          <w:p w:rsidR="00F44518" w:rsidRPr="00F44518" w:rsidRDefault="00F44518" w:rsidP="00F44518">
            <w:pPr>
              <w:jc w:val="center"/>
              <w:rPr>
                <w:rFonts w:cs="Arial"/>
                <w:color w:val="1F497D" w:themeColor="text2"/>
                <w:sz w:val="20"/>
              </w:rPr>
            </w:pPr>
            <w:r w:rsidRPr="00F44518">
              <w:rPr>
                <w:rFonts w:cs="Arial"/>
                <w:color w:val="1F497D" w:themeColor="text2"/>
                <w:sz w:val="20"/>
              </w:rPr>
              <w:t>61</w:t>
            </w:r>
          </w:p>
        </w:tc>
        <w:tc>
          <w:tcPr>
            <w:tcW w:w="542" w:type="dxa"/>
            <w:shd w:val="clear" w:color="auto" w:fill="auto"/>
            <w:noWrap/>
            <w:vAlign w:val="center"/>
            <w:hideMark/>
          </w:tcPr>
          <w:p w:rsidR="00F44518" w:rsidRPr="00F44518" w:rsidRDefault="00F44518" w:rsidP="00F44518">
            <w:pPr>
              <w:jc w:val="center"/>
              <w:rPr>
                <w:rFonts w:cs="Arial"/>
                <w:color w:val="1F497D" w:themeColor="text2"/>
                <w:sz w:val="20"/>
              </w:rPr>
            </w:pPr>
            <w:r w:rsidRPr="00F44518">
              <w:rPr>
                <w:rFonts w:cs="Arial"/>
                <w:color w:val="1F497D" w:themeColor="text2"/>
                <w:sz w:val="20"/>
              </w:rPr>
              <w:t>58</w:t>
            </w:r>
          </w:p>
        </w:tc>
        <w:tc>
          <w:tcPr>
            <w:tcW w:w="542" w:type="dxa"/>
            <w:shd w:val="clear" w:color="auto" w:fill="auto"/>
            <w:noWrap/>
            <w:vAlign w:val="center"/>
            <w:hideMark/>
          </w:tcPr>
          <w:p w:rsidR="00F44518" w:rsidRPr="00F44518" w:rsidRDefault="00F44518" w:rsidP="00F44518">
            <w:pPr>
              <w:jc w:val="center"/>
              <w:rPr>
                <w:rFonts w:cs="Arial"/>
                <w:color w:val="1F497D" w:themeColor="text2"/>
                <w:sz w:val="20"/>
              </w:rPr>
            </w:pPr>
            <w:r w:rsidRPr="00F44518">
              <w:rPr>
                <w:rFonts w:cs="Arial"/>
                <w:color w:val="1F497D" w:themeColor="text2"/>
                <w:sz w:val="20"/>
              </w:rPr>
              <w:t>59</w:t>
            </w:r>
          </w:p>
        </w:tc>
        <w:tc>
          <w:tcPr>
            <w:tcW w:w="588" w:type="dxa"/>
            <w:shd w:val="clear" w:color="auto" w:fill="auto"/>
            <w:noWrap/>
            <w:vAlign w:val="center"/>
            <w:hideMark/>
          </w:tcPr>
          <w:p w:rsidR="00F44518" w:rsidRPr="00F44518" w:rsidRDefault="00F44518" w:rsidP="00F44518">
            <w:pPr>
              <w:jc w:val="center"/>
              <w:rPr>
                <w:rFonts w:cs="Arial"/>
                <w:color w:val="1F497D" w:themeColor="text2"/>
                <w:sz w:val="20"/>
              </w:rPr>
            </w:pPr>
            <w:r w:rsidRPr="00F44518">
              <w:rPr>
                <w:rFonts w:cs="Arial"/>
                <w:color w:val="1F497D" w:themeColor="text2"/>
                <w:sz w:val="20"/>
              </w:rPr>
              <w:t>54</w:t>
            </w:r>
          </w:p>
        </w:tc>
        <w:tc>
          <w:tcPr>
            <w:tcW w:w="618" w:type="dxa"/>
            <w:tcBorders>
              <w:right w:val="single" w:sz="4" w:space="0" w:color="4F81BD" w:themeColor="accent1"/>
            </w:tcBorders>
            <w:vAlign w:val="center"/>
          </w:tcPr>
          <w:p w:rsidR="00F44518" w:rsidRPr="00F44518" w:rsidRDefault="00F44518" w:rsidP="00F44518">
            <w:pPr>
              <w:jc w:val="center"/>
              <w:rPr>
                <w:rFonts w:cs="Arial"/>
                <w:color w:val="1F497D" w:themeColor="text2"/>
                <w:sz w:val="20"/>
              </w:rPr>
            </w:pPr>
            <w:r w:rsidRPr="00F44518">
              <w:rPr>
                <w:rFonts w:cs="Arial"/>
                <w:color w:val="1F497D" w:themeColor="text2"/>
                <w:sz w:val="20"/>
              </w:rPr>
              <w:t>50</w:t>
            </w:r>
          </w:p>
        </w:tc>
        <w:tc>
          <w:tcPr>
            <w:tcW w:w="823" w:type="dxa"/>
            <w:tcBorders>
              <w:left w:val="single" w:sz="4" w:space="0" w:color="4F81BD" w:themeColor="accent1"/>
            </w:tcBorders>
            <w:shd w:val="clear" w:color="auto" w:fill="auto"/>
            <w:noWrap/>
            <w:vAlign w:val="center"/>
            <w:hideMark/>
          </w:tcPr>
          <w:p w:rsidR="00F44518" w:rsidRPr="005A3FE5" w:rsidRDefault="00F44518" w:rsidP="005A3FE5">
            <w:pPr>
              <w:jc w:val="center"/>
              <w:rPr>
                <w:rFonts w:cs="Arial"/>
                <w:b/>
                <w:color w:val="1F497D" w:themeColor="text2"/>
                <w:sz w:val="20"/>
              </w:rPr>
            </w:pPr>
            <w:r w:rsidRPr="005A3FE5">
              <w:rPr>
                <w:rFonts w:cs="Arial"/>
                <w:b/>
                <w:color w:val="1F497D" w:themeColor="text2"/>
                <w:sz w:val="20"/>
              </w:rPr>
              <w:t>56.5</w:t>
            </w:r>
          </w:p>
        </w:tc>
        <w:tc>
          <w:tcPr>
            <w:tcW w:w="735" w:type="dxa"/>
            <w:shd w:val="clear" w:color="auto" w:fill="auto"/>
            <w:noWrap/>
            <w:vAlign w:val="center"/>
            <w:hideMark/>
          </w:tcPr>
          <w:p w:rsidR="00F44518" w:rsidRPr="005943BB" w:rsidRDefault="00F44518" w:rsidP="00C4620A">
            <w:pPr>
              <w:keepNext/>
              <w:jc w:val="center"/>
              <w:rPr>
                <w:rFonts w:asciiTheme="minorHAnsi" w:hAnsiTheme="minorHAnsi" w:cs="Arial"/>
                <w:b/>
                <w:iCs/>
                <w:color w:val="1F497D" w:themeColor="text2"/>
                <w:sz w:val="20"/>
                <w:lang w:eastAsia="ko-KR"/>
              </w:rPr>
            </w:pPr>
            <w:r w:rsidRPr="005943BB">
              <w:rPr>
                <w:rFonts w:asciiTheme="minorHAnsi" w:hAnsiTheme="minorHAnsi" w:cs="Arial"/>
                <w:b/>
                <w:iCs/>
                <w:color w:val="1F497D" w:themeColor="text2"/>
                <w:sz w:val="20"/>
                <w:lang w:eastAsia="ko-KR"/>
              </w:rPr>
              <w:t>1</w:t>
            </w:r>
            <w:r w:rsidR="00C4620A">
              <w:rPr>
                <w:rFonts w:asciiTheme="minorHAnsi" w:hAnsiTheme="minorHAnsi" w:cs="Arial"/>
                <w:b/>
                <w:iCs/>
                <w:color w:val="1F497D" w:themeColor="text2"/>
                <w:sz w:val="20"/>
                <w:lang w:eastAsia="ko-KR"/>
              </w:rPr>
              <w:t>9</w:t>
            </w:r>
            <w:r w:rsidRPr="005943BB">
              <w:rPr>
                <w:rFonts w:asciiTheme="minorHAnsi" w:hAnsiTheme="minorHAnsi" w:cs="Arial"/>
                <w:b/>
                <w:iCs/>
                <w:color w:val="1F497D" w:themeColor="text2"/>
                <w:sz w:val="20"/>
                <w:lang w:eastAsia="ko-KR"/>
              </w:rPr>
              <w:t>%</w:t>
            </w:r>
          </w:p>
        </w:tc>
      </w:tr>
      <w:tr w:rsidR="00F44518" w:rsidRPr="005943BB" w:rsidTr="00EA7D42">
        <w:trPr>
          <w:trHeight w:val="324"/>
          <w:jc w:val="center"/>
        </w:trPr>
        <w:tc>
          <w:tcPr>
            <w:tcW w:w="208" w:type="dxa"/>
            <w:shd w:val="clear" w:color="auto" w:fill="auto"/>
            <w:noWrap/>
            <w:vAlign w:val="center"/>
            <w:hideMark/>
          </w:tcPr>
          <w:p w:rsidR="00F44518" w:rsidRPr="005943BB" w:rsidRDefault="00F44518" w:rsidP="00CB5F4D">
            <w:pPr>
              <w:keepNext/>
              <w:jc w:val="right"/>
              <w:rPr>
                <w:rFonts w:asciiTheme="minorHAnsi" w:hAnsiTheme="minorHAnsi" w:cs="Arial"/>
                <w:color w:val="1F497D" w:themeColor="text2"/>
                <w:sz w:val="20"/>
                <w:lang w:eastAsia="ko-KR"/>
              </w:rPr>
            </w:pPr>
            <w:r w:rsidRPr="005943BB">
              <w:rPr>
                <w:rFonts w:asciiTheme="minorHAnsi" w:hAnsiTheme="minorHAnsi" w:cs="Arial"/>
                <w:color w:val="1F497D" w:themeColor="text2"/>
                <w:sz w:val="20"/>
                <w:lang w:eastAsia="ko-KR"/>
              </w:rPr>
              <w:t> </w:t>
            </w:r>
          </w:p>
        </w:tc>
        <w:tc>
          <w:tcPr>
            <w:tcW w:w="2073" w:type="dxa"/>
            <w:tcBorders>
              <w:right w:val="single" w:sz="4" w:space="0" w:color="4F81BD" w:themeColor="accent1"/>
            </w:tcBorders>
            <w:shd w:val="clear" w:color="auto" w:fill="auto"/>
            <w:noWrap/>
            <w:vAlign w:val="center"/>
            <w:hideMark/>
          </w:tcPr>
          <w:p w:rsidR="00F44518" w:rsidRPr="005943BB" w:rsidRDefault="00F44518" w:rsidP="00CB5F4D">
            <w:pPr>
              <w:keepNext/>
              <w:rPr>
                <w:rFonts w:asciiTheme="minorHAnsi" w:hAnsiTheme="minorHAnsi" w:cs="Arial"/>
                <w:iCs/>
                <w:color w:val="1F497D" w:themeColor="text2"/>
                <w:sz w:val="20"/>
                <w:lang w:eastAsia="ko-KR"/>
              </w:rPr>
            </w:pPr>
            <w:r w:rsidRPr="005943BB">
              <w:rPr>
                <w:rFonts w:asciiTheme="minorHAnsi" w:hAnsiTheme="minorHAnsi" w:cs="Arial"/>
                <w:iCs/>
                <w:color w:val="1F497D" w:themeColor="text2"/>
                <w:sz w:val="20"/>
                <w:lang w:eastAsia="ko-KR"/>
              </w:rPr>
              <w:t>2 Incidents</w:t>
            </w:r>
          </w:p>
        </w:tc>
        <w:tc>
          <w:tcPr>
            <w:tcW w:w="543" w:type="dxa"/>
            <w:tcBorders>
              <w:left w:val="single" w:sz="4" w:space="0" w:color="4F81BD" w:themeColor="accent1"/>
            </w:tcBorders>
            <w:shd w:val="clear" w:color="auto" w:fill="auto"/>
            <w:noWrap/>
            <w:vAlign w:val="center"/>
            <w:hideMark/>
          </w:tcPr>
          <w:p w:rsidR="00F44518" w:rsidRPr="00F44518" w:rsidRDefault="00F44518" w:rsidP="00F44518">
            <w:pPr>
              <w:jc w:val="center"/>
              <w:rPr>
                <w:rFonts w:cs="Arial"/>
                <w:color w:val="1F497D" w:themeColor="text2"/>
                <w:sz w:val="20"/>
              </w:rPr>
            </w:pPr>
            <w:r w:rsidRPr="00F44518">
              <w:rPr>
                <w:rFonts w:cs="Arial"/>
                <w:color w:val="1F497D" w:themeColor="text2"/>
                <w:sz w:val="20"/>
              </w:rPr>
              <w:t>23</w:t>
            </w:r>
          </w:p>
        </w:tc>
        <w:tc>
          <w:tcPr>
            <w:tcW w:w="588" w:type="dxa"/>
            <w:shd w:val="clear" w:color="auto" w:fill="auto"/>
            <w:noWrap/>
            <w:vAlign w:val="center"/>
            <w:hideMark/>
          </w:tcPr>
          <w:p w:rsidR="00F44518" w:rsidRPr="00F44518" w:rsidRDefault="00F44518" w:rsidP="00F44518">
            <w:pPr>
              <w:jc w:val="center"/>
              <w:rPr>
                <w:rFonts w:cs="Arial"/>
                <w:color w:val="1F497D" w:themeColor="text2"/>
                <w:sz w:val="20"/>
              </w:rPr>
            </w:pPr>
            <w:r w:rsidRPr="00F44518">
              <w:rPr>
                <w:rFonts w:cs="Arial"/>
                <w:color w:val="1F497D" w:themeColor="text2"/>
                <w:sz w:val="20"/>
              </w:rPr>
              <w:t>21</w:t>
            </w:r>
          </w:p>
        </w:tc>
        <w:tc>
          <w:tcPr>
            <w:tcW w:w="588" w:type="dxa"/>
            <w:shd w:val="clear" w:color="auto" w:fill="auto"/>
            <w:noWrap/>
            <w:vAlign w:val="center"/>
            <w:hideMark/>
          </w:tcPr>
          <w:p w:rsidR="00F44518" w:rsidRPr="00F44518" w:rsidRDefault="00F44518" w:rsidP="00F44518">
            <w:pPr>
              <w:jc w:val="center"/>
              <w:rPr>
                <w:rFonts w:cs="Arial"/>
                <w:color w:val="1F497D" w:themeColor="text2"/>
                <w:sz w:val="20"/>
              </w:rPr>
            </w:pPr>
            <w:r w:rsidRPr="00F44518">
              <w:rPr>
                <w:rFonts w:cs="Arial"/>
                <w:color w:val="1F497D" w:themeColor="text2"/>
                <w:sz w:val="20"/>
              </w:rPr>
              <w:t>27</w:t>
            </w:r>
          </w:p>
        </w:tc>
        <w:tc>
          <w:tcPr>
            <w:tcW w:w="542" w:type="dxa"/>
            <w:shd w:val="clear" w:color="auto" w:fill="auto"/>
            <w:noWrap/>
            <w:vAlign w:val="center"/>
            <w:hideMark/>
          </w:tcPr>
          <w:p w:rsidR="00F44518" w:rsidRPr="00F44518" w:rsidRDefault="00F44518" w:rsidP="00F44518">
            <w:pPr>
              <w:jc w:val="center"/>
              <w:rPr>
                <w:rFonts w:cs="Arial"/>
                <w:color w:val="1F497D" w:themeColor="text2"/>
                <w:sz w:val="20"/>
              </w:rPr>
            </w:pPr>
            <w:r w:rsidRPr="00F44518">
              <w:rPr>
                <w:rFonts w:cs="Arial"/>
                <w:color w:val="1F497D" w:themeColor="text2"/>
                <w:sz w:val="20"/>
              </w:rPr>
              <w:t>25</w:t>
            </w:r>
          </w:p>
        </w:tc>
        <w:tc>
          <w:tcPr>
            <w:tcW w:w="542" w:type="dxa"/>
            <w:shd w:val="clear" w:color="auto" w:fill="auto"/>
            <w:noWrap/>
            <w:vAlign w:val="center"/>
            <w:hideMark/>
          </w:tcPr>
          <w:p w:rsidR="00F44518" w:rsidRPr="00F44518" w:rsidRDefault="00F44518" w:rsidP="00F44518">
            <w:pPr>
              <w:jc w:val="center"/>
              <w:rPr>
                <w:rFonts w:cs="Arial"/>
                <w:color w:val="1F497D" w:themeColor="text2"/>
                <w:sz w:val="20"/>
              </w:rPr>
            </w:pPr>
            <w:r w:rsidRPr="00F44518">
              <w:rPr>
                <w:rFonts w:cs="Arial"/>
                <w:color w:val="1F497D" w:themeColor="text2"/>
                <w:sz w:val="20"/>
              </w:rPr>
              <w:t>24</w:t>
            </w:r>
          </w:p>
        </w:tc>
        <w:tc>
          <w:tcPr>
            <w:tcW w:w="588" w:type="dxa"/>
            <w:shd w:val="clear" w:color="auto" w:fill="auto"/>
            <w:noWrap/>
            <w:vAlign w:val="center"/>
            <w:hideMark/>
          </w:tcPr>
          <w:p w:rsidR="00F44518" w:rsidRPr="00F44518" w:rsidRDefault="00F44518" w:rsidP="00F44518">
            <w:pPr>
              <w:jc w:val="center"/>
              <w:rPr>
                <w:rFonts w:cs="Arial"/>
                <w:color w:val="1F497D" w:themeColor="text2"/>
                <w:sz w:val="20"/>
              </w:rPr>
            </w:pPr>
            <w:r w:rsidRPr="00F44518">
              <w:rPr>
                <w:rFonts w:cs="Arial"/>
                <w:color w:val="1F497D" w:themeColor="text2"/>
                <w:sz w:val="20"/>
              </w:rPr>
              <w:t>21</w:t>
            </w:r>
          </w:p>
        </w:tc>
        <w:tc>
          <w:tcPr>
            <w:tcW w:w="542" w:type="dxa"/>
            <w:shd w:val="clear" w:color="auto" w:fill="auto"/>
            <w:noWrap/>
            <w:vAlign w:val="center"/>
            <w:hideMark/>
          </w:tcPr>
          <w:p w:rsidR="00F44518" w:rsidRPr="00F44518" w:rsidRDefault="00F44518" w:rsidP="00F44518">
            <w:pPr>
              <w:jc w:val="center"/>
              <w:rPr>
                <w:rFonts w:cs="Arial"/>
                <w:color w:val="1F497D" w:themeColor="text2"/>
                <w:sz w:val="20"/>
              </w:rPr>
            </w:pPr>
            <w:r w:rsidRPr="00F44518">
              <w:rPr>
                <w:rFonts w:cs="Arial"/>
                <w:color w:val="1F497D" w:themeColor="text2"/>
                <w:sz w:val="20"/>
              </w:rPr>
              <w:t>32</w:t>
            </w:r>
          </w:p>
        </w:tc>
        <w:tc>
          <w:tcPr>
            <w:tcW w:w="634" w:type="dxa"/>
            <w:shd w:val="clear" w:color="auto" w:fill="auto"/>
            <w:noWrap/>
            <w:vAlign w:val="center"/>
            <w:hideMark/>
          </w:tcPr>
          <w:p w:rsidR="00F44518" w:rsidRPr="00F44518" w:rsidRDefault="00F44518" w:rsidP="00F44518">
            <w:pPr>
              <w:jc w:val="center"/>
              <w:rPr>
                <w:rFonts w:cs="Arial"/>
                <w:color w:val="1F497D" w:themeColor="text2"/>
                <w:sz w:val="20"/>
              </w:rPr>
            </w:pPr>
            <w:r w:rsidRPr="00F44518">
              <w:rPr>
                <w:rFonts w:cs="Arial"/>
                <w:color w:val="1F497D" w:themeColor="text2"/>
                <w:sz w:val="20"/>
              </w:rPr>
              <w:t>22</w:t>
            </w:r>
          </w:p>
        </w:tc>
        <w:tc>
          <w:tcPr>
            <w:tcW w:w="542" w:type="dxa"/>
            <w:shd w:val="clear" w:color="auto" w:fill="auto"/>
            <w:noWrap/>
            <w:vAlign w:val="center"/>
            <w:hideMark/>
          </w:tcPr>
          <w:p w:rsidR="00F44518" w:rsidRPr="00F44518" w:rsidRDefault="00F44518" w:rsidP="00F44518">
            <w:pPr>
              <w:jc w:val="center"/>
              <w:rPr>
                <w:rFonts w:cs="Arial"/>
                <w:color w:val="1F497D" w:themeColor="text2"/>
                <w:sz w:val="20"/>
              </w:rPr>
            </w:pPr>
            <w:r w:rsidRPr="00F44518">
              <w:rPr>
                <w:rFonts w:cs="Arial"/>
                <w:color w:val="1F497D" w:themeColor="text2"/>
                <w:sz w:val="20"/>
              </w:rPr>
              <w:t>15</w:t>
            </w:r>
          </w:p>
        </w:tc>
        <w:tc>
          <w:tcPr>
            <w:tcW w:w="542" w:type="dxa"/>
            <w:shd w:val="clear" w:color="auto" w:fill="auto"/>
            <w:noWrap/>
            <w:vAlign w:val="center"/>
            <w:hideMark/>
          </w:tcPr>
          <w:p w:rsidR="00F44518" w:rsidRPr="00F44518" w:rsidRDefault="00F44518" w:rsidP="00F44518">
            <w:pPr>
              <w:jc w:val="center"/>
              <w:rPr>
                <w:rFonts w:cs="Arial"/>
                <w:color w:val="1F497D" w:themeColor="text2"/>
                <w:sz w:val="20"/>
              </w:rPr>
            </w:pPr>
            <w:r w:rsidRPr="00F44518">
              <w:rPr>
                <w:rFonts w:cs="Arial"/>
                <w:color w:val="1F497D" w:themeColor="text2"/>
                <w:sz w:val="20"/>
              </w:rPr>
              <w:t>22</w:t>
            </w:r>
          </w:p>
        </w:tc>
        <w:tc>
          <w:tcPr>
            <w:tcW w:w="588" w:type="dxa"/>
            <w:shd w:val="clear" w:color="auto" w:fill="auto"/>
            <w:noWrap/>
            <w:vAlign w:val="center"/>
            <w:hideMark/>
          </w:tcPr>
          <w:p w:rsidR="00F44518" w:rsidRPr="00F44518" w:rsidRDefault="00F44518" w:rsidP="00F44518">
            <w:pPr>
              <w:jc w:val="center"/>
              <w:rPr>
                <w:rFonts w:cs="Arial"/>
                <w:color w:val="1F497D" w:themeColor="text2"/>
                <w:sz w:val="20"/>
              </w:rPr>
            </w:pPr>
            <w:r w:rsidRPr="00F44518">
              <w:rPr>
                <w:rFonts w:cs="Arial"/>
                <w:color w:val="1F497D" w:themeColor="text2"/>
                <w:sz w:val="20"/>
              </w:rPr>
              <w:t>22</w:t>
            </w:r>
          </w:p>
        </w:tc>
        <w:tc>
          <w:tcPr>
            <w:tcW w:w="618" w:type="dxa"/>
            <w:tcBorders>
              <w:right w:val="single" w:sz="4" w:space="0" w:color="4F81BD" w:themeColor="accent1"/>
            </w:tcBorders>
            <w:vAlign w:val="center"/>
          </w:tcPr>
          <w:p w:rsidR="00F44518" w:rsidRPr="00F44518" w:rsidRDefault="00F44518" w:rsidP="00F44518">
            <w:pPr>
              <w:jc w:val="center"/>
              <w:rPr>
                <w:rFonts w:cs="Arial"/>
                <w:color w:val="1F497D" w:themeColor="text2"/>
                <w:sz w:val="20"/>
              </w:rPr>
            </w:pPr>
            <w:r w:rsidRPr="00F44518">
              <w:rPr>
                <w:rFonts w:cs="Arial"/>
                <w:color w:val="1F497D" w:themeColor="text2"/>
                <w:sz w:val="20"/>
              </w:rPr>
              <w:t>28</w:t>
            </w:r>
          </w:p>
        </w:tc>
        <w:tc>
          <w:tcPr>
            <w:tcW w:w="823" w:type="dxa"/>
            <w:tcBorders>
              <w:left w:val="single" w:sz="4" w:space="0" w:color="4F81BD" w:themeColor="accent1"/>
            </w:tcBorders>
            <w:shd w:val="clear" w:color="auto" w:fill="auto"/>
            <w:noWrap/>
            <w:vAlign w:val="center"/>
            <w:hideMark/>
          </w:tcPr>
          <w:p w:rsidR="00F44518" w:rsidRPr="005A3FE5" w:rsidRDefault="00F44518" w:rsidP="005A3FE5">
            <w:pPr>
              <w:jc w:val="center"/>
              <w:rPr>
                <w:rFonts w:cs="Arial"/>
                <w:b/>
                <w:color w:val="1F497D" w:themeColor="text2"/>
                <w:sz w:val="20"/>
              </w:rPr>
            </w:pPr>
            <w:r w:rsidRPr="005A3FE5">
              <w:rPr>
                <w:rFonts w:cs="Arial"/>
                <w:b/>
                <w:color w:val="1F497D" w:themeColor="text2"/>
                <w:sz w:val="20"/>
              </w:rPr>
              <w:t>23.5</w:t>
            </w:r>
          </w:p>
        </w:tc>
        <w:tc>
          <w:tcPr>
            <w:tcW w:w="735" w:type="dxa"/>
            <w:shd w:val="clear" w:color="auto" w:fill="auto"/>
            <w:noWrap/>
            <w:vAlign w:val="center"/>
            <w:hideMark/>
          </w:tcPr>
          <w:p w:rsidR="00F44518" w:rsidRPr="005943BB" w:rsidRDefault="00F44518" w:rsidP="00CB5F4D">
            <w:pPr>
              <w:keepNext/>
              <w:jc w:val="center"/>
              <w:rPr>
                <w:rFonts w:asciiTheme="minorHAnsi" w:hAnsiTheme="minorHAnsi" w:cs="Arial"/>
                <w:b/>
                <w:iCs/>
                <w:color w:val="1F497D" w:themeColor="text2"/>
                <w:sz w:val="20"/>
                <w:lang w:eastAsia="ko-KR"/>
              </w:rPr>
            </w:pPr>
            <w:r w:rsidRPr="005943BB">
              <w:rPr>
                <w:rFonts w:asciiTheme="minorHAnsi" w:hAnsiTheme="minorHAnsi" w:cs="Arial"/>
                <w:b/>
                <w:iCs/>
                <w:color w:val="1F497D" w:themeColor="text2"/>
                <w:sz w:val="20"/>
                <w:lang w:eastAsia="ko-KR"/>
              </w:rPr>
              <w:t>8%</w:t>
            </w:r>
          </w:p>
        </w:tc>
      </w:tr>
      <w:tr w:rsidR="00F44518" w:rsidRPr="005943BB" w:rsidTr="00EA7D42">
        <w:trPr>
          <w:trHeight w:val="324"/>
          <w:jc w:val="center"/>
        </w:trPr>
        <w:tc>
          <w:tcPr>
            <w:tcW w:w="208" w:type="dxa"/>
            <w:shd w:val="clear" w:color="auto" w:fill="auto"/>
            <w:noWrap/>
            <w:vAlign w:val="center"/>
            <w:hideMark/>
          </w:tcPr>
          <w:p w:rsidR="00F44518" w:rsidRPr="005943BB" w:rsidRDefault="00F44518" w:rsidP="00CB5F4D">
            <w:pPr>
              <w:keepNext/>
              <w:jc w:val="right"/>
              <w:rPr>
                <w:rFonts w:asciiTheme="minorHAnsi" w:hAnsiTheme="minorHAnsi" w:cs="Arial"/>
                <w:color w:val="1F497D" w:themeColor="text2"/>
                <w:sz w:val="20"/>
                <w:lang w:eastAsia="ko-KR"/>
              </w:rPr>
            </w:pPr>
            <w:r w:rsidRPr="005943BB">
              <w:rPr>
                <w:rFonts w:asciiTheme="minorHAnsi" w:hAnsiTheme="minorHAnsi" w:cs="Arial"/>
                <w:color w:val="1F497D" w:themeColor="text2"/>
                <w:sz w:val="20"/>
                <w:lang w:eastAsia="ko-KR"/>
              </w:rPr>
              <w:t> </w:t>
            </w:r>
          </w:p>
        </w:tc>
        <w:tc>
          <w:tcPr>
            <w:tcW w:w="2073" w:type="dxa"/>
            <w:tcBorders>
              <w:right w:val="single" w:sz="4" w:space="0" w:color="4F81BD" w:themeColor="accent1"/>
            </w:tcBorders>
            <w:shd w:val="clear" w:color="auto" w:fill="auto"/>
            <w:noWrap/>
            <w:vAlign w:val="center"/>
            <w:hideMark/>
          </w:tcPr>
          <w:p w:rsidR="00F44518" w:rsidRPr="005943BB" w:rsidRDefault="00F44518" w:rsidP="00CB5F4D">
            <w:pPr>
              <w:keepNext/>
              <w:rPr>
                <w:rFonts w:asciiTheme="minorHAnsi" w:hAnsiTheme="minorHAnsi" w:cs="Arial"/>
                <w:iCs/>
                <w:color w:val="1F497D" w:themeColor="text2"/>
                <w:sz w:val="20"/>
                <w:lang w:eastAsia="ko-KR"/>
              </w:rPr>
            </w:pPr>
            <w:r w:rsidRPr="005943BB">
              <w:rPr>
                <w:rFonts w:asciiTheme="minorHAnsi" w:hAnsiTheme="minorHAnsi" w:cs="Arial"/>
                <w:iCs/>
                <w:color w:val="1F497D" w:themeColor="text2"/>
                <w:sz w:val="20"/>
                <w:lang w:eastAsia="ko-KR"/>
              </w:rPr>
              <w:t>3</w:t>
            </w:r>
            <w:r>
              <w:rPr>
                <w:rFonts w:asciiTheme="minorHAnsi" w:hAnsiTheme="minorHAnsi" w:cs="Arial"/>
                <w:iCs/>
                <w:color w:val="1F497D" w:themeColor="text2"/>
                <w:sz w:val="20"/>
                <w:lang w:eastAsia="ko-KR"/>
              </w:rPr>
              <w:t>~5</w:t>
            </w:r>
            <w:r w:rsidRPr="005943BB">
              <w:rPr>
                <w:rFonts w:asciiTheme="minorHAnsi" w:hAnsiTheme="minorHAnsi" w:cs="Arial"/>
                <w:iCs/>
                <w:color w:val="1F497D" w:themeColor="text2"/>
                <w:sz w:val="20"/>
                <w:lang w:eastAsia="ko-KR"/>
              </w:rPr>
              <w:t xml:space="preserve"> Incidents</w:t>
            </w:r>
          </w:p>
        </w:tc>
        <w:tc>
          <w:tcPr>
            <w:tcW w:w="543" w:type="dxa"/>
            <w:tcBorders>
              <w:left w:val="single" w:sz="4" w:space="0" w:color="4F81BD" w:themeColor="accent1"/>
            </w:tcBorders>
            <w:shd w:val="clear" w:color="auto" w:fill="auto"/>
            <w:noWrap/>
            <w:vAlign w:val="center"/>
            <w:hideMark/>
          </w:tcPr>
          <w:p w:rsidR="00F44518" w:rsidRPr="00F44518" w:rsidRDefault="00F44518" w:rsidP="00F44518">
            <w:pPr>
              <w:jc w:val="center"/>
              <w:rPr>
                <w:rFonts w:cs="Arial"/>
                <w:color w:val="1F497D" w:themeColor="text2"/>
                <w:sz w:val="20"/>
              </w:rPr>
            </w:pPr>
            <w:r w:rsidRPr="00F44518">
              <w:rPr>
                <w:rFonts w:cs="Arial"/>
                <w:color w:val="1F497D" w:themeColor="text2"/>
                <w:sz w:val="20"/>
              </w:rPr>
              <w:t>18</w:t>
            </w:r>
          </w:p>
        </w:tc>
        <w:tc>
          <w:tcPr>
            <w:tcW w:w="588" w:type="dxa"/>
            <w:shd w:val="clear" w:color="auto" w:fill="auto"/>
            <w:noWrap/>
            <w:vAlign w:val="center"/>
            <w:hideMark/>
          </w:tcPr>
          <w:p w:rsidR="00F44518" w:rsidRPr="00F44518" w:rsidRDefault="00F44518" w:rsidP="00F44518">
            <w:pPr>
              <w:jc w:val="center"/>
              <w:rPr>
                <w:rFonts w:cs="Arial"/>
                <w:color w:val="1F497D" w:themeColor="text2"/>
                <w:sz w:val="20"/>
              </w:rPr>
            </w:pPr>
            <w:r w:rsidRPr="00F44518">
              <w:rPr>
                <w:rFonts w:cs="Arial"/>
                <w:color w:val="1F497D" w:themeColor="text2"/>
                <w:sz w:val="20"/>
              </w:rPr>
              <w:t>25</w:t>
            </w:r>
          </w:p>
        </w:tc>
        <w:tc>
          <w:tcPr>
            <w:tcW w:w="588" w:type="dxa"/>
            <w:shd w:val="clear" w:color="auto" w:fill="auto"/>
            <w:noWrap/>
            <w:vAlign w:val="center"/>
            <w:hideMark/>
          </w:tcPr>
          <w:p w:rsidR="00F44518" w:rsidRPr="00F44518" w:rsidRDefault="00F44518" w:rsidP="00F44518">
            <w:pPr>
              <w:jc w:val="center"/>
              <w:rPr>
                <w:rFonts w:cs="Arial"/>
                <w:color w:val="1F497D" w:themeColor="text2"/>
                <w:sz w:val="20"/>
              </w:rPr>
            </w:pPr>
            <w:r w:rsidRPr="00F44518">
              <w:rPr>
                <w:rFonts w:cs="Arial"/>
                <w:color w:val="1F497D" w:themeColor="text2"/>
                <w:sz w:val="20"/>
              </w:rPr>
              <w:t>19</w:t>
            </w:r>
          </w:p>
        </w:tc>
        <w:tc>
          <w:tcPr>
            <w:tcW w:w="542" w:type="dxa"/>
            <w:shd w:val="clear" w:color="auto" w:fill="auto"/>
            <w:noWrap/>
            <w:vAlign w:val="center"/>
            <w:hideMark/>
          </w:tcPr>
          <w:p w:rsidR="00F44518" w:rsidRPr="00F44518" w:rsidRDefault="00F44518" w:rsidP="00F44518">
            <w:pPr>
              <w:jc w:val="center"/>
              <w:rPr>
                <w:rFonts w:cs="Arial"/>
                <w:color w:val="1F497D" w:themeColor="text2"/>
                <w:sz w:val="20"/>
              </w:rPr>
            </w:pPr>
            <w:r w:rsidRPr="00F44518">
              <w:rPr>
                <w:rFonts w:cs="Arial"/>
                <w:color w:val="1F497D" w:themeColor="text2"/>
                <w:sz w:val="20"/>
              </w:rPr>
              <w:t>19</w:t>
            </w:r>
          </w:p>
        </w:tc>
        <w:tc>
          <w:tcPr>
            <w:tcW w:w="542" w:type="dxa"/>
            <w:shd w:val="clear" w:color="auto" w:fill="auto"/>
            <w:noWrap/>
            <w:vAlign w:val="center"/>
            <w:hideMark/>
          </w:tcPr>
          <w:p w:rsidR="00F44518" w:rsidRPr="00F44518" w:rsidRDefault="00F44518" w:rsidP="00F44518">
            <w:pPr>
              <w:jc w:val="center"/>
              <w:rPr>
                <w:rFonts w:cs="Arial"/>
                <w:color w:val="1F497D" w:themeColor="text2"/>
                <w:sz w:val="20"/>
              </w:rPr>
            </w:pPr>
            <w:r w:rsidRPr="00F44518">
              <w:rPr>
                <w:rFonts w:cs="Arial"/>
                <w:color w:val="1F497D" w:themeColor="text2"/>
                <w:sz w:val="20"/>
              </w:rPr>
              <w:t>19</w:t>
            </w:r>
          </w:p>
        </w:tc>
        <w:tc>
          <w:tcPr>
            <w:tcW w:w="588" w:type="dxa"/>
            <w:shd w:val="clear" w:color="auto" w:fill="auto"/>
            <w:noWrap/>
            <w:vAlign w:val="center"/>
            <w:hideMark/>
          </w:tcPr>
          <w:p w:rsidR="00F44518" w:rsidRPr="00F44518" w:rsidRDefault="00F44518" w:rsidP="00F44518">
            <w:pPr>
              <w:jc w:val="center"/>
              <w:rPr>
                <w:rFonts w:cs="Arial"/>
                <w:color w:val="1F497D" w:themeColor="text2"/>
                <w:sz w:val="20"/>
              </w:rPr>
            </w:pPr>
            <w:r w:rsidRPr="00F44518">
              <w:rPr>
                <w:rFonts w:cs="Arial"/>
                <w:color w:val="1F497D" w:themeColor="text2"/>
                <w:sz w:val="20"/>
              </w:rPr>
              <w:t>19</w:t>
            </w:r>
          </w:p>
        </w:tc>
        <w:tc>
          <w:tcPr>
            <w:tcW w:w="542" w:type="dxa"/>
            <w:shd w:val="clear" w:color="auto" w:fill="auto"/>
            <w:noWrap/>
            <w:vAlign w:val="center"/>
            <w:hideMark/>
          </w:tcPr>
          <w:p w:rsidR="00F44518" w:rsidRPr="00F44518" w:rsidRDefault="00F44518" w:rsidP="00F44518">
            <w:pPr>
              <w:jc w:val="center"/>
              <w:rPr>
                <w:rFonts w:cs="Arial"/>
                <w:color w:val="1F497D" w:themeColor="text2"/>
                <w:sz w:val="20"/>
              </w:rPr>
            </w:pPr>
            <w:r w:rsidRPr="00F44518">
              <w:rPr>
                <w:rFonts w:cs="Arial"/>
                <w:color w:val="1F497D" w:themeColor="text2"/>
                <w:sz w:val="20"/>
              </w:rPr>
              <w:t>31</w:t>
            </w:r>
          </w:p>
        </w:tc>
        <w:tc>
          <w:tcPr>
            <w:tcW w:w="634" w:type="dxa"/>
            <w:shd w:val="clear" w:color="auto" w:fill="auto"/>
            <w:noWrap/>
            <w:vAlign w:val="center"/>
            <w:hideMark/>
          </w:tcPr>
          <w:p w:rsidR="00F44518" w:rsidRPr="00F44518" w:rsidRDefault="00F44518" w:rsidP="00F44518">
            <w:pPr>
              <w:jc w:val="center"/>
              <w:rPr>
                <w:rFonts w:cs="Arial"/>
                <w:color w:val="1F497D" w:themeColor="text2"/>
                <w:sz w:val="20"/>
              </w:rPr>
            </w:pPr>
            <w:r w:rsidRPr="00F44518">
              <w:rPr>
                <w:rFonts w:cs="Arial"/>
                <w:color w:val="1F497D" w:themeColor="text2"/>
                <w:sz w:val="20"/>
              </w:rPr>
              <w:t>13</w:t>
            </w:r>
          </w:p>
        </w:tc>
        <w:tc>
          <w:tcPr>
            <w:tcW w:w="542" w:type="dxa"/>
            <w:shd w:val="clear" w:color="auto" w:fill="auto"/>
            <w:noWrap/>
            <w:vAlign w:val="center"/>
            <w:hideMark/>
          </w:tcPr>
          <w:p w:rsidR="00F44518" w:rsidRPr="00F44518" w:rsidRDefault="00F44518" w:rsidP="00F44518">
            <w:pPr>
              <w:jc w:val="center"/>
              <w:rPr>
                <w:rFonts w:cs="Arial"/>
                <w:color w:val="1F497D" w:themeColor="text2"/>
                <w:sz w:val="20"/>
              </w:rPr>
            </w:pPr>
            <w:r w:rsidRPr="00F44518">
              <w:rPr>
                <w:rFonts w:cs="Arial"/>
                <w:color w:val="1F497D" w:themeColor="text2"/>
                <w:sz w:val="20"/>
              </w:rPr>
              <w:t>17</w:t>
            </w:r>
          </w:p>
        </w:tc>
        <w:tc>
          <w:tcPr>
            <w:tcW w:w="542" w:type="dxa"/>
            <w:shd w:val="clear" w:color="auto" w:fill="auto"/>
            <w:noWrap/>
            <w:vAlign w:val="center"/>
            <w:hideMark/>
          </w:tcPr>
          <w:p w:rsidR="00F44518" w:rsidRPr="00F44518" w:rsidRDefault="00F44518" w:rsidP="00F44518">
            <w:pPr>
              <w:jc w:val="center"/>
              <w:rPr>
                <w:rFonts w:cs="Arial"/>
                <w:color w:val="1F497D" w:themeColor="text2"/>
                <w:sz w:val="20"/>
              </w:rPr>
            </w:pPr>
            <w:r w:rsidRPr="00F44518">
              <w:rPr>
                <w:rFonts w:cs="Arial"/>
                <w:color w:val="1F497D" w:themeColor="text2"/>
                <w:sz w:val="20"/>
              </w:rPr>
              <w:t>15</w:t>
            </w:r>
          </w:p>
        </w:tc>
        <w:tc>
          <w:tcPr>
            <w:tcW w:w="588" w:type="dxa"/>
            <w:shd w:val="clear" w:color="auto" w:fill="auto"/>
            <w:noWrap/>
            <w:vAlign w:val="center"/>
            <w:hideMark/>
          </w:tcPr>
          <w:p w:rsidR="00F44518" w:rsidRPr="00F44518" w:rsidRDefault="00F44518" w:rsidP="00F44518">
            <w:pPr>
              <w:jc w:val="center"/>
              <w:rPr>
                <w:rFonts w:cs="Arial"/>
                <w:color w:val="1F497D" w:themeColor="text2"/>
                <w:sz w:val="20"/>
              </w:rPr>
            </w:pPr>
            <w:r w:rsidRPr="00F44518">
              <w:rPr>
                <w:rFonts w:cs="Arial"/>
                <w:color w:val="1F497D" w:themeColor="text2"/>
                <w:sz w:val="20"/>
              </w:rPr>
              <w:t>26</w:t>
            </w:r>
          </w:p>
        </w:tc>
        <w:tc>
          <w:tcPr>
            <w:tcW w:w="618" w:type="dxa"/>
            <w:tcBorders>
              <w:right w:val="single" w:sz="4" w:space="0" w:color="4F81BD" w:themeColor="accent1"/>
            </w:tcBorders>
            <w:vAlign w:val="center"/>
          </w:tcPr>
          <w:p w:rsidR="00F44518" w:rsidRPr="00F44518" w:rsidRDefault="00F44518" w:rsidP="00F44518">
            <w:pPr>
              <w:jc w:val="center"/>
              <w:rPr>
                <w:rFonts w:cs="Arial"/>
                <w:color w:val="1F497D" w:themeColor="text2"/>
                <w:sz w:val="20"/>
              </w:rPr>
            </w:pPr>
            <w:r w:rsidRPr="00F44518">
              <w:rPr>
                <w:rFonts w:cs="Arial"/>
                <w:color w:val="1F497D" w:themeColor="text2"/>
                <w:sz w:val="20"/>
              </w:rPr>
              <w:t>18</w:t>
            </w:r>
          </w:p>
        </w:tc>
        <w:tc>
          <w:tcPr>
            <w:tcW w:w="823" w:type="dxa"/>
            <w:tcBorders>
              <w:left w:val="single" w:sz="4" w:space="0" w:color="4F81BD" w:themeColor="accent1"/>
            </w:tcBorders>
            <w:shd w:val="clear" w:color="auto" w:fill="auto"/>
            <w:noWrap/>
            <w:vAlign w:val="center"/>
            <w:hideMark/>
          </w:tcPr>
          <w:p w:rsidR="00F44518" w:rsidRPr="005A3FE5" w:rsidRDefault="00C4620A" w:rsidP="00C4620A">
            <w:pPr>
              <w:jc w:val="center"/>
              <w:rPr>
                <w:rFonts w:cs="Arial"/>
                <w:b/>
                <w:color w:val="1F497D" w:themeColor="text2"/>
                <w:sz w:val="20"/>
              </w:rPr>
            </w:pPr>
            <w:r>
              <w:rPr>
                <w:rFonts w:cs="Arial"/>
                <w:b/>
                <w:color w:val="1F497D" w:themeColor="text2"/>
                <w:sz w:val="20"/>
              </w:rPr>
              <w:t>19</w:t>
            </w:r>
            <w:r w:rsidR="00F44518" w:rsidRPr="005A3FE5">
              <w:rPr>
                <w:rFonts w:cs="Arial"/>
                <w:b/>
                <w:color w:val="1F497D" w:themeColor="text2"/>
                <w:sz w:val="20"/>
              </w:rPr>
              <w:t>.</w:t>
            </w:r>
            <w:r>
              <w:rPr>
                <w:rFonts w:cs="Arial"/>
                <w:b/>
                <w:color w:val="1F497D" w:themeColor="text2"/>
                <w:sz w:val="20"/>
              </w:rPr>
              <w:t>9</w:t>
            </w:r>
          </w:p>
        </w:tc>
        <w:tc>
          <w:tcPr>
            <w:tcW w:w="735" w:type="dxa"/>
            <w:shd w:val="clear" w:color="auto" w:fill="auto"/>
            <w:noWrap/>
            <w:vAlign w:val="center"/>
            <w:hideMark/>
          </w:tcPr>
          <w:p w:rsidR="00F44518" w:rsidRPr="005943BB" w:rsidRDefault="00C4620A" w:rsidP="00CB5F4D">
            <w:pPr>
              <w:keepNext/>
              <w:jc w:val="center"/>
              <w:rPr>
                <w:rFonts w:asciiTheme="minorHAnsi" w:hAnsiTheme="minorHAnsi" w:cs="Arial"/>
                <w:b/>
                <w:iCs/>
                <w:color w:val="1F497D" w:themeColor="text2"/>
                <w:sz w:val="20"/>
                <w:lang w:eastAsia="ko-KR"/>
              </w:rPr>
            </w:pPr>
            <w:r>
              <w:rPr>
                <w:rFonts w:asciiTheme="minorHAnsi" w:hAnsiTheme="minorHAnsi" w:cs="Arial"/>
                <w:b/>
                <w:iCs/>
                <w:color w:val="1F497D" w:themeColor="text2"/>
                <w:sz w:val="20"/>
                <w:lang w:eastAsia="ko-KR"/>
              </w:rPr>
              <w:t>7</w:t>
            </w:r>
            <w:r w:rsidR="00F44518" w:rsidRPr="005943BB">
              <w:rPr>
                <w:rFonts w:asciiTheme="minorHAnsi" w:hAnsiTheme="minorHAnsi" w:cs="Arial"/>
                <w:b/>
                <w:iCs/>
                <w:color w:val="1F497D" w:themeColor="text2"/>
                <w:sz w:val="20"/>
                <w:lang w:eastAsia="ko-KR"/>
              </w:rPr>
              <w:t>%</w:t>
            </w:r>
          </w:p>
        </w:tc>
      </w:tr>
      <w:tr w:rsidR="00F44518" w:rsidRPr="005943BB" w:rsidTr="00EA7D42">
        <w:trPr>
          <w:trHeight w:val="324"/>
          <w:jc w:val="center"/>
        </w:trPr>
        <w:tc>
          <w:tcPr>
            <w:tcW w:w="208" w:type="dxa"/>
            <w:tcBorders>
              <w:bottom w:val="single" w:sz="4" w:space="0" w:color="4F81BD" w:themeColor="accent1"/>
            </w:tcBorders>
            <w:shd w:val="clear" w:color="auto" w:fill="auto"/>
            <w:noWrap/>
            <w:vAlign w:val="center"/>
            <w:hideMark/>
          </w:tcPr>
          <w:p w:rsidR="00F44518" w:rsidRPr="005943BB" w:rsidRDefault="00F44518" w:rsidP="00CB5F4D">
            <w:pPr>
              <w:keepNext/>
              <w:jc w:val="right"/>
              <w:rPr>
                <w:rFonts w:asciiTheme="minorHAnsi" w:hAnsiTheme="minorHAnsi" w:cs="Arial"/>
                <w:color w:val="1F497D" w:themeColor="text2"/>
                <w:sz w:val="20"/>
                <w:lang w:eastAsia="ko-KR"/>
              </w:rPr>
            </w:pPr>
            <w:r w:rsidRPr="005943BB">
              <w:rPr>
                <w:rFonts w:asciiTheme="minorHAnsi" w:hAnsiTheme="minorHAnsi" w:cs="Arial"/>
                <w:color w:val="1F497D" w:themeColor="text2"/>
                <w:sz w:val="20"/>
                <w:lang w:eastAsia="ko-KR"/>
              </w:rPr>
              <w:t> </w:t>
            </w:r>
          </w:p>
        </w:tc>
        <w:tc>
          <w:tcPr>
            <w:tcW w:w="2073" w:type="dxa"/>
            <w:tcBorders>
              <w:bottom w:val="single" w:sz="4" w:space="0" w:color="4F81BD" w:themeColor="accent1"/>
              <w:right w:val="single" w:sz="4" w:space="0" w:color="4F81BD" w:themeColor="accent1"/>
            </w:tcBorders>
            <w:shd w:val="clear" w:color="auto" w:fill="auto"/>
            <w:noWrap/>
            <w:vAlign w:val="center"/>
            <w:hideMark/>
          </w:tcPr>
          <w:p w:rsidR="00F44518" w:rsidRPr="005943BB" w:rsidRDefault="00F44518" w:rsidP="00CB5F4D">
            <w:pPr>
              <w:keepNext/>
              <w:rPr>
                <w:rFonts w:asciiTheme="minorHAnsi" w:hAnsiTheme="minorHAnsi" w:cs="Arial"/>
                <w:iCs/>
                <w:color w:val="1F497D" w:themeColor="text2"/>
                <w:sz w:val="20"/>
                <w:lang w:eastAsia="ko-KR"/>
              </w:rPr>
            </w:pPr>
            <w:r>
              <w:rPr>
                <w:rFonts w:asciiTheme="minorHAnsi" w:hAnsiTheme="minorHAnsi" w:cs="Arial"/>
                <w:iCs/>
                <w:color w:val="1F497D" w:themeColor="text2"/>
                <w:sz w:val="20"/>
                <w:lang w:eastAsia="ko-KR"/>
              </w:rPr>
              <w:t>&gt;=6</w:t>
            </w:r>
            <w:r w:rsidRPr="005943BB">
              <w:rPr>
                <w:rFonts w:asciiTheme="minorHAnsi" w:hAnsiTheme="minorHAnsi" w:cs="Arial"/>
                <w:iCs/>
                <w:color w:val="1F497D" w:themeColor="text2"/>
                <w:sz w:val="20"/>
                <w:lang w:eastAsia="ko-KR"/>
              </w:rPr>
              <w:t xml:space="preserve"> Incidents</w:t>
            </w:r>
          </w:p>
        </w:tc>
        <w:tc>
          <w:tcPr>
            <w:tcW w:w="543" w:type="dxa"/>
            <w:tcBorders>
              <w:left w:val="single" w:sz="4" w:space="0" w:color="4F81BD" w:themeColor="accent1"/>
              <w:bottom w:val="single" w:sz="4" w:space="0" w:color="4F81BD" w:themeColor="accent1"/>
            </w:tcBorders>
            <w:shd w:val="clear" w:color="auto" w:fill="auto"/>
            <w:noWrap/>
            <w:vAlign w:val="center"/>
            <w:hideMark/>
          </w:tcPr>
          <w:p w:rsidR="00F44518" w:rsidRPr="00F44518" w:rsidRDefault="00F44518" w:rsidP="00F44518">
            <w:pPr>
              <w:jc w:val="center"/>
              <w:rPr>
                <w:rFonts w:cs="Arial"/>
                <w:color w:val="1F497D" w:themeColor="text2"/>
                <w:sz w:val="20"/>
              </w:rPr>
            </w:pPr>
            <w:r w:rsidRPr="00F44518">
              <w:rPr>
                <w:rFonts w:cs="Arial"/>
                <w:color w:val="1F497D" w:themeColor="text2"/>
                <w:sz w:val="20"/>
              </w:rPr>
              <w:t>5</w:t>
            </w:r>
          </w:p>
        </w:tc>
        <w:tc>
          <w:tcPr>
            <w:tcW w:w="588" w:type="dxa"/>
            <w:tcBorders>
              <w:bottom w:val="single" w:sz="4" w:space="0" w:color="4F81BD" w:themeColor="accent1"/>
            </w:tcBorders>
            <w:shd w:val="clear" w:color="auto" w:fill="auto"/>
            <w:noWrap/>
            <w:vAlign w:val="center"/>
            <w:hideMark/>
          </w:tcPr>
          <w:p w:rsidR="00F44518" w:rsidRPr="00F44518" w:rsidRDefault="00F44518" w:rsidP="00F44518">
            <w:pPr>
              <w:jc w:val="center"/>
              <w:rPr>
                <w:rFonts w:cs="Arial"/>
                <w:color w:val="1F497D" w:themeColor="text2"/>
                <w:sz w:val="20"/>
              </w:rPr>
            </w:pPr>
            <w:r w:rsidRPr="00F44518">
              <w:rPr>
                <w:rFonts w:cs="Arial"/>
                <w:color w:val="1F497D" w:themeColor="text2"/>
                <w:sz w:val="20"/>
              </w:rPr>
              <w:t>6</w:t>
            </w:r>
          </w:p>
        </w:tc>
        <w:tc>
          <w:tcPr>
            <w:tcW w:w="588" w:type="dxa"/>
            <w:tcBorders>
              <w:bottom w:val="single" w:sz="4" w:space="0" w:color="4F81BD" w:themeColor="accent1"/>
            </w:tcBorders>
            <w:shd w:val="clear" w:color="auto" w:fill="auto"/>
            <w:noWrap/>
            <w:vAlign w:val="center"/>
            <w:hideMark/>
          </w:tcPr>
          <w:p w:rsidR="00F44518" w:rsidRPr="00F44518" w:rsidRDefault="00F44518" w:rsidP="00F44518">
            <w:pPr>
              <w:jc w:val="center"/>
              <w:rPr>
                <w:rFonts w:cs="Arial"/>
                <w:color w:val="1F497D" w:themeColor="text2"/>
                <w:sz w:val="20"/>
              </w:rPr>
            </w:pPr>
            <w:r w:rsidRPr="00F44518">
              <w:rPr>
                <w:rFonts w:cs="Arial"/>
                <w:color w:val="1F497D" w:themeColor="text2"/>
                <w:sz w:val="20"/>
              </w:rPr>
              <w:t>7</w:t>
            </w:r>
          </w:p>
        </w:tc>
        <w:tc>
          <w:tcPr>
            <w:tcW w:w="542" w:type="dxa"/>
            <w:tcBorders>
              <w:bottom w:val="single" w:sz="4" w:space="0" w:color="4F81BD" w:themeColor="accent1"/>
            </w:tcBorders>
            <w:shd w:val="clear" w:color="auto" w:fill="auto"/>
            <w:noWrap/>
            <w:vAlign w:val="center"/>
            <w:hideMark/>
          </w:tcPr>
          <w:p w:rsidR="00F44518" w:rsidRPr="00F44518" w:rsidRDefault="00F44518" w:rsidP="00F44518">
            <w:pPr>
              <w:jc w:val="center"/>
              <w:rPr>
                <w:rFonts w:cs="Arial"/>
                <w:color w:val="1F497D" w:themeColor="text2"/>
                <w:sz w:val="20"/>
              </w:rPr>
            </w:pPr>
            <w:r w:rsidRPr="00F44518">
              <w:rPr>
                <w:rFonts w:cs="Arial"/>
                <w:color w:val="1F497D" w:themeColor="text2"/>
                <w:sz w:val="20"/>
              </w:rPr>
              <w:t>10</w:t>
            </w:r>
          </w:p>
        </w:tc>
        <w:tc>
          <w:tcPr>
            <w:tcW w:w="542" w:type="dxa"/>
            <w:tcBorders>
              <w:bottom w:val="single" w:sz="4" w:space="0" w:color="4F81BD" w:themeColor="accent1"/>
            </w:tcBorders>
            <w:shd w:val="clear" w:color="auto" w:fill="auto"/>
            <w:noWrap/>
            <w:vAlign w:val="center"/>
            <w:hideMark/>
          </w:tcPr>
          <w:p w:rsidR="00F44518" w:rsidRPr="00F44518" w:rsidRDefault="00F44518" w:rsidP="00F44518">
            <w:pPr>
              <w:jc w:val="center"/>
              <w:rPr>
                <w:rFonts w:cs="Arial"/>
                <w:color w:val="1F497D" w:themeColor="text2"/>
                <w:sz w:val="20"/>
              </w:rPr>
            </w:pPr>
            <w:r w:rsidRPr="00F44518">
              <w:rPr>
                <w:rFonts w:cs="Arial"/>
                <w:color w:val="1F497D" w:themeColor="text2"/>
                <w:sz w:val="20"/>
              </w:rPr>
              <w:t>5</w:t>
            </w:r>
          </w:p>
        </w:tc>
        <w:tc>
          <w:tcPr>
            <w:tcW w:w="588" w:type="dxa"/>
            <w:tcBorders>
              <w:bottom w:val="single" w:sz="4" w:space="0" w:color="4F81BD" w:themeColor="accent1"/>
            </w:tcBorders>
            <w:shd w:val="clear" w:color="auto" w:fill="auto"/>
            <w:noWrap/>
            <w:vAlign w:val="center"/>
            <w:hideMark/>
          </w:tcPr>
          <w:p w:rsidR="00F44518" w:rsidRPr="00F44518" w:rsidRDefault="00F44518" w:rsidP="00F44518">
            <w:pPr>
              <w:jc w:val="center"/>
              <w:rPr>
                <w:rFonts w:cs="Arial"/>
                <w:color w:val="1F497D" w:themeColor="text2"/>
                <w:sz w:val="20"/>
              </w:rPr>
            </w:pPr>
            <w:r w:rsidRPr="00F44518">
              <w:rPr>
                <w:rFonts w:cs="Arial"/>
                <w:color w:val="1F497D" w:themeColor="text2"/>
                <w:sz w:val="20"/>
              </w:rPr>
              <w:t>9</w:t>
            </w:r>
          </w:p>
        </w:tc>
        <w:tc>
          <w:tcPr>
            <w:tcW w:w="542" w:type="dxa"/>
            <w:tcBorders>
              <w:bottom w:val="single" w:sz="4" w:space="0" w:color="4F81BD" w:themeColor="accent1"/>
            </w:tcBorders>
            <w:shd w:val="clear" w:color="auto" w:fill="auto"/>
            <w:noWrap/>
            <w:vAlign w:val="center"/>
            <w:hideMark/>
          </w:tcPr>
          <w:p w:rsidR="00F44518" w:rsidRPr="00F44518" w:rsidRDefault="00F44518" w:rsidP="00F44518">
            <w:pPr>
              <w:jc w:val="center"/>
              <w:rPr>
                <w:rFonts w:cs="Arial"/>
                <w:color w:val="1F497D" w:themeColor="text2"/>
                <w:sz w:val="20"/>
              </w:rPr>
            </w:pPr>
            <w:r w:rsidRPr="00F44518">
              <w:rPr>
                <w:rFonts w:cs="Arial"/>
                <w:color w:val="1F497D" w:themeColor="text2"/>
                <w:sz w:val="20"/>
              </w:rPr>
              <w:t>6</w:t>
            </w:r>
          </w:p>
        </w:tc>
        <w:tc>
          <w:tcPr>
            <w:tcW w:w="634" w:type="dxa"/>
            <w:tcBorders>
              <w:bottom w:val="single" w:sz="4" w:space="0" w:color="4F81BD" w:themeColor="accent1"/>
            </w:tcBorders>
            <w:shd w:val="clear" w:color="auto" w:fill="auto"/>
            <w:noWrap/>
            <w:vAlign w:val="center"/>
            <w:hideMark/>
          </w:tcPr>
          <w:p w:rsidR="00F44518" w:rsidRPr="00F44518" w:rsidRDefault="00F44518" w:rsidP="00F44518">
            <w:pPr>
              <w:jc w:val="center"/>
              <w:rPr>
                <w:rFonts w:cs="Arial"/>
                <w:color w:val="1F497D" w:themeColor="text2"/>
                <w:sz w:val="20"/>
              </w:rPr>
            </w:pPr>
            <w:r w:rsidRPr="00F44518">
              <w:rPr>
                <w:rFonts w:cs="Arial"/>
                <w:color w:val="1F497D" w:themeColor="text2"/>
                <w:sz w:val="20"/>
              </w:rPr>
              <w:t>10</w:t>
            </w:r>
          </w:p>
        </w:tc>
        <w:tc>
          <w:tcPr>
            <w:tcW w:w="542" w:type="dxa"/>
            <w:tcBorders>
              <w:bottom w:val="single" w:sz="4" w:space="0" w:color="4F81BD" w:themeColor="accent1"/>
            </w:tcBorders>
            <w:shd w:val="clear" w:color="auto" w:fill="auto"/>
            <w:noWrap/>
            <w:vAlign w:val="center"/>
            <w:hideMark/>
          </w:tcPr>
          <w:p w:rsidR="00F44518" w:rsidRPr="00F44518" w:rsidRDefault="00F44518" w:rsidP="00F44518">
            <w:pPr>
              <w:jc w:val="center"/>
              <w:rPr>
                <w:rFonts w:cs="Arial"/>
                <w:color w:val="1F497D" w:themeColor="text2"/>
                <w:sz w:val="20"/>
              </w:rPr>
            </w:pPr>
            <w:r w:rsidRPr="00F44518">
              <w:rPr>
                <w:rFonts w:cs="Arial"/>
                <w:color w:val="1F497D" w:themeColor="text2"/>
                <w:sz w:val="20"/>
              </w:rPr>
              <w:t>7</w:t>
            </w:r>
          </w:p>
        </w:tc>
        <w:tc>
          <w:tcPr>
            <w:tcW w:w="542" w:type="dxa"/>
            <w:tcBorders>
              <w:bottom w:val="single" w:sz="4" w:space="0" w:color="4F81BD" w:themeColor="accent1"/>
            </w:tcBorders>
            <w:shd w:val="clear" w:color="auto" w:fill="auto"/>
            <w:noWrap/>
            <w:vAlign w:val="center"/>
            <w:hideMark/>
          </w:tcPr>
          <w:p w:rsidR="00F44518" w:rsidRPr="00F44518" w:rsidRDefault="00F44518" w:rsidP="00F44518">
            <w:pPr>
              <w:jc w:val="center"/>
              <w:rPr>
                <w:rFonts w:cs="Arial"/>
                <w:color w:val="1F497D" w:themeColor="text2"/>
                <w:sz w:val="20"/>
              </w:rPr>
            </w:pPr>
            <w:r w:rsidRPr="00F44518">
              <w:rPr>
                <w:rFonts w:cs="Arial"/>
                <w:color w:val="1F497D" w:themeColor="text2"/>
                <w:sz w:val="20"/>
              </w:rPr>
              <w:t>11</w:t>
            </w:r>
          </w:p>
        </w:tc>
        <w:tc>
          <w:tcPr>
            <w:tcW w:w="588" w:type="dxa"/>
            <w:tcBorders>
              <w:bottom w:val="single" w:sz="4" w:space="0" w:color="4F81BD" w:themeColor="accent1"/>
            </w:tcBorders>
            <w:shd w:val="clear" w:color="auto" w:fill="auto"/>
            <w:noWrap/>
            <w:vAlign w:val="center"/>
            <w:hideMark/>
          </w:tcPr>
          <w:p w:rsidR="00F44518" w:rsidRPr="00F44518" w:rsidRDefault="00F44518" w:rsidP="00F44518">
            <w:pPr>
              <w:jc w:val="center"/>
              <w:rPr>
                <w:rFonts w:cs="Arial"/>
                <w:color w:val="1F497D" w:themeColor="text2"/>
                <w:sz w:val="20"/>
              </w:rPr>
            </w:pPr>
            <w:r w:rsidRPr="00F44518">
              <w:rPr>
                <w:rFonts w:cs="Arial"/>
                <w:color w:val="1F497D" w:themeColor="text2"/>
                <w:sz w:val="20"/>
              </w:rPr>
              <w:t>13</w:t>
            </w:r>
          </w:p>
        </w:tc>
        <w:tc>
          <w:tcPr>
            <w:tcW w:w="618" w:type="dxa"/>
            <w:tcBorders>
              <w:bottom w:val="single" w:sz="4" w:space="0" w:color="4F81BD" w:themeColor="accent1"/>
              <w:right w:val="single" w:sz="4" w:space="0" w:color="4F81BD" w:themeColor="accent1"/>
            </w:tcBorders>
            <w:shd w:val="clear" w:color="auto" w:fill="auto"/>
            <w:vAlign w:val="center"/>
          </w:tcPr>
          <w:p w:rsidR="00F44518" w:rsidRPr="00F44518" w:rsidRDefault="00F44518" w:rsidP="00F44518">
            <w:pPr>
              <w:jc w:val="center"/>
              <w:rPr>
                <w:rFonts w:cs="Arial"/>
                <w:color w:val="1F497D" w:themeColor="text2"/>
                <w:sz w:val="20"/>
              </w:rPr>
            </w:pPr>
            <w:r w:rsidRPr="00F44518">
              <w:rPr>
                <w:rFonts w:cs="Arial"/>
                <w:color w:val="1F497D" w:themeColor="text2"/>
                <w:sz w:val="20"/>
              </w:rPr>
              <w:t>10</w:t>
            </w:r>
          </w:p>
        </w:tc>
        <w:tc>
          <w:tcPr>
            <w:tcW w:w="823" w:type="dxa"/>
            <w:tcBorders>
              <w:left w:val="single" w:sz="4" w:space="0" w:color="4F81BD" w:themeColor="accent1"/>
              <w:bottom w:val="single" w:sz="4" w:space="0" w:color="4F81BD" w:themeColor="accent1"/>
            </w:tcBorders>
            <w:shd w:val="clear" w:color="auto" w:fill="auto"/>
            <w:noWrap/>
            <w:vAlign w:val="center"/>
            <w:hideMark/>
          </w:tcPr>
          <w:p w:rsidR="00F44518" w:rsidRPr="005A3FE5" w:rsidRDefault="00C4620A" w:rsidP="00C4620A">
            <w:pPr>
              <w:jc w:val="center"/>
              <w:rPr>
                <w:rFonts w:cs="Arial"/>
                <w:b/>
                <w:color w:val="1F497D" w:themeColor="text2"/>
                <w:sz w:val="20"/>
              </w:rPr>
            </w:pPr>
            <w:r>
              <w:rPr>
                <w:rFonts w:cs="Arial"/>
                <w:b/>
                <w:color w:val="1F497D" w:themeColor="text2"/>
                <w:sz w:val="20"/>
              </w:rPr>
              <w:t>8</w:t>
            </w:r>
            <w:r w:rsidR="00F44518" w:rsidRPr="005A3FE5">
              <w:rPr>
                <w:rFonts w:cs="Arial"/>
                <w:b/>
                <w:color w:val="1F497D" w:themeColor="text2"/>
                <w:sz w:val="20"/>
              </w:rPr>
              <w:t>.</w:t>
            </w:r>
            <w:r>
              <w:rPr>
                <w:rFonts w:cs="Arial"/>
                <w:b/>
                <w:color w:val="1F497D" w:themeColor="text2"/>
                <w:sz w:val="20"/>
              </w:rPr>
              <w:t>3</w:t>
            </w:r>
          </w:p>
        </w:tc>
        <w:tc>
          <w:tcPr>
            <w:tcW w:w="735" w:type="dxa"/>
            <w:tcBorders>
              <w:bottom w:val="single" w:sz="4" w:space="0" w:color="4F81BD" w:themeColor="accent1"/>
            </w:tcBorders>
            <w:shd w:val="clear" w:color="auto" w:fill="auto"/>
            <w:noWrap/>
            <w:vAlign w:val="center"/>
            <w:hideMark/>
          </w:tcPr>
          <w:p w:rsidR="00F44518" w:rsidRPr="005943BB" w:rsidRDefault="00C4620A" w:rsidP="00CB5F4D">
            <w:pPr>
              <w:keepNext/>
              <w:jc w:val="center"/>
              <w:rPr>
                <w:rFonts w:asciiTheme="minorHAnsi" w:hAnsiTheme="minorHAnsi" w:cs="Arial"/>
                <w:b/>
                <w:iCs/>
                <w:color w:val="1F497D" w:themeColor="text2"/>
                <w:sz w:val="20"/>
                <w:lang w:eastAsia="ko-KR"/>
              </w:rPr>
            </w:pPr>
            <w:r>
              <w:rPr>
                <w:rFonts w:asciiTheme="minorHAnsi" w:hAnsiTheme="minorHAnsi" w:cs="Arial"/>
                <w:b/>
                <w:iCs/>
                <w:color w:val="1F497D" w:themeColor="text2"/>
                <w:sz w:val="20"/>
                <w:lang w:eastAsia="ko-KR"/>
              </w:rPr>
              <w:t>3</w:t>
            </w:r>
            <w:r w:rsidR="00F44518" w:rsidRPr="005943BB">
              <w:rPr>
                <w:rFonts w:asciiTheme="minorHAnsi" w:hAnsiTheme="minorHAnsi" w:cs="Arial"/>
                <w:b/>
                <w:iCs/>
                <w:color w:val="1F497D" w:themeColor="text2"/>
                <w:sz w:val="20"/>
                <w:lang w:eastAsia="ko-KR"/>
              </w:rPr>
              <w:t>%</w:t>
            </w:r>
          </w:p>
        </w:tc>
      </w:tr>
      <w:tr w:rsidR="005A3FE5" w:rsidRPr="005943BB" w:rsidTr="00EA7D42">
        <w:trPr>
          <w:trHeight w:val="324"/>
          <w:jc w:val="center"/>
        </w:trPr>
        <w:tc>
          <w:tcPr>
            <w:tcW w:w="2281" w:type="dxa"/>
            <w:gridSpan w:val="2"/>
            <w:tcBorders>
              <w:top w:val="single" w:sz="4" w:space="0" w:color="4F81BD" w:themeColor="accent1"/>
              <w:bottom w:val="single" w:sz="4" w:space="0" w:color="4F81BD" w:themeColor="accent1"/>
              <w:right w:val="single" w:sz="4" w:space="0" w:color="4F81BD" w:themeColor="accent1"/>
            </w:tcBorders>
            <w:shd w:val="clear" w:color="auto" w:fill="auto"/>
            <w:noWrap/>
            <w:vAlign w:val="center"/>
            <w:hideMark/>
          </w:tcPr>
          <w:p w:rsidR="005A3FE5" w:rsidRPr="005943BB" w:rsidRDefault="005A3FE5" w:rsidP="00E74B72">
            <w:pPr>
              <w:rPr>
                <w:rFonts w:asciiTheme="minorHAnsi" w:hAnsiTheme="minorHAnsi" w:cs="Arial"/>
                <w:b/>
                <w:iCs/>
                <w:color w:val="1F497D" w:themeColor="text2"/>
                <w:sz w:val="20"/>
                <w:lang w:eastAsia="ko-KR"/>
              </w:rPr>
            </w:pPr>
            <w:r w:rsidRPr="005943BB">
              <w:rPr>
                <w:rFonts w:asciiTheme="minorHAnsi" w:hAnsiTheme="minorHAnsi" w:cs="Arial"/>
                <w:b/>
                <w:iCs/>
                <w:color w:val="1F497D" w:themeColor="text2"/>
                <w:sz w:val="20"/>
                <w:lang w:eastAsia="ko-KR"/>
              </w:rPr>
              <w:t xml:space="preserve">Total </w:t>
            </w:r>
            <w:r w:rsidR="00E74B72">
              <w:rPr>
                <w:rFonts w:asciiTheme="minorHAnsi" w:hAnsiTheme="minorHAnsi" w:cs="Arial"/>
                <w:b/>
                <w:iCs/>
                <w:color w:val="1F497D" w:themeColor="text2"/>
                <w:sz w:val="20"/>
                <w:lang w:eastAsia="ko-KR"/>
              </w:rPr>
              <w:t>IIC</w:t>
            </w:r>
            <w:r w:rsidRPr="005943BB">
              <w:rPr>
                <w:rFonts w:asciiTheme="minorHAnsi" w:hAnsiTheme="minorHAnsi" w:cs="Arial"/>
                <w:b/>
                <w:iCs/>
                <w:color w:val="1F497D" w:themeColor="text2"/>
                <w:sz w:val="20"/>
                <w:lang w:eastAsia="ko-KR"/>
              </w:rPr>
              <w:t>s involved in UI</w:t>
            </w:r>
          </w:p>
        </w:tc>
        <w:tc>
          <w:tcPr>
            <w:tcW w:w="543" w:type="dxa"/>
            <w:tcBorders>
              <w:top w:val="single" w:sz="4" w:space="0" w:color="4F81BD" w:themeColor="accent1"/>
              <w:left w:val="single" w:sz="4" w:space="0" w:color="4F81BD" w:themeColor="accent1"/>
              <w:bottom w:val="single" w:sz="4" w:space="0" w:color="4F81BD" w:themeColor="accent1"/>
            </w:tcBorders>
            <w:shd w:val="clear" w:color="auto" w:fill="auto"/>
            <w:noWrap/>
            <w:vAlign w:val="center"/>
            <w:hideMark/>
          </w:tcPr>
          <w:p w:rsidR="005A3FE5" w:rsidRPr="00F61D72" w:rsidRDefault="005A3FE5">
            <w:pPr>
              <w:jc w:val="center"/>
              <w:rPr>
                <w:rFonts w:cs="Arial"/>
                <w:b/>
                <w:color w:val="1F497D" w:themeColor="text2"/>
                <w:sz w:val="20"/>
              </w:rPr>
            </w:pPr>
            <w:r w:rsidRPr="00F61D72">
              <w:rPr>
                <w:rFonts w:cs="Arial"/>
                <w:b/>
                <w:color w:val="1F497D" w:themeColor="text2"/>
                <w:sz w:val="20"/>
              </w:rPr>
              <w:t>112</w:t>
            </w:r>
          </w:p>
        </w:tc>
        <w:tc>
          <w:tcPr>
            <w:tcW w:w="588" w:type="dxa"/>
            <w:tcBorders>
              <w:top w:val="single" w:sz="4" w:space="0" w:color="4F81BD" w:themeColor="accent1"/>
              <w:bottom w:val="single" w:sz="4" w:space="0" w:color="4F81BD" w:themeColor="accent1"/>
            </w:tcBorders>
            <w:shd w:val="clear" w:color="auto" w:fill="auto"/>
            <w:noWrap/>
            <w:vAlign w:val="center"/>
            <w:hideMark/>
          </w:tcPr>
          <w:p w:rsidR="005A3FE5" w:rsidRPr="00F61D72" w:rsidRDefault="005A3FE5">
            <w:pPr>
              <w:jc w:val="center"/>
              <w:rPr>
                <w:rFonts w:cs="Arial"/>
                <w:b/>
                <w:color w:val="1F497D" w:themeColor="text2"/>
                <w:sz w:val="20"/>
              </w:rPr>
            </w:pPr>
            <w:r w:rsidRPr="00F61D72">
              <w:rPr>
                <w:rFonts w:cs="Arial"/>
                <w:b/>
                <w:color w:val="1F497D" w:themeColor="text2"/>
                <w:sz w:val="20"/>
              </w:rPr>
              <w:t>101</w:t>
            </w:r>
          </w:p>
        </w:tc>
        <w:tc>
          <w:tcPr>
            <w:tcW w:w="588" w:type="dxa"/>
            <w:tcBorders>
              <w:top w:val="single" w:sz="4" w:space="0" w:color="4F81BD" w:themeColor="accent1"/>
              <w:bottom w:val="single" w:sz="4" w:space="0" w:color="4F81BD" w:themeColor="accent1"/>
            </w:tcBorders>
            <w:shd w:val="clear" w:color="auto" w:fill="auto"/>
            <w:noWrap/>
            <w:vAlign w:val="center"/>
            <w:hideMark/>
          </w:tcPr>
          <w:p w:rsidR="005A3FE5" w:rsidRPr="00F61D72" w:rsidRDefault="005A3FE5">
            <w:pPr>
              <w:jc w:val="center"/>
              <w:rPr>
                <w:rFonts w:cs="Arial"/>
                <w:b/>
                <w:color w:val="1F497D" w:themeColor="text2"/>
                <w:sz w:val="20"/>
              </w:rPr>
            </w:pPr>
            <w:r w:rsidRPr="00F61D72">
              <w:rPr>
                <w:rFonts w:cs="Arial"/>
                <w:b/>
                <w:color w:val="1F497D" w:themeColor="text2"/>
                <w:sz w:val="20"/>
              </w:rPr>
              <w:t>104</w:t>
            </w:r>
          </w:p>
        </w:tc>
        <w:tc>
          <w:tcPr>
            <w:tcW w:w="542" w:type="dxa"/>
            <w:tcBorders>
              <w:top w:val="single" w:sz="4" w:space="0" w:color="4F81BD" w:themeColor="accent1"/>
              <w:bottom w:val="single" w:sz="4" w:space="0" w:color="4F81BD" w:themeColor="accent1"/>
            </w:tcBorders>
            <w:shd w:val="clear" w:color="auto" w:fill="auto"/>
            <w:noWrap/>
            <w:vAlign w:val="center"/>
            <w:hideMark/>
          </w:tcPr>
          <w:p w:rsidR="005A3FE5" w:rsidRPr="00F61D72" w:rsidRDefault="005A3FE5">
            <w:pPr>
              <w:jc w:val="center"/>
              <w:rPr>
                <w:rFonts w:cs="Arial"/>
                <w:b/>
                <w:color w:val="1F497D" w:themeColor="text2"/>
                <w:sz w:val="20"/>
              </w:rPr>
            </w:pPr>
            <w:r w:rsidRPr="00F61D72">
              <w:rPr>
                <w:rFonts w:cs="Arial"/>
                <w:b/>
                <w:color w:val="1F497D" w:themeColor="text2"/>
                <w:sz w:val="20"/>
              </w:rPr>
              <w:t>117</w:t>
            </w:r>
          </w:p>
        </w:tc>
        <w:tc>
          <w:tcPr>
            <w:tcW w:w="542" w:type="dxa"/>
            <w:tcBorders>
              <w:top w:val="single" w:sz="4" w:space="0" w:color="4F81BD" w:themeColor="accent1"/>
              <w:bottom w:val="single" w:sz="4" w:space="0" w:color="4F81BD" w:themeColor="accent1"/>
            </w:tcBorders>
            <w:shd w:val="clear" w:color="auto" w:fill="auto"/>
            <w:noWrap/>
            <w:vAlign w:val="center"/>
            <w:hideMark/>
          </w:tcPr>
          <w:p w:rsidR="005A3FE5" w:rsidRPr="00F61D72" w:rsidRDefault="005A3FE5">
            <w:pPr>
              <w:jc w:val="center"/>
              <w:rPr>
                <w:rFonts w:cs="Arial"/>
                <w:b/>
                <w:color w:val="1F497D" w:themeColor="text2"/>
                <w:sz w:val="20"/>
              </w:rPr>
            </w:pPr>
            <w:r w:rsidRPr="00F61D72">
              <w:rPr>
                <w:rFonts w:cs="Arial"/>
                <w:b/>
                <w:color w:val="1F497D" w:themeColor="text2"/>
                <w:sz w:val="20"/>
              </w:rPr>
              <w:t>108</w:t>
            </w:r>
          </w:p>
        </w:tc>
        <w:tc>
          <w:tcPr>
            <w:tcW w:w="588" w:type="dxa"/>
            <w:tcBorders>
              <w:top w:val="single" w:sz="4" w:space="0" w:color="4F81BD" w:themeColor="accent1"/>
              <w:bottom w:val="single" w:sz="4" w:space="0" w:color="4F81BD" w:themeColor="accent1"/>
            </w:tcBorders>
            <w:shd w:val="clear" w:color="auto" w:fill="auto"/>
            <w:noWrap/>
            <w:vAlign w:val="center"/>
            <w:hideMark/>
          </w:tcPr>
          <w:p w:rsidR="005A3FE5" w:rsidRPr="00F61D72" w:rsidRDefault="005A3FE5">
            <w:pPr>
              <w:jc w:val="center"/>
              <w:rPr>
                <w:rFonts w:cs="Arial"/>
                <w:b/>
                <w:color w:val="1F497D" w:themeColor="text2"/>
                <w:sz w:val="20"/>
              </w:rPr>
            </w:pPr>
            <w:r w:rsidRPr="00F61D72">
              <w:rPr>
                <w:rFonts w:cs="Arial"/>
                <w:b/>
                <w:color w:val="1F497D" w:themeColor="text2"/>
                <w:sz w:val="20"/>
              </w:rPr>
              <w:t>103</w:t>
            </w:r>
          </w:p>
        </w:tc>
        <w:tc>
          <w:tcPr>
            <w:tcW w:w="542" w:type="dxa"/>
            <w:tcBorders>
              <w:top w:val="single" w:sz="4" w:space="0" w:color="4F81BD" w:themeColor="accent1"/>
              <w:bottom w:val="single" w:sz="4" w:space="0" w:color="4F81BD" w:themeColor="accent1"/>
            </w:tcBorders>
            <w:shd w:val="clear" w:color="auto" w:fill="auto"/>
            <w:noWrap/>
            <w:vAlign w:val="center"/>
            <w:hideMark/>
          </w:tcPr>
          <w:p w:rsidR="005A3FE5" w:rsidRPr="00F61D72" w:rsidRDefault="005A3FE5">
            <w:pPr>
              <w:jc w:val="center"/>
              <w:rPr>
                <w:rFonts w:cs="Arial"/>
                <w:b/>
                <w:color w:val="1F497D" w:themeColor="text2"/>
                <w:sz w:val="20"/>
              </w:rPr>
            </w:pPr>
            <w:r w:rsidRPr="00F61D72">
              <w:rPr>
                <w:rFonts w:cs="Arial"/>
                <w:b/>
                <w:color w:val="1F497D" w:themeColor="text2"/>
                <w:sz w:val="20"/>
              </w:rPr>
              <w:t>131</w:t>
            </w:r>
          </w:p>
        </w:tc>
        <w:tc>
          <w:tcPr>
            <w:tcW w:w="634" w:type="dxa"/>
            <w:tcBorders>
              <w:top w:val="single" w:sz="4" w:space="0" w:color="4F81BD" w:themeColor="accent1"/>
              <w:bottom w:val="single" w:sz="4" w:space="0" w:color="4F81BD" w:themeColor="accent1"/>
            </w:tcBorders>
            <w:shd w:val="clear" w:color="auto" w:fill="auto"/>
            <w:noWrap/>
            <w:vAlign w:val="center"/>
            <w:hideMark/>
          </w:tcPr>
          <w:p w:rsidR="005A3FE5" w:rsidRPr="00F61D72" w:rsidRDefault="005A3FE5">
            <w:pPr>
              <w:jc w:val="center"/>
              <w:rPr>
                <w:rFonts w:cs="Arial"/>
                <w:b/>
                <w:color w:val="1F497D" w:themeColor="text2"/>
                <w:sz w:val="20"/>
              </w:rPr>
            </w:pPr>
            <w:r w:rsidRPr="00F61D72">
              <w:rPr>
                <w:rFonts w:cs="Arial"/>
                <w:b/>
                <w:color w:val="1F497D" w:themeColor="text2"/>
                <w:sz w:val="20"/>
              </w:rPr>
              <w:t>106</w:t>
            </w:r>
          </w:p>
        </w:tc>
        <w:tc>
          <w:tcPr>
            <w:tcW w:w="542" w:type="dxa"/>
            <w:tcBorders>
              <w:top w:val="single" w:sz="4" w:space="0" w:color="4F81BD" w:themeColor="accent1"/>
              <w:bottom w:val="single" w:sz="4" w:space="0" w:color="4F81BD" w:themeColor="accent1"/>
            </w:tcBorders>
            <w:shd w:val="clear" w:color="auto" w:fill="auto"/>
            <w:noWrap/>
            <w:vAlign w:val="center"/>
            <w:hideMark/>
          </w:tcPr>
          <w:p w:rsidR="005A3FE5" w:rsidRPr="00F61D72" w:rsidRDefault="005A3FE5">
            <w:pPr>
              <w:jc w:val="center"/>
              <w:rPr>
                <w:rFonts w:cs="Arial"/>
                <w:b/>
                <w:color w:val="1F497D" w:themeColor="text2"/>
                <w:sz w:val="20"/>
              </w:rPr>
            </w:pPr>
            <w:r w:rsidRPr="00F61D72">
              <w:rPr>
                <w:rFonts w:cs="Arial"/>
                <w:b/>
                <w:color w:val="1F497D" w:themeColor="text2"/>
                <w:sz w:val="20"/>
              </w:rPr>
              <w:t>97</w:t>
            </w:r>
          </w:p>
        </w:tc>
        <w:tc>
          <w:tcPr>
            <w:tcW w:w="542" w:type="dxa"/>
            <w:tcBorders>
              <w:top w:val="single" w:sz="4" w:space="0" w:color="4F81BD" w:themeColor="accent1"/>
              <w:bottom w:val="single" w:sz="4" w:space="0" w:color="4F81BD" w:themeColor="accent1"/>
            </w:tcBorders>
            <w:shd w:val="clear" w:color="auto" w:fill="auto"/>
            <w:noWrap/>
            <w:vAlign w:val="center"/>
            <w:hideMark/>
          </w:tcPr>
          <w:p w:rsidR="005A3FE5" w:rsidRPr="00F61D72" w:rsidRDefault="005A3FE5">
            <w:pPr>
              <w:jc w:val="center"/>
              <w:rPr>
                <w:rFonts w:cs="Arial"/>
                <w:b/>
                <w:color w:val="1F497D" w:themeColor="text2"/>
                <w:sz w:val="20"/>
              </w:rPr>
            </w:pPr>
            <w:r w:rsidRPr="00F61D72">
              <w:rPr>
                <w:rFonts w:cs="Arial"/>
                <w:b/>
                <w:color w:val="1F497D" w:themeColor="text2"/>
                <w:sz w:val="20"/>
              </w:rPr>
              <w:t>107</w:t>
            </w:r>
          </w:p>
        </w:tc>
        <w:tc>
          <w:tcPr>
            <w:tcW w:w="588" w:type="dxa"/>
            <w:tcBorders>
              <w:top w:val="single" w:sz="4" w:space="0" w:color="4F81BD" w:themeColor="accent1"/>
              <w:bottom w:val="single" w:sz="4" w:space="0" w:color="4F81BD" w:themeColor="accent1"/>
            </w:tcBorders>
            <w:shd w:val="clear" w:color="auto" w:fill="auto"/>
            <w:noWrap/>
            <w:vAlign w:val="center"/>
            <w:hideMark/>
          </w:tcPr>
          <w:p w:rsidR="005A3FE5" w:rsidRPr="00F61D72" w:rsidRDefault="005A3FE5">
            <w:pPr>
              <w:jc w:val="center"/>
              <w:rPr>
                <w:rFonts w:cs="Arial"/>
                <w:b/>
                <w:color w:val="1F497D" w:themeColor="text2"/>
                <w:sz w:val="20"/>
              </w:rPr>
            </w:pPr>
            <w:r w:rsidRPr="00F61D72">
              <w:rPr>
                <w:rFonts w:cs="Arial"/>
                <w:b/>
                <w:color w:val="1F497D" w:themeColor="text2"/>
                <w:sz w:val="20"/>
              </w:rPr>
              <w:t>115</w:t>
            </w:r>
          </w:p>
        </w:tc>
        <w:tc>
          <w:tcPr>
            <w:tcW w:w="618" w:type="dxa"/>
            <w:tcBorders>
              <w:top w:val="single" w:sz="4" w:space="0" w:color="4F81BD" w:themeColor="accent1"/>
              <w:bottom w:val="single" w:sz="4" w:space="0" w:color="4F81BD" w:themeColor="accent1"/>
              <w:right w:val="single" w:sz="4" w:space="0" w:color="4F81BD" w:themeColor="accent1"/>
            </w:tcBorders>
            <w:vAlign w:val="center"/>
          </w:tcPr>
          <w:p w:rsidR="005A3FE5" w:rsidRPr="00F61D72" w:rsidRDefault="005A3FE5">
            <w:pPr>
              <w:jc w:val="center"/>
              <w:rPr>
                <w:rFonts w:cs="Arial"/>
                <w:b/>
                <w:color w:val="1F497D" w:themeColor="text2"/>
                <w:sz w:val="20"/>
              </w:rPr>
            </w:pPr>
            <w:r w:rsidRPr="00F61D72">
              <w:rPr>
                <w:rFonts w:cs="Arial"/>
                <w:b/>
                <w:color w:val="1F497D" w:themeColor="text2"/>
                <w:sz w:val="20"/>
              </w:rPr>
              <w:t>106</w:t>
            </w:r>
          </w:p>
        </w:tc>
        <w:tc>
          <w:tcPr>
            <w:tcW w:w="823" w:type="dxa"/>
            <w:tcBorders>
              <w:top w:val="single" w:sz="4" w:space="0" w:color="4F81BD" w:themeColor="accent1"/>
              <w:left w:val="single" w:sz="4" w:space="0" w:color="4F81BD" w:themeColor="accent1"/>
              <w:bottom w:val="single" w:sz="4" w:space="0" w:color="4F81BD" w:themeColor="accent1"/>
            </w:tcBorders>
            <w:shd w:val="clear" w:color="auto" w:fill="auto"/>
            <w:noWrap/>
            <w:vAlign w:val="center"/>
            <w:hideMark/>
          </w:tcPr>
          <w:p w:rsidR="005A3FE5" w:rsidRPr="005A3FE5" w:rsidRDefault="005A3FE5" w:rsidP="00CB5F4D">
            <w:pPr>
              <w:keepNext/>
              <w:jc w:val="center"/>
              <w:rPr>
                <w:rFonts w:asciiTheme="minorHAnsi" w:hAnsiTheme="minorHAnsi" w:cs="Arial"/>
                <w:b/>
                <w:iCs/>
                <w:color w:val="1F497D" w:themeColor="text2"/>
                <w:sz w:val="20"/>
                <w:lang w:eastAsia="ko-KR"/>
              </w:rPr>
            </w:pPr>
            <w:r w:rsidRPr="005A3FE5">
              <w:rPr>
                <w:rFonts w:asciiTheme="minorHAnsi" w:hAnsiTheme="minorHAnsi" w:cs="Arial"/>
                <w:b/>
                <w:iCs/>
                <w:color w:val="1F497D" w:themeColor="text2"/>
                <w:sz w:val="20"/>
                <w:lang w:eastAsia="ko-KR"/>
              </w:rPr>
              <w:t>109</w:t>
            </w:r>
          </w:p>
        </w:tc>
        <w:tc>
          <w:tcPr>
            <w:tcW w:w="735" w:type="dxa"/>
            <w:tcBorders>
              <w:top w:val="single" w:sz="4" w:space="0" w:color="4F81BD" w:themeColor="accent1"/>
              <w:bottom w:val="single" w:sz="4" w:space="0" w:color="4F81BD" w:themeColor="accent1"/>
            </w:tcBorders>
            <w:shd w:val="clear" w:color="auto" w:fill="auto"/>
            <w:noWrap/>
            <w:vAlign w:val="center"/>
            <w:hideMark/>
          </w:tcPr>
          <w:p w:rsidR="005A3FE5" w:rsidRPr="005A3FE5" w:rsidRDefault="005A3FE5" w:rsidP="005A3FE5">
            <w:pPr>
              <w:jc w:val="center"/>
              <w:rPr>
                <w:rFonts w:asciiTheme="minorHAnsi" w:hAnsiTheme="minorHAnsi" w:cs="Arial"/>
                <w:b/>
                <w:iCs/>
                <w:color w:val="1F497D" w:themeColor="text2"/>
                <w:sz w:val="20"/>
                <w:lang w:eastAsia="ko-KR"/>
              </w:rPr>
            </w:pPr>
            <w:r w:rsidRPr="005A3FE5">
              <w:rPr>
                <w:rFonts w:asciiTheme="minorHAnsi" w:hAnsiTheme="minorHAnsi" w:cs="Arial"/>
                <w:b/>
                <w:iCs/>
                <w:color w:val="1F497D" w:themeColor="text2"/>
                <w:sz w:val="20"/>
                <w:lang w:eastAsia="ko-KR"/>
              </w:rPr>
              <w:t>36%</w:t>
            </w:r>
          </w:p>
        </w:tc>
      </w:tr>
      <w:tr w:rsidR="0052769F" w:rsidRPr="005943BB" w:rsidTr="00EA7D42">
        <w:trPr>
          <w:trHeight w:val="324"/>
          <w:jc w:val="center"/>
        </w:trPr>
        <w:tc>
          <w:tcPr>
            <w:tcW w:w="2281" w:type="dxa"/>
            <w:gridSpan w:val="2"/>
            <w:tcBorders>
              <w:top w:val="single" w:sz="4" w:space="0" w:color="4F81BD" w:themeColor="accent1"/>
              <w:right w:val="single" w:sz="4" w:space="0" w:color="4F81BD" w:themeColor="accent1"/>
            </w:tcBorders>
            <w:shd w:val="clear" w:color="auto" w:fill="auto"/>
            <w:noWrap/>
            <w:vAlign w:val="center"/>
            <w:hideMark/>
          </w:tcPr>
          <w:p w:rsidR="0052769F" w:rsidRPr="005943BB" w:rsidRDefault="0052769F" w:rsidP="00CB5F4D">
            <w:pPr>
              <w:rPr>
                <w:rFonts w:asciiTheme="minorHAnsi" w:hAnsiTheme="minorHAnsi" w:cs="Arial"/>
                <w:b/>
                <w:iCs/>
                <w:color w:val="1F497D" w:themeColor="text2"/>
                <w:sz w:val="20"/>
                <w:lang w:eastAsia="ko-KR"/>
              </w:rPr>
            </w:pPr>
            <w:r w:rsidRPr="005943BB">
              <w:rPr>
                <w:rFonts w:asciiTheme="minorHAnsi" w:hAnsiTheme="minorHAnsi" w:cs="Arial"/>
                <w:b/>
                <w:iCs/>
                <w:color w:val="1F497D" w:themeColor="text2"/>
                <w:sz w:val="20"/>
                <w:lang w:eastAsia="ko-KR"/>
              </w:rPr>
              <w:t>Total served during month</w:t>
            </w:r>
          </w:p>
        </w:tc>
        <w:tc>
          <w:tcPr>
            <w:tcW w:w="543" w:type="dxa"/>
            <w:tcBorders>
              <w:top w:val="single" w:sz="4" w:space="0" w:color="4F81BD" w:themeColor="accent1"/>
              <w:left w:val="single" w:sz="4" w:space="0" w:color="4F81BD" w:themeColor="accent1"/>
              <w:bottom w:val="single" w:sz="4" w:space="0" w:color="4F81BD" w:themeColor="accent1"/>
            </w:tcBorders>
            <w:shd w:val="clear" w:color="auto" w:fill="auto"/>
            <w:noWrap/>
            <w:vAlign w:val="center"/>
            <w:hideMark/>
          </w:tcPr>
          <w:p w:rsidR="0052769F" w:rsidRPr="00F61D72" w:rsidRDefault="0052769F" w:rsidP="00CB5F4D">
            <w:pPr>
              <w:jc w:val="center"/>
              <w:rPr>
                <w:rFonts w:cs="Arial"/>
                <w:b/>
                <w:color w:val="1F497D" w:themeColor="text2"/>
                <w:sz w:val="20"/>
              </w:rPr>
            </w:pPr>
            <w:r w:rsidRPr="00F61D72">
              <w:rPr>
                <w:rFonts w:cs="Arial"/>
                <w:b/>
                <w:color w:val="1F497D" w:themeColor="text2"/>
                <w:sz w:val="20"/>
              </w:rPr>
              <w:t>299</w:t>
            </w:r>
          </w:p>
        </w:tc>
        <w:tc>
          <w:tcPr>
            <w:tcW w:w="588" w:type="dxa"/>
            <w:tcBorders>
              <w:top w:val="single" w:sz="4" w:space="0" w:color="4F81BD" w:themeColor="accent1"/>
              <w:bottom w:val="single" w:sz="4" w:space="0" w:color="4F81BD" w:themeColor="accent1"/>
            </w:tcBorders>
            <w:shd w:val="clear" w:color="auto" w:fill="auto"/>
            <w:noWrap/>
            <w:vAlign w:val="center"/>
            <w:hideMark/>
          </w:tcPr>
          <w:p w:rsidR="0052769F" w:rsidRPr="00F61D72" w:rsidRDefault="0052769F" w:rsidP="00CB5F4D">
            <w:pPr>
              <w:jc w:val="center"/>
              <w:rPr>
                <w:rFonts w:cs="Arial"/>
                <w:b/>
                <w:color w:val="1F497D" w:themeColor="text2"/>
                <w:sz w:val="20"/>
              </w:rPr>
            </w:pPr>
            <w:r w:rsidRPr="00F61D72">
              <w:rPr>
                <w:rFonts w:cs="Arial"/>
                <w:b/>
                <w:color w:val="1F497D" w:themeColor="text2"/>
                <w:sz w:val="20"/>
              </w:rPr>
              <w:t>291</w:t>
            </w:r>
          </w:p>
        </w:tc>
        <w:tc>
          <w:tcPr>
            <w:tcW w:w="588" w:type="dxa"/>
            <w:tcBorders>
              <w:top w:val="single" w:sz="4" w:space="0" w:color="4F81BD" w:themeColor="accent1"/>
              <w:bottom w:val="single" w:sz="4" w:space="0" w:color="4F81BD" w:themeColor="accent1"/>
            </w:tcBorders>
            <w:shd w:val="clear" w:color="auto" w:fill="auto"/>
            <w:noWrap/>
            <w:vAlign w:val="center"/>
            <w:hideMark/>
          </w:tcPr>
          <w:p w:rsidR="0052769F" w:rsidRPr="00F61D72" w:rsidRDefault="0052769F" w:rsidP="00CB5F4D">
            <w:pPr>
              <w:jc w:val="center"/>
              <w:rPr>
                <w:rFonts w:cs="Arial"/>
                <w:b/>
                <w:color w:val="1F497D" w:themeColor="text2"/>
                <w:sz w:val="20"/>
              </w:rPr>
            </w:pPr>
            <w:r w:rsidRPr="00F61D72">
              <w:rPr>
                <w:rFonts w:cs="Arial"/>
                <w:b/>
                <w:color w:val="1F497D" w:themeColor="text2"/>
                <w:sz w:val="20"/>
              </w:rPr>
              <w:t>287</w:t>
            </w:r>
          </w:p>
        </w:tc>
        <w:tc>
          <w:tcPr>
            <w:tcW w:w="542" w:type="dxa"/>
            <w:tcBorders>
              <w:top w:val="single" w:sz="4" w:space="0" w:color="4F81BD" w:themeColor="accent1"/>
              <w:bottom w:val="single" w:sz="4" w:space="0" w:color="4F81BD" w:themeColor="accent1"/>
            </w:tcBorders>
            <w:shd w:val="clear" w:color="auto" w:fill="auto"/>
            <w:noWrap/>
            <w:vAlign w:val="center"/>
            <w:hideMark/>
          </w:tcPr>
          <w:p w:rsidR="0052769F" w:rsidRPr="00F61D72" w:rsidRDefault="0052769F" w:rsidP="00CB5F4D">
            <w:pPr>
              <w:jc w:val="center"/>
              <w:rPr>
                <w:rFonts w:cs="Arial"/>
                <w:b/>
                <w:color w:val="1F497D" w:themeColor="text2"/>
                <w:sz w:val="20"/>
              </w:rPr>
            </w:pPr>
            <w:r w:rsidRPr="00F61D72">
              <w:rPr>
                <w:rFonts w:cs="Arial"/>
                <w:b/>
                <w:color w:val="1F497D" w:themeColor="text2"/>
                <w:sz w:val="20"/>
              </w:rPr>
              <w:t>306</w:t>
            </w:r>
          </w:p>
        </w:tc>
        <w:tc>
          <w:tcPr>
            <w:tcW w:w="542" w:type="dxa"/>
            <w:tcBorders>
              <w:top w:val="single" w:sz="4" w:space="0" w:color="4F81BD" w:themeColor="accent1"/>
              <w:bottom w:val="single" w:sz="4" w:space="0" w:color="4F81BD" w:themeColor="accent1"/>
            </w:tcBorders>
            <w:shd w:val="clear" w:color="auto" w:fill="auto"/>
            <w:noWrap/>
            <w:vAlign w:val="center"/>
            <w:hideMark/>
          </w:tcPr>
          <w:p w:rsidR="0052769F" w:rsidRPr="00F61D72" w:rsidRDefault="0052769F" w:rsidP="00CB5F4D">
            <w:pPr>
              <w:jc w:val="center"/>
              <w:rPr>
                <w:rFonts w:cs="Arial"/>
                <w:b/>
                <w:color w:val="1F497D" w:themeColor="text2"/>
                <w:sz w:val="20"/>
              </w:rPr>
            </w:pPr>
            <w:r w:rsidRPr="00F61D72">
              <w:rPr>
                <w:rFonts w:cs="Arial"/>
                <w:b/>
                <w:color w:val="1F497D" w:themeColor="text2"/>
                <w:sz w:val="20"/>
              </w:rPr>
              <w:t>300</w:t>
            </w:r>
          </w:p>
        </w:tc>
        <w:tc>
          <w:tcPr>
            <w:tcW w:w="588" w:type="dxa"/>
            <w:tcBorders>
              <w:top w:val="single" w:sz="4" w:space="0" w:color="4F81BD" w:themeColor="accent1"/>
              <w:bottom w:val="single" w:sz="4" w:space="0" w:color="4F81BD" w:themeColor="accent1"/>
            </w:tcBorders>
            <w:shd w:val="clear" w:color="auto" w:fill="auto"/>
            <w:noWrap/>
            <w:vAlign w:val="center"/>
            <w:hideMark/>
          </w:tcPr>
          <w:p w:rsidR="0052769F" w:rsidRPr="00F61D72" w:rsidRDefault="0052769F" w:rsidP="00CB5F4D">
            <w:pPr>
              <w:jc w:val="center"/>
              <w:rPr>
                <w:rFonts w:cs="Arial"/>
                <w:b/>
                <w:color w:val="1F497D" w:themeColor="text2"/>
                <w:sz w:val="20"/>
              </w:rPr>
            </w:pPr>
            <w:r w:rsidRPr="00F61D72">
              <w:rPr>
                <w:rFonts w:cs="Arial"/>
                <w:b/>
                <w:color w:val="1F497D" w:themeColor="text2"/>
                <w:sz w:val="20"/>
              </w:rPr>
              <w:t>299</w:t>
            </w:r>
          </w:p>
        </w:tc>
        <w:tc>
          <w:tcPr>
            <w:tcW w:w="542" w:type="dxa"/>
            <w:tcBorders>
              <w:top w:val="single" w:sz="4" w:space="0" w:color="4F81BD" w:themeColor="accent1"/>
              <w:bottom w:val="single" w:sz="4" w:space="0" w:color="4F81BD" w:themeColor="accent1"/>
            </w:tcBorders>
            <w:shd w:val="clear" w:color="auto" w:fill="auto"/>
            <w:noWrap/>
            <w:vAlign w:val="center"/>
            <w:hideMark/>
          </w:tcPr>
          <w:p w:rsidR="0052769F" w:rsidRPr="00F61D72" w:rsidRDefault="0052769F" w:rsidP="00CB5F4D">
            <w:pPr>
              <w:jc w:val="center"/>
              <w:rPr>
                <w:rFonts w:cs="Arial"/>
                <w:b/>
                <w:color w:val="1F497D" w:themeColor="text2"/>
                <w:sz w:val="20"/>
              </w:rPr>
            </w:pPr>
            <w:r w:rsidRPr="00F61D72">
              <w:rPr>
                <w:rFonts w:cs="Arial"/>
                <w:b/>
                <w:color w:val="1F497D" w:themeColor="text2"/>
                <w:sz w:val="20"/>
              </w:rPr>
              <w:t>315</w:t>
            </w:r>
          </w:p>
        </w:tc>
        <w:tc>
          <w:tcPr>
            <w:tcW w:w="634" w:type="dxa"/>
            <w:tcBorders>
              <w:top w:val="single" w:sz="4" w:space="0" w:color="4F81BD" w:themeColor="accent1"/>
              <w:bottom w:val="single" w:sz="4" w:space="0" w:color="4F81BD" w:themeColor="accent1"/>
            </w:tcBorders>
            <w:shd w:val="clear" w:color="auto" w:fill="auto"/>
            <w:noWrap/>
            <w:vAlign w:val="center"/>
            <w:hideMark/>
          </w:tcPr>
          <w:p w:rsidR="0052769F" w:rsidRPr="00F61D72" w:rsidRDefault="0052769F" w:rsidP="00CB5F4D">
            <w:pPr>
              <w:jc w:val="center"/>
              <w:rPr>
                <w:rFonts w:cs="Arial"/>
                <w:b/>
                <w:color w:val="1F497D" w:themeColor="text2"/>
                <w:sz w:val="20"/>
              </w:rPr>
            </w:pPr>
            <w:r w:rsidRPr="00F61D72">
              <w:rPr>
                <w:rFonts w:cs="Arial"/>
                <w:b/>
                <w:color w:val="1F497D" w:themeColor="text2"/>
                <w:sz w:val="20"/>
              </w:rPr>
              <w:t>306</w:t>
            </w:r>
          </w:p>
        </w:tc>
        <w:tc>
          <w:tcPr>
            <w:tcW w:w="542" w:type="dxa"/>
            <w:tcBorders>
              <w:top w:val="single" w:sz="4" w:space="0" w:color="4F81BD" w:themeColor="accent1"/>
              <w:bottom w:val="single" w:sz="4" w:space="0" w:color="4F81BD" w:themeColor="accent1"/>
            </w:tcBorders>
            <w:shd w:val="clear" w:color="auto" w:fill="auto"/>
            <w:noWrap/>
            <w:vAlign w:val="center"/>
            <w:hideMark/>
          </w:tcPr>
          <w:p w:rsidR="0052769F" w:rsidRPr="00F61D72" w:rsidRDefault="0052769F" w:rsidP="00CB5F4D">
            <w:pPr>
              <w:jc w:val="center"/>
              <w:rPr>
                <w:rFonts w:cs="Arial"/>
                <w:b/>
                <w:color w:val="1F497D" w:themeColor="text2"/>
                <w:sz w:val="20"/>
              </w:rPr>
            </w:pPr>
            <w:r w:rsidRPr="00F61D72">
              <w:rPr>
                <w:rFonts w:cs="Arial"/>
                <w:b/>
                <w:color w:val="1F497D" w:themeColor="text2"/>
                <w:sz w:val="20"/>
              </w:rPr>
              <w:t>300</w:t>
            </w:r>
          </w:p>
        </w:tc>
        <w:tc>
          <w:tcPr>
            <w:tcW w:w="542" w:type="dxa"/>
            <w:tcBorders>
              <w:top w:val="single" w:sz="4" w:space="0" w:color="4F81BD" w:themeColor="accent1"/>
              <w:bottom w:val="single" w:sz="4" w:space="0" w:color="4F81BD" w:themeColor="accent1"/>
            </w:tcBorders>
            <w:shd w:val="clear" w:color="auto" w:fill="auto"/>
            <w:noWrap/>
            <w:vAlign w:val="center"/>
            <w:hideMark/>
          </w:tcPr>
          <w:p w:rsidR="0052769F" w:rsidRPr="00F61D72" w:rsidRDefault="0052769F" w:rsidP="00CB5F4D">
            <w:pPr>
              <w:jc w:val="center"/>
              <w:rPr>
                <w:rFonts w:cs="Arial"/>
                <w:b/>
                <w:color w:val="1F497D" w:themeColor="text2"/>
                <w:sz w:val="20"/>
              </w:rPr>
            </w:pPr>
            <w:r w:rsidRPr="00F61D72">
              <w:rPr>
                <w:rFonts w:cs="Arial"/>
                <w:b/>
                <w:color w:val="1F497D" w:themeColor="text2"/>
                <w:sz w:val="20"/>
              </w:rPr>
              <w:t>305</w:t>
            </w:r>
          </w:p>
        </w:tc>
        <w:tc>
          <w:tcPr>
            <w:tcW w:w="588" w:type="dxa"/>
            <w:tcBorders>
              <w:top w:val="single" w:sz="4" w:space="0" w:color="4F81BD" w:themeColor="accent1"/>
              <w:bottom w:val="single" w:sz="4" w:space="0" w:color="4F81BD" w:themeColor="accent1"/>
            </w:tcBorders>
            <w:shd w:val="clear" w:color="auto" w:fill="auto"/>
            <w:noWrap/>
            <w:vAlign w:val="center"/>
            <w:hideMark/>
          </w:tcPr>
          <w:p w:rsidR="0052769F" w:rsidRPr="00F61D72" w:rsidRDefault="0052769F" w:rsidP="00CB5F4D">
            <w:pPr>
              <w:jc w:val="center"/>
              <w:rPr>
                <w:rFonts w:cs="Arial"/>
                <w:b/>
                <w:color w:val="1F497D" w:themeColor="text2"/>
                <w:sz w:val="20"/>
              </w:rPr>
            </w:pPr>
            <w:r w:rsidRPr="00F61D72">
              <w:rPr>
                <w:rFonts w:cs="Arial"/>
                <w:b/>
                <w:color w:val="1F497D" w:themeColor="text2"/>
                <w:sz w:val="20"/>
              </w:rPr>
              <w:t>312</w:t>
            </w:r>
          </w:p>
        </w:tc>
        <w:tc>
          <w:tcPr>
            <w:tcW w:w="618" w:type="dxa"/>
            <w:tcBorders>
              <w:top w:val="single" w:sz="4" w:space="0" w:color="4F81BD" w:themeColor="accent1"/>
              <w:bottom w:val="single" w:sz="4" w:space="0" w:color="4F81BD" w:themeColor="accent1"/>
              <w:right w:val="single" w:sz="4" w:space="0" w:color="4F81BD" w:themeColor="accent1"/>
            </w:tcBorders>
            <w:shd w:val="clear" w:color="auto" w:fill="auto"/>
            <w:vAlign w:val="center"/>
          </w:tcPr>
          <w:p w:rsidR="0052769F" w:rsidRPr="00F61D72" w:rsidRDefault="0052769F" w:rsidP="00CB5F4D">
            <w:pPr>
              <w:jc w:val="center"/>
              <w:rPr>
                <w:rFonts w:cs="Arial"/>
                <w:b/>
                <w:color w:val="1F497D" w:themeColor="text2"/>
                <w:sz w:val="20"/>
              </w:rPr>
            </w:pPr>
            <w:r w:rsidRPr="00F61D72">
              <w:rPr>
                <w:rFonts w:cs="Arial"/>
                <w:b/>
                <w:color w:val="1F497D" w:themeColor="text2"/>
                <w:sz w:val="20"/>
              </w:rPr>
              <w:t>312</w:t>
            </w:r>
          </w:p>
        </w:tc>
        <w:tc>
          <w:tcPr>
            <w:tcW w:w="823" w:type="dxa"/>
            <w:tcBorders>
              <w:top w:val="single" w:sz="4" w:space="0" w:color="4F81BD" w:themeColor="accent1"/>
              <w:left w:val="single" w:sz="4" w:space="0" w:color="4F81BD" w:themeColor="accent1"/>
              <w:bottom w:val="single" w:sz="4" w:space="0" w:color="4F81BD" w:themeColor="accent1"/>
            </w:tcBorders>
            <w:shd w:val="clear" w:color="auto" w:fill="auto"/>
            <w:noWrap/>
            <w:vAlign w:val="center"/>
            <w:hideMark/>
          </w:tcPr>
          <w:p w:rsidR="0052769F" w:rsidRPr="005943BB" w:rsidRDefault="0052769F" w:rsidP="00CB5F4D">
            <w:pPr>
              <w:keepNext/>
              <w:jc w:val="center"/>
              <w:rPr>
                <w:rFonts w:asciiTheme="minorHAnsi" w:hAnsiTheme="minorHAnsi" w:cs="Arial"/>
                <w:b/>
                <w:iCs/>
                <w:color w:val="1F497D" w:themeColor="text2"/>
                <w:sz w:val="20"/>
                <w:lang w:eastAsia="ko-KR"/>
              </w:rPr>
            </w:pPr>
            <w:r w:rsidRPr="005943BB">
              <w:rPr>
                <w:rFonts w:asciiTheme="minorHAnsi" w:hAnsiTheme="minorHAnsi" w:cs="Arial"/>
                <w:b/>
                <w:iCs/>
                <w:color w:val="1F497D" w:themeColor="text2"/>
                <w:sz w:val="20"/>
                <w:lang w:eastAsia="ko-KR"/>
              </w:rPr>
              <w:t>303</w:t>
            </w:r>
          </w:p>
        </w:tc>
        <w:tc>
          <w:tcPr>
            <w:tcW w:w="735" w:type="dxa"/>
            <w:tcBorders>
              <w:top w:val="single" w:sz="4" w:space="0" w:color="4F81BD" w:themeColor="accent1"/>
              <w:bottom w:val="single" w:sz="4" w:space="0" w:color="4F81BD" w:themeColor="accent1"/>
            </w:tcBorders>
            <w:shd w:val="clear" w:color="auto" w:fill="auto"/>
            <w:noWrap/>
            <w:vAlign w:val="center"/>
            <w:hideMark/>
          </w:tcPr>
          <w:p w:rsidR="0052769F" w:rsidRPr="005943BB" w:rsidRDefault="0052769F" w:rsidP="00CB5F4D">
            <w:pPr>
              <w:jc w:val="center"/>
              <w:rPr>
                <w:rFonts w:asciiTheme="minorHAnsi" w:hAnsiTheme="minorHAnsi" w:cs="Arial"/>
                <w:b/>
                <w:iCs/>
                <w:color w:val="1F497D" w:themeColor="text2"/>
                <w:sz w:val="20"/>
                <w:lang w:eastAsia="ko-KR"/>
              </w:rPr>
            </w:pPr>
            <w:r w:rsidRPr="005943BB">
              <w:rPr>
                <w:rFonts w:asciiTheme="minorHAnsi" w:hAnsiTheme="minorHAnsi" w:cs="Arial"/>
                <w:b/>
                <w:iCs/>
                <w:color w:val="1F497D" w:themeColor="text2"/>
                <w:sz w:val="20"/>
                <w:lang w:eastAsia="ko-KR"/>
              </w:rPr>
              <w:t>100%</w:t>
            </w:r>
          </w:p>
        </w:tc>
      </w:tr>
    </w:tbl>
    <w:p w:rsidR="005750B2" w:rsidRDefault="0052769F" w:rsidP="00F352EC">
      <w:pPr>
        <w:pStyle w:val="FootnoteStyle1"/>
      </w:pPr>
      <w:r w:rsidRPr="005943BB">
        <w:rPr>
          <w:i w:val="0"/>
        </w:rPr>
        <w:t>*</w:t>
      </w:r>
      <w:r w:rsidRPr="005943BB">
        <w:t xml:space="preserve"> One unique individual may be involved in multiple UIs in different roles throughout the year.</w:t>
      </w:r>
      <w:bookmarkStart w:id="305" w:name="_Toc281989610"/>
      <w:bookmarkEnd w:id="302"/>
    </w:p>
    <w:p w:rsidR="00F352EC" w:rsidRDefault="00F352EC" w:rsidP="003F18B1">
      <w:pPr>
        <w:pStyle w:val="Heading2"/>
      </w:pPr>
      <w:bookmarkStart w:id="306" w:name="_Toc349913432"/>
      <w:bookmarkStart w:id="307" w:name="_Toc384134371"/>
      <w:bookmarkStart w:id="308" w:name="_Toc416357880"/>
      <w:r>
        <w:t>UI by Type and Severity</w:t>
      </w:r>
      <w:bookmarkEnd w:id="305"/>
      <w:bookmarkEnd w:id="306"/>
      <w:bookmarkEnd w:id="307"/>
      <w:bookmarkEnd w:id="308"/>
    </w:p>
    <w:p w:rsidR="0037178D" w:rsidRPr="000476B4" w:rsidRDefault="0037178D" w:rsidP="0037178D">
      <w:pPr>
        <w:pStyle w:val="KeyFindings"/>
        <w:rPr>
          <w:snapToGrid/>
        </w:rPr>
      </w:pPr>
      <w:bookmarkStart w:id="309" w:name="_Toc384134372"/>
      <w:bookmarkStart w:id="310" w:name="_Toc281982853"/>
      <w:r>
        <w:t xml:space="preserve">A major incident </w:t>
      </w:r>
      <w:r w:rsidR="00534AD6">
        <w:t>is defined as</w:t>
      </w:r>
      <w:r>
        <w:t xml:space="preserve"> an incident which </w:t>
      </w:r>
      <w:r w:rsidRPr="000476B4">
        <w:t>poses a significant danger</w:t>
      </w:r>
      <w:r>
        <w:t>,</w:t>
      </w:r>
      <w:r w:rsidRPr="000476B4">
        <w:t xml:space="preserve"> or is likely to result or has resulted</w:t>
      </w:r>
      <w:r>
        <w:t xml:space="preserve"> </w:t>
      </w:r>
      <w:r w:rsidRPr="000476B4">
        <w:t>in serious consequences to the health and safety of individuals</w:t>
      </w:r>
      <w:r>
        <w:t xml:space="preserve"> in care</w:t>
      </w:r>
      <w:r w:rsidRPr="000476B4">
        <w:t xml:space="preserve">, </w:t>
      </w:r>
      <w:r>
        <w:t xml:space="preserve">staff </w:t>
      </w:r>
      <w:r w:rsidRPr="000476B4">
        <w:t>or visitors</w:t>
      </w:r>
      <w:r>
        <w:t>.</w:t>
      </w:r>
      <w:r w:rsidR="00E74B72" w:rsidRPr="00E74B72">
        <w:rPr>
          <w:rStyle w:val="FootnoteReference"/>
        </w:rPr>
        <w:t xml:space="preserve"> </w:t>
      </w:r>
      <w:r w:rsidR="00E74B72">
        <w:rPr>
          <w:rStyle w:val="FootnoteReference"/>
        </w:rPr>
        <w:footnoteReference w:id="24"/>
      </w:r>
      <w:r>
        <w:t xml:space="preserve">  During FY14, the overall percentage of major UIs for the year was 73%,</w:t>
      </w:r>
      <w:r w:rsidR="00E74B72">
        <w:rPr>
          <w:rStyle w:val="FootnoteReference"/>
        </w:rPr>
        <w:footnoteReference w:id="25"/>
      </w:r>
      <w:r>
        <w:t xml:space="preserve"> ranging between 66% and 78% each month.</w:t>
      </w:r>
    </w:p>
    <w:p w:rsidR="0037178D" w:rsidRPr="003F643E" w:rsidRDefault="0037178D" w:rsidP="0037178D">
      <w:pPr>
        <w:pStyle w:val="KeyFindings"/>
        <w:numPr>
          <w:ilvl w:val="0"/>
          <w:numId w:val="0"/>
        </w:numPr>
      </w:pPr>
      <w:bookmarkStart w:id="311" w:name="_Toc386095136"/>
      <w:bookmarkStart w:id="312" w:name="_Toc416357968"/>
      <w:r w:rsidRPr="00E269E2">
        <w:rPr>
          <w:rStyle w:val="FigureChar"/>
        </w:rPr>
        <w:t xml:space="preserve">Table </w:t>
      </w:r>
      <w:r w:rsidRPr="00344689">
        <w:rPr>
          <w:rStyle w:val="FigureChar"/>
        </w:rPr>
        <w:fldChar w:fldCharType="begin"/>
      </w:r>
      <w:r w:rsidRPr="00344689">
        <w:rPr>
          <w:rStyle w:val="FigureChar"/>
        </w:rPr>
        <w:instrText xml:space="preserve"> SEQ Table \* ARABIC </w:instrText>
      </w:r>
      <w:r w:rsidRPr="00344689">
        <w:rPr>
          <w:rStyle w:val="FigureChar"/>
        </w:rPr>
        <w:fldChar w:fldCharType="separate"/>
      </w:r>
      <w:r w:rsidR="007E3DB6">
        <w:rPr>
          <w:rStyle w:val="FigureChar"/>
          <w:noProof/>
        </w:rPr>
        <w:t>15</w:t>
      </w:r>
      <w:r w:rsidRPr="00344689">
        <w:rPr>
          <w:rStyle w:val="FigureChar"/>
        </w:rPr>
        <w:fldChar w:fldCharType="end"/>
      </w:r>
      <w:r w:rsidRPr="00E269E2">
        <w:rPr>
          <w:rStyle w:val="FigureChar"/>
        </w:rPr>
        <w:t xml:space="preserve">. </w:t>
      </w:r>
      <w:r>
        <w:rPr>
          <w:rStyle w:val="FigureChar"/>
        </w:rPr>
        <w:t>Major UIs vs. Non-Major UIs</w:t>
      </w:r>
      <w:r w:rsidRPr="00E269E2">
        <w:rPr>
          <w:rStyle w:val="FigureChar"/>
        </w:rPr>
        <w:t xml:space="preserve"> </w:t>
      </w:r>
      <w:r>
        <w:rPr>
          <w:rStyle w:val="FigureChar"/>
        </w:rPr>
        <w:t>(FY14)</w:t>
      </w:r>
      <w:bookmarkEnd w:id="311"/>
      <w:bookmarkEnd w:id="312"/>
    </w:p>
    <w:tbl>
      <w:tblPr>
        <w:tblpPr w:leftFromText="180" w:rightFromText="180" w:vertAnchor="text" w:horzAnchor="margin" w:tblpY="74"/>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left w:w="14" w:type="dxa"/>
          <w:right w:w="14" w:type="dxa"/>
        </w:tblCellMar>
        <w:tblLook w:val="04A0" w:firstRow="1" w:lastRow="0" w:firstColumn="1" w:lastColumn="0" w:noHBand="0" w:noVBand="1"/>
      </w:tblPr>
      <w:tblGrid>
        <w:gridCol w:w="1996"/>
        <w:gridCol w:w="498"/>
        <w:gridCol w:w="498"/>
        <w:gridCol w:w="498"/>
        <w:gridCol w:w="500"/>
        <w:gridCol w:w="498"/>
        <w:gridCol w:w="498"/>
        <w:gridCol w:w="498"/>
        <w:gridCol w:w="499"/>
        <w:gridCol w:w="497"/>
        <w:gridCol w:w="497"/>
        <w:gridCol w:w="497"/>
        <w:gridCol w:w="499"/>
        <w:gridCol w:w="689"/>
        <w:gridCol w:w="540"/>
        <w:gridCol w:w="906"/>
      </w:tblGrid>
      <w:tr w:rsidR="0037178D" w:rsidRPr="00855BF5" w:rsidTr="00256D37">
        <w:trPr>
          <w:trHeight w:val="351"/>
        </w:trPr>
        <w:tc>
          <w:tcPr>
            <w:tcW w:w="98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C6D9F1" w:themeFill="text2" w:themeFillTint="33"/>
            <w:noWrap/>
            <w:vAlign w:val="center"/>
            <w:hideMark/>
          </w:tcPr>
          <w:p w:rsidR="0037178D" w:rsidRPr="00855BF5" w:rsidRDefault="0037178D" w:rsidP="000010B6">
            <w:pPr>
              <w:keepNext/>
              <w:jc w:val="center"/>
              <w:rPr>
                <w:rFonts w:cs="Arial"/>
                <w:b/>
                <w:bCs/>
                <w:color w:val="1F497D" w:themeColor="text2"/>
                <w:sz w:val="20"/>
                <w:lang w:eastAsia="ko-KR"/>
              </w:rPr>
            </w:pPr>
            <w:r>
              <w:rPr>
                <w:rFonts w:cs="Arial"/>
                <w:b/>
                <w:bCs/>
                <w:color w:val="1F497D" w:themeColor="text2"/>
                <w:sz w:val="20"/>
                <w:lang w:eastAsia="ko-KR"/>
              </w:rPr>
              <w:t>Major vs. Non-major</w:t>
            </w:r>
          </w:p>
        </w:tc>
        <w:tc>
          <w:tcPr>
            <w:tcW w:w="246" w:type="pct"/>
            <w:tcBorders>
              <w:top w:val="single" w:sz="4" w:space="0" w:color="4F81BD" w:themeColor="accent1"/>
              <w:left w:val="single" w:sz="4" w:space="0" w:color="4F81BD" w:themeColor="accent1"/>
              <w:bottom w:val="single" w:sz="4" w:space="0" w:color="4F81BD" w:themeColor="accent1"/>
            </w:tcBorders>
            <w:shd w:val="clear" w:color="auto" w:fill="C6D9F1" w:themeFill="text2" w:themeFillTint="33"/>
            <w:vAlign w:val="center"/>
            <w:hideMark/>
          </w:tcPr>
          <w:p w:rsidR="0037178D" w:rsidRPr="00855BF5" w:rsidRDefault="0037178D" w:rsidP="000010B6">
            <w:pPr>
              <w:keepNext/>
              <w:jc w:val="center"/>
              <w:rPr>
                <w:rFonts w:cs="Arial"/>
                <w:b/>
                <w:bCs/>
                <w:color w:val="1F497D" w:themeColor="text2"/>
                <w:sz w:val="20"/>
                <w:lang w:eastAsia="ko-KR"/>
              </w:rPr>
            </w:pPr>
            <w:r w:rsidRPr="00855BF5">
              <w:rPr>
                <w:rFonts w:cs="Arial"/>
                <w:b/>
                <w:bCs/>
                <w:color w:val="1F497D" w:themeColor="text2"/>
                <w:sz w:val="20"/>
                <w:lang w:eastAsia="ko-KR"/>
              </w:rPr>
              <w:t>Oct</w:t>
            </w:r>
          </w:p>
        </w:tc>
        <w:tc>
          <w:tcPr>
            <w:tcW w:w="246" w:type="pct"/>
            <w:tcBorders>
              <w:top w:val="single" w:sz="4" w:space="0" w:color="4F81BD" w:themeColor="accent1"/>
              <w:bottom w:val="single" w:sz="4" w:space="0" w:color="4F81BD" w:themeColor="accent1"/>
            </w:tcBorders>
            <w:shd w:val="clear" w:color="auto" w:fill="C6D9F1" w:themeFill="text2" w:themeFillTint="33"/>
            <w:vAlign w:val="center"/>
            <w:hideMark/>
          </w:tcPr>
          <w:p w:rsidR="0037178D" w:rsidRPr="00855BF5" w:rsidRDefault="0037178D" w:rsidP="000010B6">
            <w:pPr>
              <w:keepNext/>
              <w:jc w:val="center"/>
              <w:rPr>
                <w:rFonts w:cs="Arial"/>
                <w:b/>
                <w:bCs/>
                <w:color w:val="1F497D" w:themeColor="text2"/>
                <w:sz w:val="20"/>
                <w:lang w:eastAsia="ko-KR"/>
              </w:rPr>
            </w:pPr>
            <w:r w:rsidRPr="00855BF5">
              <w:rPr>
                <w:rFonts w:cs="Arial"/>
                <w:b/>
                <w:bCs/>
                <w:color w:val="1F497D" w:themeColor="text2"/>
                <w:sz w:val="20"/>
                <w:lang w:eastAsia="ko-KR"/>
              </w:rPr>
              <w:t>Nov</w:t>
            </w:r>
          </w:p>
        </w:tc>
        <w:tc>
          <w:tcPr>
            <w:tcW w:w="246" w:type="pct"/>
            <w:tcBorders>
              <w:top w:val="single" w:sz="4" w:space="0" w:color="4F81BD" w:themeColor="accent1"/>
              <w:bottom w:val="single" w:sz="4" w:space="0" w:color="4F81BD" w:themeColor="accent1"/>
            </w:tcBorders>
            <w:shd w:val="clear" w:color="auto" w:fill="C6D9F1" w:themeFill="text2" w:themeFillTint="33"/>
            <w:vAlign w:val="center"/>
            <w:hideMark/>
          </w:tcPr>
          <w:p w:rsidR="0037178D" w:rsidRPr="00855BF5" w:rsidRDefault="0037178D" w:rsidP="000010B6">
            <w:pPr>
              <w:keepNext/>
              <w:jc w:val="center"/>
              <w:rPr>
                <w:rFonts w:cs="Arial"/>
                <w:b/>
                <w:bCs/>
                <w:color w:val="1F497D" w:themeColor="text2"/>
                <w:sz w:val="20"/>
                <w:lang w:eastAsia="ko-KR"/>
              </w:rPr>
            </w:pPr>
            <w:r w:rsidRPr="00855BF5">
              <w:rPr>
                <w:rFonts w:cs="Arial"/>
                <w:b/>
                <w:bCs/>
                <w:color w:val="1F497D" w:themeColor="text2"/>
                <w:sz w:val="20"/>
                <w:lang w:eastAsia="ko-KR"/>
              </w:rPr>
              <w:t>Dec</w:t>
            </w:r>
          </w:p>
        </w:tc>
        <w:tc>
          <w:tcPr>
            <w:tcW w:w="247" w:type="pct"/>
            <w:tcBorders>
              <w:top w:val="single" w:sz="4" w:space="0" w:color="4F81BD" w:themeColor="accent1"/>
              <w:bottom w:val="single" w:sz="4" w:space="0" w:color="4F81BD" w:themeColor="accent1"/>
            </w:tcBorders>
            <w:shd w:val="clear" w:color="auto" w:fill="C6D9F1" w:themeFill="text2" w:themeFillTint="33"/>
            <w:vAlign w:val="center"/>
            <w:hideMark/>
          </w:tcPr>
          <w:p w:rsidR="0037178D" w:rsidRPr="00855BF5" w:rsidRDefault="0037178D" w:rsidP="000010B6">
            <w:pPr>
              <w:keepNext/>
              <w:jc w:val="center"/>
              <w:rPr>
                <w:rFonts w:cs="Arial"/>
                <w:b/>
                <w:bCs/>
                <w:color w:val="1F497D" w:themeColor="text2"/>
                <w:sz w:val="20"/>
                <w:lang w:eastAsia="ko-KR"/>
              </w:rPr>
            </w:pPr>
            <w:r w:rsidRPr="00855BF5">
              <w:rPr>
                <w:rFonts w:cs="Arial"/>
                <w:b/>
                <w:bCs/>
                <w:color w:val="1F497D" w:themeColor="text2"/>
                <w:sz w:val="20"/>
                <w:lang w:eastAsia="ko-KR"/>
              </w:rPr>
              <w:t>Jan</w:t>
            </w:r>
          </w:p>
        </w:tc>
        <w:tc>
          <w:tcPr>
            <w:tcW w:w="246" w:type="pct"/>
            <w:tcBorders>
              <w:top w:val="single" w:sz="4" w:space="0" w:color="4F81BD" w:themeColor="accent1"/>
              <w:bottom w:val="single" w:sz="4" w:space="0" w:color="4F81BD" w:themeColor="accent1"/>
            </w:tcBorders>
            <w:shd w:val="clear" w:color="auto" w:fill="C6D9F1" w:themeFill="text2" w:themeFillTint="33"/>
            <w:vAlign w:val="center"/>
            <w:hideMark/>
          </w:tcPr>
          <w:p w:rsidR="0037178D" w:rsidRPr="00855BF5" w:rsidRDefault="0037178D" w:rsidP="000010B6">
            <w:pPr>
              <w:keepNext/>
              <w:jc w:val="center"/>
              <w:rPr>
                <w:rFonts w:cs="Arial"/>
                <w:b/>
                <w:bCs/>
                <w:color w:val="1F497D" w:themeColor="text2"/>
                <w:sz w:val="20"/>
                <w:lang w:eastAsia="ko-KR"/>
              </w:rPr>
            </w:pPr>
            <w:r w:rsidRPr="00855BF5">
              <w:rPr>
                <w:rFonts w:cs="Arial"/>
                <w:b/>
                <w:bCs/>
                <w:color w:val="1F497D" w:themeColor="text2"/>
                <w:sz w:val="20"/>
                <w:lang w:eastAsia="ko-KR"/>
              </w:rPr>
              <w:t>Feb</w:t>
            </w:r>
          </w:p>
        </w:tc>
        <w:tc>
          <w:tcPr>
            <w:tcW w:w="246" w:type="pct"/>
            <w:tcBorders>
              <w:top w:val="single" w:sz="4" w:space="0" w:color="4F81BD" w:themeColor="accent1"/>
              <w:bottom w:val="single" w:sz="4" w:space="0" w:color="4F81BD" w:themeColor="accent1"/>
            </w:tcBorders>
            <w:shd w:val="clear" w:color="auto" w:fill="C6D9F1" w:themeFill="text2" w:themeFillTint="33"/>
            <w:vAlign w:val="center"/>
            <w:hideMark/>
          </w:tcPr>
          <w:p w:rsidR="0037178D" w:rsidRPr="00855BF5" w:rsidRDefault="0037178D" w:rsidP="000010B6">
            <w:pPr>
              <w:keepNext/>
              <w:jc w:val="center"/>
              <w:rPr>
                <w:rFonts w:cs="Arial"/>
                <w:b/>
                <w:bCs/>
                <w:color w:val="1F497D" w:themeColor="text2"/>
                <w:sz w:val="20"/>
                <w:lang w:eastAsia="ko-KR"/>
              </w:rPr>
            </w:pPr>
            <w:r w:rsidRPr="00855BF5">
              <w:rPr>
                <w:rFonts w:cs="Arial"/>
                <w:b/>
                <w:bCs/>
                <w:color w:val="1F497D" w:themeColor="text2"/>
                <w:sz w:val="20"/>
                <w:lang w:eastAsia="ko-KR"/>
              </w:rPr>
              <w:t>Mar</w:t>
            </w:r>
          </w:p>
        </w:tc>
        <w:tc>
          <w:tcPr>
            <w:tcW w:w="246" w:type="pct"/>
            <w:tcBorders>
              <w:top w:val="single" w:sz="4" w:space="0" w:color="4F81BD" w:themeColor="accent1"/>
              <w:bottom w:val="single" w:sz="4" w:space="0" w:color="4F81BD" w:themeColor="accent1"/>
            </w:tcBorders>
            <w:shd w:val="clear" w:color="auto" w:fill="C6D9F1" w:themeFill="text2" w:themeFillTint="33"/>
            <w:vAlign w:val="center"/>
            <w:hideMark/>
          </w:tcPr>
          <w:p w:rsidR="0037178D" w:rsidRPr="00855BF5" w:rsidRDefault="0037178D" w:rsidP="000010B6">
            <w:pPr>
              <w:keepNext/>
              <w:jc w:val="center"/>
              <w:rPr>
                <w:rFonts w:cs="Arial"/>
                <w:b/>
                <w:bCs/>
                <w:color w:val="1F497D" w:themeColor="text2"/>
                <w:sz w:val="20"/>
                <w:lang w:eastAsia="ko-KR"/>
              </w:rPr>
            </w:pPr>
            <w:r w:rsidRPr="00855BF5">
              <w:rPr>
                <w:rFonts w:cs="Arial"/>
                <w:b/>
                <w:bCs/>
                <w:color w:val="1F497D" w:themeColor="text2"/>
                <w:sz w:val="20"/>
                <w:lang w:eastAsia="ko-KR"/>
              </w:rPr>
              <w:t>Apr</w:t>
            </w:r>
          </w:p>
        </w:tc>
        <w:tc>
          <w:tcPr>
            <w:tcW w:w="247" w:type="pct"/>
            <w:tcBorders>
              <w:top w:val="single" w:sz="4" w:space="0" w:color="4F81BD" w:themeColor="accent1"/>
              <w:bottom w:val="single" w:sz="4" w:space="0" w:color="4F81BD" w:themeColor="accent1"/>
            </w:tcBorders>
            <w:shd w:val="clear" w:color="auto" w:fill="C6D9F1" w:themeFill="text2" w:themeFillTint="33"/>
            <w:vAlign w:val="center"/>
            <w:hideMark/>
          </w:tcPr>
          <w:p w:rsidR="0037178D" w:rsidRPr="00855BF5" w:rsidRDefault="0037178D" w:rsidP="000010B6">
            <w:pPr>
              <w:keepNext/>
              <w:jc w:val="center"/>
              <w:rPr>
                <w:rFonts w:cs="Arial"/>
                <w:b/>
                <w:bCs/>
                <w:color w:val="1F497D" w:themeColor="text2"/>
                <w:sz w:val="20"/>
                <w:lang w:eastAsia="ko-KR"/>
              </w:rPr>
            </w:pPr>
            <w:r w:rsidRPr="00855BF5">
              <w:rPr>
                <w:rFonts w:cs="Arial"/>
                <w:b/>
                <w:bCs/>
                <w:color w:val="1F497D" w:themeColor="text2"/>
                <w:sz w:val="20"/>
                <w:lang w:eastAsia="ko-KR"/>
              </w:rPr>
              <w:t>May</w:t>
            </w:r>
          </w:p>
        </w:tc>
        <w:tc>
          <w:tcPr>
            <w:tcW w:w="246" w:type="pct"/>
            <w:tcBorders>
              <w:top w:val="single" w:sz="4" w:space="0" w:color="4F81BD" w:themeColor="accent1"/>
              <w:bottom w:val="single" w:sz="4" w:space="0" w:color="4F81BD" w:themeColor="accent1"/>
            </w:tcBorders>
            <w:shd w:val="clear" w:color="auto" w:fill="C6D9F1" w:themeFill="text2" w:themeFillTint="33"/>
            <w:vAlign w:val="center"/>
            <w:hideMark/>
          </w:tcPr>
          <w:p w:rsidR="0037178D" w:rsidRPr="00855BF5" w:rsidRDefault="0037178D" w:rsidP="000010B6">
            <w:pPr>
              <w:keepNext/>
              <w:jc w:val="center"/>
              <w:rPr>
                <w:rFonts w:cs="Arial"/>
                <w:b/>
                <w:bCs/>
                <w:color w:val="1F497D" w:themeColor="text2"/>
                <w:sz w:val="20"/>
                <w:lang w:eastAsia="ko-KR"/>
              </w:rPr>
            </w:pPr>
            <w:r w:rsidRPr="00855BF5">
              <w:rPr>
                <w:rFonts w:cs="Arial"/>
                <w:b/>
                <w:bCs/>
                <w:color w:val="1F497D" w:themeColor="text2"/>
                <w:sz w:val="20"/>
                <w:lang w:eastAsia="ko-KR"/>
              </w:rPr>
              <w:t>Jun</w:t>
            </w:r>
          </w:p>
        </w:tc>
        <w:tc>
          <w:tcPr>
            <w:tcW w:w="246" w:type="pct"/>
            <w:tcBorders>
              <w:top w:val="single" w:sz="4" w:space="0" w:color="4F81BD" w:themeColor="accent1"/>
              <w:bottom w:val="single" w:sz="4" w:space="0" w:color="4F81BD" w:themeColor="accent1"/>
            </w:tcBorders>
            <w:shd w:val="clear" w:color="auto" w:fill="C6D9F1" w:themeFill="text2" w:themeFillTint="33"/>
            <w:vAlign w:val="center"/>
            <w:hideMark/>
          </w:tcPr>
          <w:p w:rsidR="0037178D" w:rsidRPr="00855BF5" w:rsidRDefault="0037178D" w:rsidP="000010B6">
            <w:pPr>
              <w:keepNext/>
              <w:jc w:val="center"/>
              <w:rPr>
                <w:rFonts w:cs="Arial"/>
                <w:b/>
                <w:bCs/>
                <w:color w:val="1F497D" w:themeColor="text2"/>
                <w:sz w:val="20"/>
                <w:lang w:eastAsia="ko-KR"/>
              </w:rPr>
            </w:pPr>
            <w:r w:rsidRPr="00855BF5">
              <w:rPr>
                <w:rFonts w:cs="Arial"/>
                <w:b/>
                <w:bCs/>
                <w:color w:val="1F497D" w:themeColor="text2"/>
                <w:sz w:val="20"/>
                <w:lang w:eastAsia="ko-KR"/>
              </w:rPr>
              <w:t>Jul</w:t>
            </w:r>
          </w:p>
        </w:tc>
        <w:tc>
          <w:tcPr>
            <w:tcW w:w="246" w:type="pct"/>
            <w:tcBorders>
              <w:top w:val="single" w:sz="4" w:space="0" w:color="4F81BD" w:themeColor="accent1"/>
              <w:bottom w:val="single" w:sz="4" w:space="0" w:color="4F81BD" w:themeColor="accent1"/>
            </w:tcBorders>
            <w:shd w:val="clear" w:color="auto" w:fill="C6D9F1" w:themeFill="text2" w:themeFillTint="33"/>
            <w:vAlign w:val="center"/>
            <w:hideMark/>
          </w:tcPr>
          <w:p w:rsidR="0037178D" w:rsidRPr="00855BF5" w:rsidRDefault="0037178D" w:rsidP="000010B6">
            <w:pPr>
              <w:keepNext/>
              <w:jc w:val="center"/>
              <w:rPr>
                <w:rFonts w:cs="Arial"/>
                <w:b/>
                <w:bCs/>
                <w:color w:val="1F497D" w:themeColor="text2"/>
                <w:sz w:val="20"/>
                <w:lang w:eastAsia="ko-KR"/>
              </w:rPr>
            </w:pPr>
            <w:r w:rsidRPr="00855BF5">
              <w:rPr>
                <w:rFonts w:cs="Arial"/>
                <w:b/>
                <w:bCs/>
                <w:color w:val="1F497D" w:themeColor="text2"/>
                <w:sz w:val="20"/>
                <w:lang w:eastAsia="ko-KR"/>
              </w:rPr>
              <w:t>Aug</w:t>
            </w:r>
          </w:p>
        </w:tc>
        <w:tc>
          <w:tcPr>
            <w:tcW w:w="247" w:type="pct"/>
            <w:tcBorders>
              <w:top w:val="single" w:sz="4" w:space="0" w:color="4F81BD" w:themeColor="accent1"/>
              <w:bottom w:val="single" w:sz="4" w:space="0" w:color="4F81BD" w:themeColor="accent1"/>
              <w:right w:val="single" w:sz="4" w:space="0" w:color="4F81BD" w:themeColor="accent1"/>
            </w:tcBorders>
            <w:shd w:val="clear" w:color="auto" w:fill="C6D9F1" w:themeFill="text2" w:themeFillTint="33"/>
            <w:vAlign w:val="center"/>
            <w:hideMark/>
          </w:tcPr>
          <w:p w:rsidR="0037178D" w:rsidRPr="00855BF5" w:rsidRDefault="0037178D" w:rsidP="000010B6">
            <w:pPr>
              <w:keepNext/>
              <w:jc w:val="center"/>
              <w:rPr>
                <w:rFonts w:cs="Arial"/>
                <w:b/>
                <w:bCs/>
                <w:color w:val="1F497D" w:themeColor="text2"/>
                <w:sz w:val="20"/>
                <w:lang w:eastAsia="ko-KR"/>
              </w:rPr>
            </w:pPr>
            <w:r w:rsidRPr="00855BF5">
              <w:rPr>
                <w:rFonts w:cs="Arial"/>
                <w:b/>
                <w:bCs/>
                <w:color w:val="1F497D" w:themeColor="text2"/>
                <w:sz w:val="20"/>
                <w:lang w:eastAsia="ko-KR"/>
              </w:rPr>
              <w:t>Sep</w:t>
            </w:r>
          </w:p>
        </w:tc>
        <w:tc>
          <w:tcPr>
            <w:tcW w:w="341" w:type="pct"/>
            <w:tcBorders>
              <w:top w:val="single" w:sz="4" w:space="0" w:color="4F81BD" w:themeColor="accent1"/>
              <w:left w:val="single" w:sz="4" w:space="0" w:color="4F81BD" w:themeColor="accent1"/>
              <w:bottom w:val="single" w:sz="4" w:space="0" w:color="4F81BD" w:themeColor="accent1"/>
            </w:tcBorders>
            <w:shd w:val="clear" w:color="auto" w:fill="C6D9F1" w:themeFill="text2" w:themeFillTint="33"/>
            <w:vAlign w:val="center"/>
            <w:hideMark/>
          </w:tcPr>
          <w:p w:rsidR="0037178D" w:rsidRPr="00855BF5" w:rsidRDefault="0037178D" w:rsidP="000010B6">
            <w:pPr>
              <w:keepNext/>
              <w:jc w:val="center"/>
              <w:rPr>
                <w:rFonts w:cs="Arial"/>
                <w:b/>
                <w:bCs/>
                <w:color w:val="1F497D" w:themeColor="text2"/>
                <w:sz w:val="20"/>
                <w:lang w:eastAsia="ko-KR"/>
              </w:rPr>
            </w:pPr>
            <w:r w:rsidRPr="00855BF5">
              <w:rPr>
                <w:rFonts w:cs="Arial"/>
                <w:b/>
                <w:bCs/>
                <w:color w:val="1F497D" w:themeColor="text2"/>
                <w:sz w:val="20"/>
                <w:lang w:eastAsia="ko-KR"/>
              </w:rPr>
              <w:t>Total</w:t>
            </w:r>
          </w:p>
        </w:tc>
        <w:tc>
          <w:tcPr>
            <w:tcW w:w="267" w:type="pct"/>
            <w:tcBorders>
              <w:top w:val="single" w:sz="4" w:space="0" w:color="4F81BD" w:themeColor="accent1"/>
              <w:bottom w:val="single" w:sz="4" w:space="0" w:color="4F81BD" w:themeColor="accent1"/>
            </w:tcBorders>
            <w:shd w:val="clear" w:color="auto" w:fill="C6D9F1" w:themeFill="text2" w:themeFillTint="33"/>
            <w:vAlign w:val="center"/>
            <w:hideMark/>
          </w:tcPr>
          <w:p w:rsidR="0037178D" w:rsidRPr="00855BF5" w:rsidRDefault="0037178D" w:rsidP="000010B6">
            <w:pPr>
              <w:keepNext/>
              <w:jc w:val="center"/>
              <w:rPr>
                <w:rFonts w:cs="Arial"/>
                <w:b/>
                <w:bCs/>
                <w:color w:val="1F497D" w:themeColor="text2"/>
                <w:sz w:val="20"/>
                <w:lang w:eastAsia="ko-KR"/>
              </w:rPr>
            </w:pPr>
            <w:r w:rsidRPr="00855BF5">
              <w:rPr>
                <w:rFonts w:cs="Arial"/>
                <w:b/>
                <w:bCs/>
                <w:color w:val="1F497D" w:themeColor="text2"/>
                <w:sz w:val="20"/>
                <w:lang w:eastAsia="ko-KR"/>
              </w:rPr>
              <w:t>Mean</w:t>
            </w:r>
          </w:p>
        </w:tc>
        <w:tc>
          <w:tcPr>
            <w:tcW w:w="448" w:type="pct"/>
            <w:tcBorders>
              <w:top w:val="single" w:sz="4" w:space="0" w:color="4F81BD" w:themeColor="accent1"/>
              <w:bottom w:val="single" w:sz="4" w:space="0" w:color="4F81BD" w:themeColor="accent1"/>
            </w:tcBorders>
            <w:shd w:val="clear" w:color="auto" w:fill="C6D9F1" w:themeFill="text2" w:themeFillTint="33"/>
            <w:vAlign w:val="center"/>
            <w:hideMark/>
          </w:tcPr>
          <w:p w:rsidR="0037178D" w:rsidRPr="00855BF5" w:rsidRDefault="0037178D" w:rsidP="000010B6">
            <w:pPr>
              <w:keepNext/>
              <w:jc w:val="center"/>
              <w:rPr>
                <w:rFonts w:cs="Arial"/>
                <w:b/>
                <w:bCs/>
                <w:color w:val="1F497D" w:themeColor="text2"/>
                <w:sz w:val="20"/>
                <w:lang w:eastAsia="ko-KR"/>
              </w:rPr>
            </w:pPr>
            <w:r w:rsidRPr="00855BF5">
              <w:rPr>
                <w:rFonts w:cs="Arial"/>
                <w:b/>
                <w:bCs/>
                <w:color w:val="1F497D" w:themeColor="text2"/>
                <w:sz w:val="20"/>
                <w:lang w:eastAsia="ko-KR"/>
              </w:rPr>
              <w:t>Percent</w:t>
            </w:r>
          </w:p>
        </w:tc>
      </w:tr>
      <w:tr w:rsidR="0037178D" w:rsidRPr="00855BF5" w:rsidTr="00256D37">
        <w:trPr>
          <w:trHeight w:val="351"/>
        </w:trPr>
        <w:tc>
          <w:tcPr>
            <w:tcW w:w="987" w:type="pct"/>
            <w:tcBorders>
              <w:top w:val="single" w:sz="4" w:space="0" w:color="4F81BD" w:themeColor="accent1"/>
              <w:left w:val="single" w:sz="4" w:space="0" w:color="4F81BD" w:themeColor="accent1"/>
              <w:bottom w:val="nil"/>
              <w:right w:val="single" w:sz="4" w:space="0" w:color="4F81BD" w:themeColor="accent1"/>
            </w:tcBorders>
            <w:shd w:val="clear" w:color="auto" w:fill="auto"/>
            <w:noWrap/>
            <w:vAlign w:val="center"/>
            <w:hideMark/>
          </w:tcPr>
          <w:p w:rsidR="0037178D" w:rsidRPr="00176A24" w:rsidRDefault="0037178D" w:rsidP="000010B6">
            <w:pPr>
              <w:rPr>
                <w:rFonts w:cs="Arial"/>
                <w:color w:val="1F497D" w:themeColor="text2"/>
                <w:sz w:val="18"/>
                <w:szCs w:val="18"/>
              </w:rPr>
            </w:pPr>
            <w:r w:rsidRPr="00176A24">
              <w:rPr>
                <w:rFonts w:cs="Arial"/>
                <w:color w:val="1F497D" w:themeColor="text2"/>
                <w:sz w:val="18"/>
                <w:szCs w:val="18"/>
              </w:rPr>
              <w:t>Major Incidents (#)</w:t>
            </w:r>
          </w:p>
        </w:tc>
        <w:tc>
          <w:tcPr>
            <w:tcW w:w="246" w:type="pct"/>
            <w:tcBorders>
              <w:top w:val="single" w:sz="4" w:space="0" w:color="4F81BD" w:themeColor="accent1"/>
              <w:left w:val="single" w:sz="4" w:space="0" w:color="4F81BD" w:themeColor="accent1"/>
              <w:bottom w:val="nil"/>
            </w:tcBorders>
            <w:shd w:val="clear" w:color="auto" w:fill="auto"/>
            <w:noWrap/>
            <w:vAlign w:val="center"/>
          </w:tcPr>
          <w:p w:rsidR="0037178D" w:rsidRPr="00F61D72" w:rsidRDefault="0037178D" w:rsidP="000010B6">
            <w:pPr>
              <w:jc w:val="center"/>
              <w:rPr>
                <w:rFonts w:cs="Arial"/>
                <w:b/>
                <w:color w:val="1F497D" w:themeColor="text2"/>
                <w:sz w:val="20"/>
              </w:rPr>
            </w:pPr>
            <w:r w:rsidRPr="00F61D72">
              <w:rPr>
                <w:rFonts w:cs="Arial"/>
                <w:b/>
                <w:color w:val="1F497D" w:themeColor="text2"/>
                <w:sz w:val="20"/>
              </w:rPr>
              <w:t>127</w:t>
            </w:r>
          </w:p>
        </w:tc>
        <w:tc>
          <w:tcPr>
            <w:tcW w:w="246" w:type="pct"/>
            <w:tcBorders>
              <w:top w:val="single" w:sz="4" w:space="0" w:color="4F81BD" w:themeColor="accent1"/>
              <w:bottom w:val="nil"/>
            </w:tcBorders>
            <w:shd w:val="clear" w:color="auto" w:fill="auto"/>
            <w:noWrap/>
            <w:vAlign w:val="center"/>
          </w:tcPr>
          <w:p w:rsidR="0037178D" w:rsidRPr="00F61D72" w:rsidRDefault="0037178D" w:rsidP="000010B6">
            <w:pPr>
              <w:jc w:val="center"/>
              <w:rPr>
                <w:rFonts w:cs="Arial"/>
                <w:b/>
                <w:color w:val="1F497D" w:themeColor="text2"/>
                <w:sz w:val="20"/>
              </w:rPr>
            </w:pPr>
            <w:r w:rsidRPr="00F61D72">
              <w:rPr>
                <w:rFonts w:cs="Arial"/>
                <w:b/>
                <w:color w:val="1F497D" w:themeColor="text2"/>
                <w:sz w:val="20"/>
              </w:rPr>
              <w:t>128</w:t>
            </w:r>
          </w:p>
        </w:tc>
        <w:tc>
          <w:tcPr>
            <w:tcW w:w="246" w:type="pct"/>
            <w:tcBorders>
              <w:top w:val="single" w:sz="4" w:space="0" w:color="4F81BD" w:themeColor="accent1"/>
              <w:bottom w:val="nil"/>
            </w:tcBorders>
            <w:shd w:val="clear" w:color="auto" w:fill="auto"/>
            <w:noWrap/>
            <w:vAlign w:val="center"/>
          </w:tcPr>
          <w:p w:rsidR="0037178D" w:rsidRPr="00F61D72" w:rsidRDefault="0037178D" w:rsidP="000010B6">
            <w:pPr>
              <w:jc w:val="center"/>
              <w:rPr>
                <w:rFonts w:cs="Arial"/>
                <w:b/>
                <w:color w:val="1F497D" w:themeColor="text2"/>
                <w:sz w:val="20"/>
              </w:rPr>
            </w:pPr>
            <w:r w:rsidRPr="00F61D72">
              <w:rPr>
                <w:rFonts w:cs="Arial"/>
                <w:b/>
                <w:color w:val="1F497D" w:themeColor="text2"/>
                <w:sz w:val="20"/>
              </w:rPr>
              <w:t>123</w:t>
            </w:r>
          </w:p>
        </w:tc>
        <w:tc>
          <w:tcPr>
            <w:tcW w:w="247" w:type="pct"/>
            <w:tcBorders>
              <w:top w:val="single" w:sz="4" w:space="0" w:color="4F81BD" w:themeColor="accent1"/>
              <w:bottom w:val="nil"/>
            </w:tcBorders>
            <w:shd w:val="clear" w:color="auto" w:fill="auto"/>
            <w:noWrap/>
            <w:vAlign w:val="center"/>
          </w:tcPr>
          <w:p w:rsidR="0037178D" w:rsidRPr="00F61D72" w:rsidRDefault="0037178D" w:rsidP="000010B6">
            <w:pPr>
              <w:jc w:val="center"/>
              <w:rPr>
                <w:rFonts w:cs="Arial"/>
                <w:b/>
                <w:color w:val="1F497D" w:themeColor="text2"/>
                <w:sz w:val="20"/>
              </w:rPr>
            </w:pPr>
            <w:r w:rsidRPr="00F61D72">
              <w:rPr>
                <w:rFonts w:cs="Arial"/>
                <w:b/>
                <w:color w:val="1F497D" w:themeColor="text2"/>
                <w:sz w:val="20"/>
              </w:rPr>
              <w:t>140</w:t>
            </w:r>
          </w:p>
        </w:tc>
        <w:tc>
          <w:tcPr>
            <w:tcW w:w="246" w:type="pct"/>
            <w:tcBorders>
              <w:top w:val="single" w:sz="4" w:space="0" w:color="4F81BD" w:themeColor="accent1"/>
              <w:bottom w:val="nil"/>
            </w:tcBorders>
            <w:shd w:val="clear" w:color="auto" w:fill="auto"/>
            <w:noWrap/>
            <w:vAlign w:val="center"/>
          </w:tcPr>
          <w:p w:rsidR="0037178D" w:rsidRPr="00F61D72" w:rsidRDefault="0037178D" w:rsidP="000010B6">
            <w:pPr>
              <w:jc w:val="center"/>
              <w:rPr>
                <w:rFonts w:cs="Arial"/>
                <w:b/>
                <w:color w:val="1F497D" w:themeColor="text2"/>
                <w:sz w:val="20"/>
              </w:rPr>
            </w:pPr>
            <w:r w:rsidRPr="00F61D72">
              <w:rPr>
                <w:rFonts w:cs="Arial"/>
                <w:b/>
                <w:color w:val="1F497D" w:themeColor="text2"/>
                <w:sz w:val="20"/>
              </w:rPr>
              <w:t>129</w:t>
            </w:r>
          </w:p>
        </w:tc>
        <w:tc>
          <w:tcPr>
            <w:tcW w:w="246" w:type="pct"/>
            <w:tcBorders>
              <w:top w:val="single" w:sz="4" w:space="0" w:color="4F81BD" w:themeColor="accent1"/>
              <w:bottom w:val="nil"/>
            </w:tcBorders>
            <w:shd w:val="clear" w:color="auto" w:fill="auto"/>
            <w:noWrap/>
            <w:vAlign w:val="center"/>
          </w:tcPr>
          <w:p w:rsidR="0037178D" w:rsidRPr="00F61D72" w:rsidRDefault="0037178D" w:rsidP="000010B6">
            <w:pPr>
              <w:jc w:val="center"/>
              <w:rPr>
                <w:rFonts w:cs="Arial"/>
                <w:b/>
                <w:color w:val="1F497D" w:themeColor="text2"/>
                <w:sz w:val="20"/>
              </w:rPr>
            </w:pPr>
            <w:r w:rsidRPr="00F61D72">
              <w:rPr>
                <w:rFonts w:cs="Arial"/>
                <w:b/>
                <w:color w:val="1F497D" w:themeColor="text2"/>
                <w:sz w:val="20"/>
              </w:rPr>
              <w:t>142</w:t>
            </w:r>
          </w:p>
        </w:tc>
        <w:tc>
          <w:tcPr>
            <w:tcW w:w="246" w:type="pct"/>
            <w:tcBorders>
              <w:top w:val="single" w:sz="4" w:space="0" w:color="4F81BD" w:themeColor="accent1"/>
              <w:bottom w:val="nil"/>
            </w:tcBorders>
            <w:shd w:val="clear" w:color="auto" w:fill="auto"/>
            <w:noWrap/>
            <w:vAlign w:val="center"/>
          </w:tcPr>
          <w:p w:rsidR="0037178D" w:rsidRPr="00F61D72" w:rsidRDefault="0037178D" w:rsidP="000010B6">
            <w:pPr>
              <w:jc w:val="center"/>
              <w:rPr>
                <w:rFonts w:cs="Arial"/>
                <w:b/>
                <w:color w:val="1F497D" w:themeColor="text2"/>
                <w:sz w:val="20"/>
              </w:rPr>
            </w:pPr>
            <w:r w:rsidRPr="00F61D72">
              <w:rPr>
                <w:rFonts w:cs="Arial"/>
                <w:b/>
                <w:color w:val="1F497D" w:themeColor="text2"/>
                <w:sz w:val="20"/>
              </w:rPr>
              <w:t>146</w:t>
            </w:r>
          </w:p>
        </w:tc>
        <w:tc>
          <w:tcPr>
            <w:tcW w:w="247" w:type="pct"/>
            <w:tcBorders>
              <w:top w:val="single" w:sz="4" w:space="0" w:color="4F81BD" w:themeColor="accent1"/>
              <w:bottom w:val="nil"/>
            </w:tcBorders>
            <w:shd w:val="clear" w:color="auto" w:fill="auto"/>
            <w:noWrap/>
            <w:vAlign w:val="center"/>
          </w:tcPr>
          <w:p w:rsidR="0037178D" w:rsidRPr="00F61D72" w:rsidRDefault="0037178D" w:rsidP="000010B6">
            <w:pPr>
              <w:jc w:val="center"/>
              <w:rPr>
                <w:rFonts w:cs="Arial"/>
                <w:b/>
                <w:color w:val="1F497D" w:themeColor="text2"/>
                <w:sz w:val="20"/>
              </w:rPr>
            </w:pPr>
            <w:r w:rsidRPr="00F61D72">
              <w:rPr>
                <w:rFonts w:cs="Arial"/>
                <w:b/>
                <w:color w:val="1F497D" w:themeColor="text2"/>
                <w:sz w:val="20"/>
              </w:rPr>
              <w:t>147</w:t>
            </w:r>
          </w:p>
        </w:tc>
        <w:tc>
          <w:tcPr>
            <w:tcW w:w="246" w:type="pct"/>
            <w:tcBorders>
              <w:top w:val="single" w:sz="4" w:space="0" w:color="4F81BD" w:themeColor="accent1"/>
              <w:bottom w:val="nil"/>
            </w:tcBorders>
            <w:shd w:val="clear" w:color="auto" w:fill="auto"/>
            <w:noWrap/>
            <w:vAlign w:val="center"/>
          </w:tcPr>
          <w:p w:rsidR="0037178D" w:rsidRPr="00F61D72" w:rsidRDefault="0037178D" w:rsidP="000010B6">
            <w:pPr>
              <w:jc w:val="center"/>
              <w:rPr>
                <w:rFonts w:cs="Arial"/>
                <w:b/>
                <w:color w:val="1F497D" w:themeColor="text2"/>
                <w:sz w:val="20"/>
              </w:rPr>
            </w:pPr>
            <w:r w:rsidRPr="00F61D72">
              <w:rPr>
                <w:rFonts w:cs="Arial"/>
                <w:b/>
                <w:color w:val="1F497D" w:themeColor="text2"/>
                <w:sz w:val="20"/>
              </w:rPr>
              <w:t>126</w:t>
            </w:r>
          </w:p>
        </w:tc>
        <w:tc>
          <w:tcPr>
            <w:tcW w:w="246" w:type="pct"/>
            <w:tcBorders>
              <w:top w:val="single" w:sz="4" w:space="0" w:color="4F81BD" w:themeColor="accent1"/>
              <w:bottom w:val="nil"/>
            </w:tcBorders>
            <w:shd w:val="clear" w:color="auto" w:fill="auto"/>
            <w:noWrap/>
            <w:vAlign w:val="center"/>
          </w:tcPr>
          <w:p w:rsidR="0037178D" w:rsidRPr="00F61D72" w:rsidRDefault="0037178D" w:rsidP="000010B6">
            <w:pPr>
              <w:jc w:val="center"/>
              <w:rPr>
                <w:rFonts w:cs="Arial"/>
                <w:b/>
                <w:color w:val="1F497D" w:themeColor="text2"/>
                <w:sz w:val="20"/>
              </w:rPr>
            </w:pPr>
            <w:r w:rsidRPr="00F61D72">
              <w:rPr>
                <w:rFonts w:cs="Arial"/>
                <w:b/>
                <w:color w:val="1F497D" w:themeColor="text2"/>
                <w:sz w:val="20"/>
              </w:rPr>
              <w:t>150</w:t>
            </w:r>
          </w:p>
        </w:tc>
        <w:tc>
          <w:tcPr>
            <w:tcW w:w="246" w:type="pct"/>
            <w:tcBorders>
              <w:top w:val="single" w:sz="4" w:space="0" w:color="4F81BD" w:themeColor="accent1"/>
              <w:bottom w:val="nil"/>
            </w:tcBorders>
            <w:shd w:val="clear" w:color="auto" w:fill="auto"/>
            <w:noWrap/>
            <w:vAlign w:val="center"/>
          </w:tcPr>
          <w:p w:rsidR="0037178D" w:rsidRPr="00F61D72" w:rsidRDefault="0037178D" w:rsidP="000010B6">
            <w:pPr>
              <w:jc w:val="center"/>
              <w:rPr>
                <w:rFonts w:cs="Arial"/>
                <w:b/>
                <w:color w:val="1F497D" w:themeColor="text2"/>
                <w:sz w:val="20"/>
              </w:rPr>
            </w:pPr>
            <w:r w:rsidRPr="00F61D72">
              <w:rPr>
                <w:rFonts w:cs="Arial"/>
                <w:b/>
                <w:color w:val="1F497D" w:themeColor="text2"/>
                <w:sz w:val="20"/>
              </w:rPr>
              <w:t>190</w:t>
            </w:r>
          </w:p>
        </w:tc>
        <w:tc>
          <w:tcPr>
            <w:tcW w:w="247" w:type="pct"/>
            <w:tcBorders>
              <w:top w:val="single" w:sz="4" w:space="0" w:color="4F81BD" w:themeColor="accent1"/>
              <w:bottom w:val="nil"/>
              <w:right w:val="single" w:sz="4" w:space="0" w:color="4F81BD" w:themeColor="accent1"/>
            </w:tcBorders>
            <w:shd w:val="clear" w:color="auto" w:fill="auto"/>
            <w:noWrap/>
            <w:vAlign w:val="center"/>
          </w:tcPr>
          <w:p w:rsidR="0037178D" w:rsidRPr="00F61D72" w:rsidRDefault="0037178D" w:rsidP="000010B6">
            <w:pPr>
              <w:jc w:val="center"/>
              <w:rPr>
                <w:rFonts w:cs="Arial"/>
                <w:b/>
                <w:color w:val="1F497D" w:themeColor="text2"/>
                <w:sz w:val="20"/>
              </w:rPr>
            </w:pPr>
            <w:r w:rsidRPr="00F61D72">
              <w:rPr>
                <w:rFonts w:cs="Arial"/>
                <w:b/>
                <w:color w:val="1F497D" w:themeColor="text2"/>
                <w:sz w:val="20"/>
              </w:rPr>
              <w:t>148</w:t>
            </w:r>
          </w:p>
        </w:tc>
        <w:tc>
          <w:tcPr>
            <w:tcW w:w="341" w:type="pct"/>
            <w:tcBorders>
              <w:top w:val="single" w:sz="4" w:space="0" w:color="4F81BD" w:themeColor="accent1"/>
              <w:left w:val="single" w:sz="4" w:space="0" w:color="4F81BD" w:themeColor="accent1"/>
              <w:bottom w:val="nil"/>
            </w:tcBorders>
            <w:shd w:val="clear" w:color="auto" w:fill="auto"/>
            <w:noWrap/>
            <w:vAlign w:val="center"/>
          </w:tcPr>
          <w:p w:rsidR="0037178D" w:rsidRPr="00F61D72" w:rsidRDefault="0037178D" w:rsidP="000010B6">
            <w:pPr>
              <w:jc w:val="center"/>
              <w:rPr>
                <w:rFonts w:cs="Arial"/>
                <w:b/>
                <w:bCs/>
                <w:color w:val="1F497D" w:themeColor="text2"/>
                <w:sz w:val="20"/>
                <w:lang w:bidi="bn-IN"/>
              </w:rPr>
            </w:pPr>
            <w:r w:rsidRPr="00F61D72">
              <w:rPr>
                <w:rFonts w:cs="Arial"/>
                <w:b/>
                <w:bCs/>
                <w:color w:val="1F497D" w:themeColor="text2"/>
                <w:sz w:val="20"/>
                <w:lang w:bidi="bn-IN"/>
              </w:rPr>
              <w:t>1696</w:t>
            </w:r>
          </w:p>
        </w:tc>
        <w:tc>
          <w:tcPr>
            <w:tcW w:w="267" w:type="pct"/>
            <w:tcBorders>
              <w:top w:val="single" w:sz="4" w:space="0" w:color="4F81BD" w:themeColor="accent1"/>
              <w:bottom w:val="nil"/>
            </w:tcBorders>
            <w:shd w:val="clear" w:color="auto" w:fill="auto"/>
            <w:noWrap/>
            <w:vAlign w:val="center"/>
          </w:tcPr>
          <w:p w:rsidR="0037178D" w:rsidRPr="00F61D72" w:rsidRDefault="0037178D" w:rsidP="000010B6">
            <w:pPr>
              <w:jc w:val="center"/>
              <w:rPr>
                <w:rFonts w:cs="Arial"/>
                <w:b/>
                <w:bCs/>
                <w:color w:val="1F497D" w:themeColor="text2"/>
                <w:sz w:val="20"/>
                <w:lang w:bidi="bn-IN"/>
              </w:rPr>
            </w:pPr>
            <w:r w:rsidRPr="00F61D72">
              <w:rPr>
                <w:rFonts w:cs="Arial"/>
                <w:b/>
                <w:bCs/>
                <w:color w:val="1F497D" w:themeColor="text2"/>
                <w:sz w:val="20"/>
                <w:lang w:bidi="bn-IN"/>
              </w:rPr>
              <w:t>141</w:t>
            </w:r>
          </w:p>
        </w:tc>
        <w:tc>
          <w:tcPr>
            <w:tcW w:w="448" w:type="pct"/>
            <w:tcBorders>
              <w:top w:val="single" w:sz="4" w:space="0" w:color="4F81BD" w:themeColor="accent1"/>
              <w:bottom w:val="nil"/>
            </w:tcBorders>
            <w:shd w:val="clear" w:color="auto" w:fill="auto"/>
            <w:noWrap/>
            <w:vAlign w:val="center"/>
          </w:tcPr>
          <w:p w:rsidR="0037178D" w:rsidRPr="00F61D72" w:rsidRDefault="0037178D" w:rsidP="000010B6">
            <w:pPr>
              <w:jc w:val="center"/>
              <w:rPr>
                <w:rFonts w:cs="Arial"/>
                <w:b/>
                <w:bCs/>
                <w:color w:val="1F497D" w:themeColor="text2"/>
                <w:sz w:val="20"/>
                <w:lang w:bidi="bn-IN"/>
              </w:rPr>
            </w:pPr>
            <w:r w:rsidRPr="00F61D72">
              <w:rPr>
                <w:rFonts w:cs="Arial"/>
                <w:b/>
                <w:bCs/>
                <w:color w:val="1F497D" w:themeColor="text2"/>
                <w:sz w:val="20"/>
                <w:lang w:bidi="bn-IN"/>
              </w:rPr>
              <w:t>73%</w:t>
            </w:r>
          </w:p>
        </w:tc>
      </w:tr>
      <w:tr w:rsidR="0037178D" w:rsidRPr="00855BF5" w:rsidTr="00256D37">
        <w:trPr>
          <w:trHeight w:val="351"/>
        </w:trPr>
        <w:tc>
          <w:tcPr>
            <w:tcW w:w="987" w:type="pct"/>
            <w:tcBorders>
              <w:top w:val="nil"/>
              <w:left w:val="single" w:sz="4" w:space="0" w:color="4F81BD" w:themeColor="accent1"/>
              <w:bottom w:val="dotted" w:sz="4" w:space="0" w:color="4F81BD" w:themeColor="accent1"/>
              <w:right w:val="single" w:sz="4" w:space="0" w:color="4F81BD" w:themeColor="accent1"/>
            </w:tcBorders>
            <w:shd w:val="clear" w:color="auto" w:fill="auto"/>
            <w:noWrap/>
            <w:vAlign w:val="center"/>
            <w:hideMark/>
          </w:tcPr>
          <w:p w:rsidR="0037178D" w:rsidRPr="00BD3584" w:rsidRDefault="0037178D" w:rsidP="000010B6">
            <w:pPr>
              <w:rPr>
                <w:rFonts w:cs="Arial"/>
                <w:i/>
                <w:color w:val="1F497D" w:themeColor="text2"/>
                <w:sz w:val="20"/>
              </w:rPr>
            </w:pPr>
            <w:r>
              <w:rPr>
                <w:rFonts w:cs="Arial"/>
                <w:i/>
                <w:color w:val="1F497D" w:themeColor="text2"/>
                <w:sz w:val="20"/>
              </w:rPr>
              <w:t xml:space="preserve">                          </w:t>
            </w:r>
            <w:r w:rsidRPr="00BD3584">
              <w:rPr>
                <w:rFonts w:cs="Arial"/>
                <w:i/>
                <w:color w:val="1F497D" w:themeColor="text2"/>
                <w:sz w:val="20"/>
              </w:rPr>
              <w:t>(%)</w:t>
            </w:r>
          </w:p>
        </w:tc>
        <w:tc>
          <w:tcPr>
            <w:tcW w:w="246" w:type="pct"/>
            <w:tcBorders>
              <w:top w:val="nil"/>
              <w:left w:val="single" w:sz="4" w:space="0" w:color="4F81BD" w:themeColor="accent1"/>
              <w:bottom w:val="dotted" w:sz="4" w:space="0" w:color="4F81BD" w:themeColor="accent1"/>
            </w:tcBorders>
            <w:shd w:val="clear" w:color="auto" w:fill="auto"/>
            <w:noWrap/>
            <w:vAlign w:val="center"/>
            <w:hideMark/>
          </w:tcPr>
          <w:p w:rsidR="0037178D" w:rsidRPr="00F61D72" w:rsidRDefault="0037178D" w:rsidP="000010B6">
            <w:pPr>
              <w:jc w:val="center"/>
              <w:rPr>
                <w:rFonts w:cs="Arial"/>
                <w:color w:val="1F497D" w:themeColor="text2"/>
                <w:sz w:val="20"/>
              </w:rPr>
            </w:pPr>
            <w:r w:rsidRPr="00F61D72">
              <w:rPr>
                <w:rFonts w:cs="Arial"/>
                <w:color w:val="1F497D" w:themeColor="text2"/>
                <w:sz w:val="20"/>
              </w:rPr>
              <w:t>74%</w:t>
            </w:r>
          </w:p>
        </w:tc>
        <w:tc>
          <w:tcPr>
            <w:tcW w:w="246" w:type="pct"/>
            <w:tcBorders>
              <w:top w:val="nil"/>
              <w:bottom w:val="dotted" w:sz="4" w:space="0" w:color="4F81BD" w:themeColor="accent1"/>
            </w:tcBorders>
            <w:shd w:val="clear" w:color="auto" w:fill="auto"/>
            <w:noWrap/>
            <w:vAlign w:val="center"/>
            <w:hideMark/>
          </w:tcPr>
          <w:p w:rsidR="0037178D" w:rsidRPr="00F61D72" w:rsidRDefault="0037178D" w:rsidP="000010B6">
            <w:pPr>
              <w:jc w:val="center"/>
              <w:rPr>
                <w:rFonts w:cs="Arial"/>
                <w:color w:val="1F497D" w:themeColor="text2"/>
                <w:sz w:val="20"/>
              </w:rPr>
            </w:pPr>
            <w:r w:rsidRPr="00F61D72">
              <w:rPr>
                <w:rFonts w:cs="Arial"/>
                <w:color w:val="1F497D" w:themeColor="text2"/>
                <w:sz w:val="20"/>
              </w:rPr>
              <w:t>72%</w:t>
            </w:r>
          </w:p>
        </w:tc>
        <w:tc>
          <w:tcPr>
            <w:tcW w:w="246" w:type="pct"/>
            <w:tcBorders>
              <w:top w:val="nil"/>
              <w:bottom w:val="dotted" w:sz="4" w:space="0" w:color="4F81BD" w:themeColor="accent1"/>
            </w:tcBorders>
            <w:shd w:val="clear" w:color="auto" w:fill="auto"/>
            <w:noWrap/>
            <w:vAlign w:val="center"/>
            <w:hideMark/>
          </w:tcPr>
          <w:p w:rsidR="0037178D" w:rsidRPr="00F61D72" w:rsidRDefault="0037178D" w:rsidP="000010B6">
            <w:pPr>
              <w:jc w:val="center"/>
              <w:rPr>
                <w:rFonts w:cs="Arial"/>
                <w:color w:val="1F497D" w:themeColor="text2"/>
                <w:sz w:val="20"/>
              </w:rPr>
            </w:pPr>
            <w:r w:rsidRPr="00F61D72">
              <w:rPr>
                <w:rFonts w:cs="Arial"/>
                <w:color w:val="1F497D" w:themeColor="text2"/>
                <w:sz w:val="20"/>
              </w:rPr>
              <w:t>69%</w:t>
            </w:r>
          </w:p>
        </w:tc>
        <w:tc>
          <w:tcPr>
            <w:tcW w:w="247" w:type="pct"/>
            <w:tcBorders>
              <w:top w:val="nil"/>
              <w:bottom w:val="dotted" w:sz="4" w:space="0" w:color="4F81BD" w:themeColor="accent1"/>
            </w:tcBorders>
            <w:shd w:val="clear" w:color="auto" w:fill="auto"/>
            <w:noWrap/>
            <w:vAlign w:val="center"/>
            <w:hideMark/>
          </w:tcPr>
          <w:p w:rsidR="0037178D" w:rsidRPr="00F61D72" w:rsidRDefault="0037178D" w:rsidP="000010B6">
            <w:pPr>
              <w:jc w:val="center"/>
              <w:rPr>
                <w:rFonts w:cs="Arial"/>
                <w:color w:val="1F497D" w:themeColor="text2"/>
                <w:sz w:val="20"/>
              </w:rPr>
            </w:pPr>
            <w:r w:rsidRPr="00F61D72">
              <w:rPr>
                <w:rFonts w:cs="Arial"/>
                <w:color w:val="1F497D" w:themeColor="text2"/>
                <w:sz w:val="20"/>
              </w:rPr>
              <w:t>66%</w:t>
            </w:r>
          </w:p>
        </w:tc>
        <w:tc>
          <w:tcPr>
            <w:tcW w:w="246" w:type="pct"/>
            <w:tcBorders>
              <w:top w:val="nil"/>
              <w:bottom w:val="dotted" w:sz="4" w:space="0" w:color="4F81BD" w:themeColor="accent1"/>
            </w:tcBorders>
            <w:shd w:val="clear" w:color="auto" w:fill="auto"/>
            <w:noWrap/>
            <w:vAlign w:val="center"/>
            <w:hideMark/>
          </w:tcPr>
          <w:p w:rsidR="0037178D" w:rsidRPr="00F61D72" w:rsidRDefault="0037178D" w:rsidP="000010B6">
            <w:pPr>
              <w:jc w:val="center"/>
              <w:rPr>
                <w:rFonts w:cs="Arial"/>
                <w:color w:val="1F497D" w:themeColor="text2"/>
                <w:sz w:val="20"/>
              </w:rPr>
            </w:pPr>
            <w:r w:rsidRPr="00F61D72">
              <w:rPr>
                <w:rFonts w:cs="Arial"/>
                <w:color w:val="1F497D" w:themeColor="text2"/>
                <w:sz w:val="20"/>
              </w:rPr>
              <w:t>76%</w:t>
            </w:r>
          </w:p>
        </w:tc>
        <w:tc>
          <w:tcPr>
            <w:tcW w:w="246" w:type="pct"/>
            <w:tcBorders>
              <w:top w:val="nil"/>
              <w:bottom w:val="dotted" w:sz="4" w:space="0" w:color="4F81BD" w:themeColor="accent1"/>
            </w:tcBorders>
            <w:shd w:val="clear" w:color="auto" w:fill="auto"/>
            <w:noWrap/>
            <w:vAlign w:val="center"/>
            <w:hideMark/>
          </w:tcPr>
          <w:p w:rsidR="0037178D" w:rsidRPr="00F61D72" w:rsidRDefault="0037178D" w:rsidP="000010B6">
            <w:pPr>
              <w:jc w:val="center"/>
              <w:rPr>
                <w:rFonts w:cs="Arial"/>
                <w:color w:val="1F497D" w:themeColor="text2"/>
                <w:sz w:val="20"/>
              </w:rPr>
            </w:pPr>
            <w:r w:rsidRPr="00F61D72">
              <w:rPr>
                <w:rFonts w:cs="Arial"/>
                <w:color w:val="1F497D" w:themeColor="text2"/>
                <w:sz w:val="20"/>
              </w:rPr>
              <w:t>74%</w:t>
            </w:r>
          </w:p>
        </w:tc>
        <w:tc>
          <w:tcPr>
            <w:tcW w:w="246" w:type="pct"/>
            <w:tcBorders>
              <w:top w:val="nil"/>
              <w:bottom w:val="dotted" w:sz="4" w:space="0" w:color="4F81BD" w:themeColor="accent1"/>
            </w:tcBorders>
            <w:shd w:val="clear" w:color="auto" w:fill="auto"/>
            <w:noWrap/>
            <w:vAlign w:val="center"/>
            <w:hideMark/>
          </w:tcPr>
          <w:p w:rsidR="0037178D" w:rsidRPr="00F61D72" w:rsidRDefault="0037178D" w:rsidP="000010B6">
            <w:pPr>
              <w:jc w:val="center"/>
              <w:rPr>
                <w:rFonts w:cs="Arial"/>
                <w:color w:val="1F497D" w:themeColor="text2"/>
                <w:sz w:val="20"/>
              </w:rPr>
            </w:pPr>
            <w:r w:rsidRPr="00F61D72">
              <w:rPr>
                <w:rFonts w:cs="Arial"/>
                <w:color w:val="1F497D" w:themeColor="text2"/>
                <w:sz w:val="20"/>
              </w:rPr>
              <w:t>69%</w:t>
            </w:r>
          </w:p>
        </w:tc>
        <w:tc>
          <w:tcPr>
            <w:tcW w:w="247" w:type="pct"/>
            <w:tcBorders>
              <w:top w:val="nil"/>
              <w:bottom w:val="dotted" w:sz="4" w:space="0" w:color="4F81BD" w:themeColor="accent1"/>
            </w:tcBorders>
            <w:shd w:val="clear" w:color="auto" w:fill="auto"/>
            <w:noWrap/>
            <w:vAlign w:val="center"/>
            <w:hideMark/>
          </w:tcPr>
          <w:p w:rsidR="0037178D" w:rsidRPr="00F61D72" w:rsidRDefault="0037178D" w:rsidP="000010B6">
            <w:pPr>
              <w:jc w:val="center"/>
              <w:rPr>
                <w:rFonts w:cs="Arial"/>
                <w:color w:val="1F497D" w:themeColor="text2"/>
                <w:sz w:val="20"/>
              </w:rPr>
            </w:pPr>
            <w:r w:rsidRPr="00F61D72">
              <w:rPr>
                <w:rFonts w:cs="Arial"/>
                <w:color w:val="1F497D" w:themeColor="text2"/>
                <w:sz w:val="20"/>
              </w:rPr>
              <w:t>76%</w:t>
            </w:r>
          </w:p>
        </w:tc>
        <w:tc>
          <w:tcPr>
            <w:tcW w:w="246" w:type="pct"/>
            <w:tcBorders>
              <w:top w:val="nil"/>
              <w:bottom w:val="dotted" w:sz="4" w:space="0" w:color="4F81BD" w:themeColor="accent1"/>
            </w:tcBorders>
            <w:shd w:val="clear" w:color="auto" w:fill="auto"/>
            <w:noWrap/>
            <w:vAlign w:val="center"/>
            <w:hideMark/>
          </w:tcPr>
          <w:p w:rsidR="0037178D" w:rsidRPr="00F61D72" w:rsidRDefault="0037178D" w:rsidP="000010B6">
            <w:pPr>
              <w:jc w:val="center"/>
              <w:rPr>
                <w:rFonts w:cs="Arial"/>
                <w:color w:val="1F497D" w:themeColor="text2"/>
                <w:sz w:val="20"/>
              </w:rPr>
            </w:pPr>
            <w:r w:rsidRPr="00F61D72">
              <w:rPr>
                <w:rFonts w:cs="Arial"/>
                <w:color w:val="1F497D" w:themeColor="text2"/>
                <w:sz w:val="20"/>
              </w:rPr>
              <w:t>72%</w:t>
            </w:r>
          </w:p>
        </w:tc>
        <w:tc>
          <w:tcPr>
            <w:tcW w:w="246" w:type="pct"/>
            <w:tcBorders>
              <w:top w:val="nil"/>
              <w:bottom w:val="dotted" w:sz="4" w:space="0" w:color="4F81BD" w:themeColor="accent1"/>
            </w:tcBorders>
            <w:shd w:val="clear" w:color="auto" w:fill="auto"/>
            <w:noWrap/>
            <w:vAlign w:val="center"/>
            <w:hideMark/>
          </w:tcPr>
          <w:p w:rsidR="0037178D" w:rsidRPr="00F61D72" w:rsidRDefault="0037178D" w:rsidP="000010B6">
            <w:pPr>
              <w:jc w:val="center"/>
              <w:rPr>
                <w:rFonts w:cs="Arial"/>
                <w:color w:val="1F497D" w:themeColor="text2"/>
                <w:sz w:val="20"/>
              </w:rPr>
            </w:pPr>
            <w:r w:rsidRPr="00F61D72">
              <w:rPr>
                <w:rFonts w:cs="Arial"/>
                <w:color w:val="1F497D" w:themeColor="text2"/>
                <w:sz w:val="20"/>
              </w:rPr>
              <w:t>75%</w:t>
            </w:r>
          </w:p>
        </w:tc>
        <w:tc>
          <w:tcPr>
            <w:tcW w:w="246" w:type="pct"/>
            <w:tcBorders>
              <w:top w:val="nil"/>
              <w:bottom w:val="dotted" w:sz="4" w:space="0" w:color="4F81BD" w:themeColor="accent1"/>
            </w:tcBorders>
            <w:shd w:val="clear" w:color="auto" w:fill="auto"/>
            <w:noWrap/>
            <w:vAlign w:val="center"/>
            <w:hideMark/>
          </w:tcPr>
          <w:p w:rsidR="0037178D" w:rsidRPr="00F61D72" w:rsidRDefault="0037178D" w:rsidP="000010B6">
            <w:pPr>
              <w:jc w:val="center"/>
              <w:rPr>
                <w:rFonts w:cs="Arial"/>
                <w:color w:val="1F497D" w:themeColor="text2"/>
                <w:sz w:val="20"/>
              </w:rPr>
            </w:pPr>
            <w:r w:rsidRPr="00F61D72">
              <w:rPr>
                <w:rFonts w:cs="Arial"/>
                <w:color w:val="1F497D" w:themeColor="text2"/>
                <w:sz w:val="20"/>
              </w:rPr>
              <w:t>76%</w:t>
            </w:r>
          </w:p>
        </w:tc>
        <w:tc>
          <w:tcPr>
            <w:tcW w:w="247" w:type="pct"/>
            <w:tcBorders>
              <w:top w:val="nil"/>
              <w:bottom w:val="dotted" w:sz="4" w:space="0" w:color="4F81BD" w:themeColor="accent1"/>
              <w:right w:val="single" w:sz="4" w:space="0" w:color="4F81BD" w:themeColor="accent1"/>
            </w:tcBorders>
            <w:shd w:val="clear" w:color="auto" w:fill="auto"/>
            <w:noWrap/>
            <w:vAlign w:val="center"/>
            <w:hideMark/>
          </w:tcPr>
          <w:p w:rsidR="0037178D" w:rsidRPr="00F61D72" w:rsidRDefault="0037178D" w:rsidP="000010B6">
            <w:pPr>
              <w:jc w:val="center"/>
              <w:rPr>
                <w:rFonts w:cs="Arial"/>
                <w:color w:val="1F497D" w:themeColor="text2"/>
                <w:sz w:val="20"/>
              </w:rPr>
            </w:pPr>
            <w:r w:rsidRPr="00F61D72">
              <w:rPr>
                <w:rFonts w:cs="Arial"/>
                <w:color w:val="1F497D" w:themeColor="text2"/>
                <w:sz w:val="20"/>
              </w:rPr>
              <w:t>78%</w:t>
            </w:r>
          </w:p>
        </w:tc>
        <w:tc>
          <w:tcPr>
            <w:tcW w:w="341" w:type="pct"/>
            <w:tcBorders>
              <w:top w:val="nil"/>
              <w:left w:val="single" w:sz="4" w:space="0" w:color="4F81BD" w:themeColor="accent1"/>
              <w:bottom w:val="dotted" w:sz="4" w:space="0" w:color="4F81BD" w:themeColor="accent1"/>
            </w:tcBorders>
            <w:shd w:val="clear" w:color="auto" w:fill="auto"/>
            <w:noWrap/>
            <w:vAlign w:val="center"/>
            <w:hideMark/>
          </w:tcPr>
          <w:p w:rsidR="0037178D" w:rsidRPr="00F61D72" w:rsidRDefault="0037178D" w:rsidP="000010B6">
            <w:pPr>
              <w:jc w:val="center"/>
              <w:rPr>
                <w:rFonts w:cs="Arial"/>
                <w:i/>
                <w:color w:val="1F497D" w:themeColor="text2"/>
                <w:sz w:val="20"/>
                <w:lang w:bidi="bn-IN"/>
              </w:rPr>
            </w:pPr>
            <w:r w:rsidRPr="00F61D72">
              <w:rPr>
                <w:rFonts w:cs="Arial"/>
                <w:i/>
                <w:color w:val="1F497D" w:themeColor="text2"/>
                <w:sz w:val="20"/>
                <w:lang w:bidi="bn-IN"/>
              </w:rPr>
              <w:t>73%</w:t>
            </w:r>
          </w:p>
        </w:tc>
        <w:tc>
          <w:tcPr>
            <w:tcW w:w="267" w:type="pct"/>
            <w:tcBorders>
              <w:top w:val="nil"/>
              <w:bottom w:val="dotted" w:sz="4" w:space="0" w:color="4F81BD" w:themeColor="accent1"/>
            </w:tcBorders>
            <w:shd w:val="clear" w:color="auto" w:fill="D9D9D9" w:themeFill="background1" w:themeFillShade="D9"/>
            <w:noWrap/>
            <w:vAlign w:val="center"/>
            <w:hideMark/>
          </w:tcPr>
          <w:p w:rsidR="0037178D" w:rsidRPr="00F61D72" w:rsidRDefault="0037178D" w:rsidP="000010B6">
            <w:pPr>
              <w:jc w:val="center"/>
              <w:rPr>
                <w:rFonts w:cs="Arial"/>
                <w:color w:val="1F497D" w:themeColor="text2"/>
                <w:sz w:val="20"/>
                <w:lang w:bidi="bn-IN"/>
              </w:rPr>
            </w:pPr>
            <w:r w:rsidRPr="00F61D72">
              <w:rPr>
                <w:rFonts w:cs="Arial"/>
                <w:color w:val="1F497D" w:themeColor="text2"/>
                <w:sz w:val="20"/>
                <w:lang w:bidi="bn-IN"/>
              </w:rPr>
              <w:t> </w:t>
            </w:r>
          </w:p>
        </w:tc>
        <w:tc>
          <w:tcPr>
            <w:tcW w:w="448" w:type="pct"/>
            <w:tcBorders>
              <w:top w:val="nil"/>
              <w:bottom w:val="dotted" w:sz="4" w:space="0" w:color="4F81BD" w:themeColor="accent1"/>
            </w:tcBorders>
            <w:shd w:val="clear" w:color="auto" w:fill="D9D9D9" w:themeFill="background1" w:themeFillShade="D9"/>
            <w:noWrap/>
            <w:vAlign w:val="center"/>
            <w:hideMark/>
          </w:tcPr>
          <w:p w:rsidR="0037178D" w:rsidRPr="00F61D72" w:rsidRDefault="0037178D" w:rsidP="000010B6">
            <w:pPr>
              <w:jc w:val="center"/>
              <w:rPr>
                <w:rFonts w:cs="Arial"/>
                <w:b/>
                <w:bCs/>
                <w:color w:val="1F497D" w:themeColor="text2"/>
                <w:sz w:val="20"/>
                <w:lang w:bidi="bn-IN"/>
              </w:rPr>
            </w:pPr>
            <w:r w:rsidRPr="00F61D72">
              <w:rPr>
                <w:rFonts w:cs="Arial"/>
                <w:b/>
                <w:bCs/>
                <w:color w:val="1F497D" w:themeColor="text2"/>
                <w:sz w:val="20"/>
                <w:lang w:bidi="bn-IN"/>
              </w:rPr>
              <w:t> </w:t>
            </w:r>
          </w:p>
        </w:tc>
      </w:tr>
      <w:tr w:rsidR="0037178D" w:rsidRPr="00855BF5" w:rsidTr="00256D37">
        <w:trPr>
          <w:trHeight w:val="351"/>
        </w:trPr>
        <w:tc>
          <w:tcPr>
            <w:tcW w:w="987" w:type="pct"/>
            <w:tcBorders>
              <w:top w:val="dotted"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hideMark/>
          </w:tcPr>
          <w:p w:rsidR="0037178D" w:rsidRPr="00176A24" w:rsidRDefault="0037178D" w:rsidP="000010B6">
            <w:pPr>
              <w:rPr>
                <w:rFonts w:cs="Arial"/>
                <w:color w:val="1F497D" w:themeColor="text2"/>
                <w:sz w:val="18"/>
                <w:szCs w:val="18"/>
              </w:rPr>
            </w:pPr>
            <w:r w:rsidRPr="00176A24">
              <w:rPr>
                <w:rFonts w:cs="Arial"/>
                <w:color w:val="1F497D" w:themeColor="text2"/>
                <w:sz w:val="18"/>
                <w:szCs w:val="18"/>
              </w:rPr>
              <w:t>Non-Major Incidents (#)</w:t>
            </w:r>
          </w:p>
        </w:tc>
        <w:tc>
          <w:tcPr>
            <w:tcW w:w="246" w:type="pct"/>
            <w:tcBorders>
              <w:top w:val="dotted" w:sz="4" w:space="0" w:color="4F81BD" w:themeColor="accent1"/>
              <w:left w:val="single" w:sz="4" w:space="0" w:color="4F81BD" w:themeColor="accent1"/>
              <w:bottom w:val="single" w:sz="4" w:space="0" w:color="4F81BD" w:themeColor="accent1"/>
            </w:tcBorders>
            <w:shd w:val="clear" w:color="auto" w:fill="auto"/>
            <w:noWrap/>
            <w:vAlign w:val="center"/>
            <w:hideMark/>
          </w:tcPr>
          <w:p w:rsidR="0037178D" w:rsidRPr="00F61D72" w:rsidRDefault="0037178D" w:rsidP="000010B6">
            <w:pPr>
              <w:jc w:val="center"/>
              <w:rPr>
                <w:rFonts w:cs="Arial"/>
                <w:b/>
                <w:color w:val="1F497D" w:themeColor="text2"/>
                <w:sz w:val="20"/>
              </w:rPr>
            </w:pPr>
            <w:r w:rsidRPr="00F61D72">
              <w:rPr>
                <w:rFonts w:cs="Arial"/>
                <w:b/>
                <w:color w:val="1F497D" w:themeColor="text2"/>
                <w:sz w:val="20"/>
              </w:rPr>
              <w:t>45</w:t>
            </w:r>
          </w:p>
        </w:tc>
        <w:tc>
          <w:tcPr>
            <w:tcW w:w="246" w:type="pct"/>
            <w:tcBorders>
              <w:top w:val="dotted" w:sz="4" w:space="0" w:color="4F81BD" w:themeColor="accent1"/>
              <w:bottom w:val="single" w:sz="4" w:space="0" w:color="4F81BD" w:themeColor="accent1"/>
            </w:tcBorders>
            <w:shd w:val="clear" w:color="auto" w:fill="auto"/>
            <w:noWrap/>
            <w:vAlign w:val="center"/>
            <w:hideMark/>
          </w:tcPr>
          <w:p w:rsidR="0037178D" w:rsidRPr="00F61D72" w:rsidRDefault="0037178D" w:rsidP="000010B6">
            <w:pPr>
              <w:jc w:val="center"/>
              <w:rPr>
                <w:rFonts w:cs="Arial"/>
                <w:b/>
                <w:color w:val="1F497D" w:themeColor="text2"/>
                <w:sz w:val="20"/>
              </w:rPr>
            </w:pPr>
            <w:r w:rsidRPr="00F61D72">
              <w:rPr>
                <w:rFonts w:cs="Arial"/>
                <w:b/>
                <w:color w:val="1F497D" w:themeColor="text2"/>
                <w:sz w:val="20"/>
              </w:rPr>
              <w:t>50</w:t>
            </w:r>
          </w:p>
        </w:tc>
        <w:tc>
          <w:tcPr>
            <w:tcW w:w="246" w:type="pct"/>
            <w:tcBorders>
              <w:top w:val="dotted" w:sz="4" w:space="0" w:color="4F81BD" w:themeColor="accent1"/>
              <w:bottom w:val="single" w:sz="4" w:space="0" w:color="4F81BD" w:themeColor="accent1"/>
            </w:tcBorders>
            <w:shd w:val="clear" w:color="auto" w:fill="auto"/>
            <w:noWrap/>
            <w:vAlign w:val="center"/>
            <w:hideMark/>
          </w:tcPr>
          <w:p w:rsidR="0037178D" w:rsidRPr="00F61D72" w:rsidRDefault="0037178D" w:rsidP="000010B6">
            <w:pPr>
              <w:jc w:val="center"/>
              <w:rPr>
                <w:rFonts w:cs="Arial"/>
                <w:b/>
                <w:color w:val="1F497D" w:themeColor="text2"/>
                <w:sz w:val="20"/>
              </w:rPr>
            </w:pPr>
            <w:r w:rsidRPr="00F61D72">
              <w:rPr>
                <w:rFonts w:cs="Arial"/>
                <w:b/>
                <w:color w:val="1F497D" w:themeColor="text2"/>
                <w:sz w:val="20"/>
              </w:rPr>
              <w:t>56</w:t>
            </w:r>
          </w:p>
        </w:tc>
        <w:tc>
          <w:tcPr>
            <w:tcW w:w="247" w:type="pct"/>
            <w:tcBorders>
              <w:top w:val="dotted" w:sz="4" w:space="0" w:color="4F81BD" w:themeColor="accent1"/>
              <w:bottom w:val="single" w:sz="4" w:space="0" w:color="4F81BD" w:themeColor="accent1"/>
            </w:tcBorders>
            <w:shd w:val="clear" w:color="auto" w:fill="auto"/>
            <w:noWrap/>
            <w:vAlign w:val="center"/>
            <w:hideMark/>
          </w:tcPr>
          <w:p w:rsidR="0037178D" w:rsidRPr="00F61D72" w:rsidRDefault="0037178D" w:rsidP="000010B6">
            <w:pPr>
              <w:jc w:val="center"/>
              <w:rPr>
                <w:rFonts w:cs="Arial"/>
                <w:b/>
                <w:color w:val="1F497D" w:themeColor="text2"/>
                <w:sz w:val="20"/>
              </w:rPr>
            </w:pPr>
            <w:r w:rsidRPr="00F61D72">
              <w:rPr>
                <w:rFonts w:cs="Arial"/>
                <w:b/>
                <w:color w:val="1F497D" w:themeColor="text2"/>
                <w:sz w:val="20"/>
              </w:rPr>
              <w:t>73</w:t>
            </w:r>
          </w:p>
        </w:tc>
        <w:tc>
          <w:tcPr>
            <w:tcW w:w="246" w:type="pct"/>
            <w:tcBorders>
              <w:top w:val="dotted" w:sz="4" w:space="0" w:color="4F81BD" w:themeColor="accent1"/>
              <w:bottom w:val="single" w:sz="4" w:space="0" w:color="4F81BD" w:themeColor="accent1"/>
            </w:tcBorders>
            <w:shd w:val="clear" w:color="auto" w:fill="auto"/>
            <w:noWrap/>
            <w:vAlign w:val="center"/>
            <w:hideMark/>
          </w:tcPr>
          <w:p w:rsidR="0037178D" w:rsidRPr="00F61D72" w:rsidRDefault="0037178D" w:rsidP="000010B6">
            <w:pPr>
              <w:jc w:val="center"/>
              <w:rPr>
                <w:rFonts w:cs="Arial"/>
                <w:b/>
                <w:color w:val="1F497D" w:themeColor="text2"/>
                <w:sz w:val="20"/>
              </w:rPr>
            </w:pPr>
            <w:r w:rsidRPr="00F61D72">
              <w:rPr>
                <w:rFonts w:cs="Arial"/>
                <w:b/>
                <w:color w:val="1F497D" w:themeColor="text2"/>
                <w:sz w:val="20"/>
              </w:rPr>
              <w:t>40</w:t>
            </w:r>
          </w:p>
        </w:tc>
        <w:tc>
          <w:tcPr>
            <w:tcW w:w="246" w:type="pct"/>
            <w:tcBorders>
              <w:top w:val="dotted" w:sz="4" w:space="0" w:color="4F81BD" w:themeColor="accent1"/>
              <w:bottom w:val="single" w:sz="4" w:space="0" w:color="4F81BD" w:themeColor="accent1"/>
            </w:tcBorders>
            <w:shd w:val="clear" w:color="auto" w:fill="auto"/>
            <w:noWrap/>
            <w:vAlign w:val="center"/>
            <w:hideMark/>
          </w:tcPr>
          <w:p w:rsidR="0037178D" w:rsidRPr="00F61D72" w:rsidRDefault="0037178D" w:rsidP="000010B6">
            <w:pPr>
              <w:jc w:val="center"/>
              <w:rPr>
                <w:rFonts w:cs="Arial"/>
                <w:b/>
                <w:color w:val="1F497D" w:themeColor="text2"/>
                <w:sz w:val="20"/>
              </w:rPr>
            </w:pPr>
            <w:r w:rsidRPr="00F61D72">
              <w:rPr>
                <w:rFonts w:cs="Arial"/>
                <w:b/>
                <w:color w:val="1F497D" w:themeColor="text2"/>
                <w:sz w:val="20"/>
              </w:rPr>
              <w:t>50</w:t>
            </w:r>
          </w:p>
        </w:tc>
        <w:tc>
          <w:tcPr>
            <w:tcW w:w="246" w:type="pct"/>
            <w:tcBorders>
              <w:top w:val="dotted" w:sz="4" w:space="0" w:color="4F81BD" w:themeColor="accent1"/>
              <w:bottom w:val="single" w:sz="4" w:space="0" w:color="4F81BD" w:themeColor="accent1"/>
            </w:tcBorders>
            <w:shd w:val="clear" w:color="auto" w:fill="auto"/>
            <w:noWrap/>
            <w:vAlign w:val="center"/>
            <w:hideMark/>
          </w:tcPr>
          <w:p w:rsidR="0037178D" w:rsidRPr="00F61D72" w:rsidRDefault="0037178D" w:rsidP="000010B6">
            <w:pPr>
              <w:jc w:val="center"/>
              <w:rPr>
                <w:rFonts w:cs="Arial"/>
                <w:b/>
                <w:color w:val="1F497D" w:themeColor="text2"/>
                <w:sz w:val="20"/>
              </w:rPr>
            </w:pPr>
            <w:r w:rsidRPr="00F61D72">
              <w:rPr>
                <w:rFonts w:cs="Arial"/>
                <w:b/>
                <w:color w:val="1F497D" w:themeColor="text2"/>
                <w:sz w:val="20"/>
              </w:rPr>
              <w:t>67</w:t>
            </w:r>
          </w:p>
        </w:tc>
        <w:tc>
          <w:tcPr>
            <w:tcW w:w="247" w:type="pct"/>
            <w:tcBorders>
              <w:top w:val="dotted" w:sz="4" w:space="0" w:color="4F81BD" w:themeColor="accent1"/>
              <w:bottom w:val="single" w:sz="4" w:space="0" w:color="4F81BD" w:themeColor="accent1"/>
            </w:tcBorders>
            <w:shd w:val="clear" w:color="auto" w:fill="auto"/>
            <w:noWrap/>
            <w:vAlign w:val="center"/>
            <w:hideMark/>
          </w:tcPr>
          <w:p w:rsidR="0037178D" w:rsidRPr="00F61D72" w:rsidRDefault="0037178D" w:rsidP="000010B6">
            <w:pPr>
              <w:jc w:val="center"/>
              <w:rPr>
                <w:rFonts w:cs="Arial"/>
                <w:b/>
                <w:color w:val="1F497D" w:themeColor="text2"/>
                <w:sz w:val="20"/>
              </w:rPr>
            </w:pPr>
            <w:r w:rsidRPr="00F61D72">
              <w:rPr>
                <w:rFonts w:cs="Arial"/>
                <w:b/>
                <w:color w:val="1F497D" w:themeColor="text2"/>
                <w:sz w:val="20"/>
              </w:rPr>
              <w:t>46</w:t>
            </w:r>
          </w:p>
        </w:tc>
        <w:tc>
          <w:tcPr>
            <w:tcW w:w="246" w:type="pct"/>
            <w:tcBorders>
              <w:top w:val="dotted" w:sz="4" w:space="0" w:color="4F81BD" w:themeColor="accent1"/>
              <w:bottom w:val="single" w:sz="4" w:space="0" w:color="4F81BD" w:themeColor="accent1"/>
            </w:tcBorders>
            <w:shd w:val="clear" w:color="auto" w:fill="auto"/>
            <w:noWrap/>
            <w:vAlign w:val="center"/>
            <w:hideMark/>
          </w:tcPr>
          <w:p w:rsidR="0037178D" w:rsidRPr="00F61D72" w:rsidRDefault="0037178D" w:rsidP="000010B6">
            <w:pPr>
              <w:jc w:val="center"/>
              <w:rPr>
                <w:rFonts w:cs="Arial"/>
                <w:b/>
                <w:color w:val="1F497D" w:themeColor="text2"/>
                <w:sz w:val="20"/>
              </w:rPr>
            </w:pPr>
            <w:r w:rsidRPr="00F61D72">
              <w:rPr>
                <w:rFonts w:cs="Arial"/>
                <w:b/>
                <w:color w:val="1F497D" w:themeColor="text2"/>
                <w:sz w:val="20"/>
              </w:rPr>
              <w:t>48</w:t>
            </w:r>
          </w:p>
        </w:tc>
        <w:tc>
          <w:tcPr>
            <w:tcW w:w="246" w:type="pct"/>
            <w:tcBorders>
              <w:top w:val="dotted" w:sz="4" w:space="0" w:color="4F81BD" w:themeColor="accent1"/>
              <w:bottom w:val="single" w:sz="4" w:space="0" w:color="4F81BD" w:themeColor="accent1"/>
            </w:tcBorders>
            <w:shd w:val="clear" w:color="auto" w:fill="auto"/>
            <w:noWrap/>
            <w:vAlign w:val="center"/>
            <w:hideMark/>
          </w:tcPr>
          <w:p w:rsidR="0037178D" w:rsidRPr="00F61D72" w:rsidRDefault="0037178D" w:rsidP="000010B6">
            <w:pPr>
              <w:jc w:val="center"/>
              <w:rPr>
                <w:rFonts w:cs="Arial"/>
                <w:b/>
                <w:color w:val="1F497D" w:themeColor="text2"/>
                <w:sz w:val="20"/>
              </w:rPr>
            </w:pPr>
            <w:r w:rsidRPr="00F61D72">
              <w:rPr>
                <w:rFonts w:cs="Arial"/>
                <w:b/>
                <w:color w:val="1F497D" w:themeColor="text2"/>
                <w:sz w:val="20"/>
              </w:rPr>
              <w:t>49</w:t>
            </w:r>
          </w:p>
        </w:tc>
        <w:tc>
          <w:tcPr>
            <w:tcW w:w="246" w:type="pct"/>
            <w:tcBorders>
              <w:top w:val="dotted" w:sz="4" w:space="0" w:color="4F81BD" w:themeColor="accent1"/>
              <w:bottom w:val="single" w:sz="4" w:space="0" w:color="4F81BD" w:themeColor="accent1"/>
            </w:tcBorders>
            <w:shd w:val="clear" w:color="auto" w:fill="auto"/>
            <w:noWrap/>
            <w:vAlign w:val="center"/>
            <w:hideMark/>
          </w:tcPr>
          <w:p w:rsidR="0037178D" w:rsidRPr="00F61D72" w:rsidRDefault="0037178D" w:rsidP="000010B6">
            <w:pPr>
              <w:jc w:val="center"/>
              <w:rPr>
                <w:rFonts w:cs="Arial"/>
                <w:b/>
                <w:color w:val="1F497D" w:themeColor="text2"/>
                <w:sz w:val="20"/>
              </w:rPr>
            </w:pPr>
            <w:r w:rsidRPr="00F61D72">
              <w:rPr>
                <w:rFonts w:cs="Arial"/>
                <w:b/>
                <w:color w:val="1F497D" w:themeColor="text2"/>
                <w:sz w:val="20"/>
              </w:rPr>
              <w:t>59</w:t>
            </w:r>
          </w:p>
        </w:tc>
        <w:tc>
          <w:tcPr>
            <w:tcW w:w="247" w:type="pct"/>
            <w:tcBorders>
              <w:top w:val="dotted" w:sz="4" w:space="0" w:color="4F81BD" w:themeColor="accent1"/>
              <w:bottom w:val="single" w:sz="4" w:space="0" w:color="4F81BD" w:themeColor="accent1"/>
              <w:right w:val="single" w:sz="4" w:space="0" w:color="4F81BD" w:themeColor="accent1"/>
            </w:tcBorders>
            <w:shd w:val="clear" w:color="auto" w:fill="auto"/>
            <w:noWrap/>
            <w:vAlign w:val="center"/>
            <w:hideMark/>
          </w:tcPr>
          <w:p w:rsidR="0037178D" w:rsidRPr="00F61D72" w:rsidRDefault="0037178D" w:rsidP="000010B6">
            <w:pPr>
              <w:jc w:val="center"/>
              <w:rPr>
                <w:rFonts w:cs="Arial"/>
                <w:b/>
                <w:color w:val="1F497D" w:themeColor="text2"/>
                <w:sz w:val="20"/>
              </w:rPr>
            </w:pPr>
            <w:r w:rsidRPr="00F61D72">
              <w:rPr>
                <w:rFonts w:cs="Arial"/>
                <w:b/>
                <w:color w:val="1F497D" w:themeColor="text2"/>
                <w:sz w:val="20"/>
              </w:rPr>
              <w:t>42</w:t>
            </w:r>
          </w:p>
        </w:tc>
        <w:tc>
          <w:tcPr>
            <w:tcW w:w="341" w:type="pct"/>
            <w:tcBorders>
              <w:top w:val="dotted" w:sz="4" w:space="0" w:color="4F81BD" w:themeColor="accent1"/>
              <w:left w:val="single" w:sz="4" w:space="0" w:color="4F81BD" w:themeColor="accent1"/>
              <w:bottom w:val="single" w:sz="4" w:space="0" w:color="4F81BD" w:themeColor="accent1"/>
            </w:tcBorders>
            <w:shd w:val="clear" w:color="auto" w:fill="auto"/>
            <w:noWrap/>
            <w:vAlign w:val="center"/>
            <w:hideMark/>
          </w:tcPr>
          <w:p w:rsidR="0037178D" w:rsidRPr="00F61D72" w:rsidRDefault="0037178D" w:rsidP="000010B6">
            <w:pPr>
              <w:jc w:val="center"/>
              <w:rPr>
                <w:rFonts w:cs="Arial"/>
                <w:b/>
                <w:bCs/>
                <w:color w:val="1F497D" w:themeColor="text2"/>
                <w:sz w:val="20"/>
                <w:lang w:bidi="bn-IN"/>
              </w:rPr>
            </w:pPr>
            <w:r w:rsidRPr="00F61D72">
              <w:rPr>
                <w:rFonts w:cs="Arial"/>
                <w:b/>
                <w:bCs/>
                <w:color w:val="1F497D" w:themeColor="text2"/>
                <w:sz w:val="20"/>
                <w:lang w:bidi="bn-IN"/>
              </w:rPr>
              <w:t>625</w:t>
            </w:r>
          </w:p>
        </w:tc>
        <w:tc>
          <w:tcPr>
            <w:tcW w:w="267" w:type="pct"/>
            <w:tcBorders>
              <w:top w:val="dotted" w:sz="4" w:space="0" w:color="4F81BD" w:themeColor="accent1"/>
              <w:bottom w:val="single" w:sz="4" w:space="0" w:color="4F81BD" w:themeColor="accent1"/>
            </w:tcBorders>
            <w:shd w:val="clear" w:color="auto" w:fill="auto"/>
            <w:noWrap/>
            <w:vAlign w:val="center"/>
            <w:hideMark/>
          </w:tcPr>
          <w:p w:rsidR="0037178D" w:rsidRPr="00F61D72" w:rsidRDefault="0037178D" w:rsidP="000010B6">
            <w:pPr>
              <w:jc w:val="center"/>
              <w:rPr>
                <w:rFonts w:cs="Arial"/>
                <w:b/>
                <w:bCs/>
                <w:color w:val="1F497D" w:themeColor="text2"/>
                <w:sz w:val="20"/>
                <w:lang w:bidi="bn-IN"/>
              </w:rPr>
            </w:pPr>
            <w:r w:rsidRPr="00F61D72">
              <w:rPr>
                <w:rFonts w:cs="Arial"/>
                <w:b/>
                <w:bCs/>
                <w:color w:val="1F497D" w:themeColor="text2"/>
                <w:sz w:val="20"/>
                <w:lang w:bidi="bn-IN"/>
              </w:rPr>
              <w:t>52</w:t>
            </w:r>
          </w:p>
        </w:tc>
        <w:tc>
          <w:tcPr>
            <w:tcW w:w="448" w:type="pct"/>
            <w:tcBorders>
              <w:top w:val="dotted" w:sz="4" w:space="0" w:color="4F81BD" w:themeColor="accent1"/>
              <w:bottom w:val="single" w:sz="4" w:space="0" w:color="4F81BD" w:themeColor="accent1"/>
            </w:tcBorders>
            <w:shd w:val="clear" w:color="auto" w:fill="auto"/>
            <w:noWrap/>
            <w:vAlign w:val="center"/>
            <w:hideMark/>
          </w:tcPr>
          <w:p w:rsidR="0037178D" w:rsidRPr="00F61D72" w:rsidRDefault="0037178D" w:rsidP="000010B6">
            <w:pPr>
              <w:jc w:val="center"/>
              <w:rPr>
                <w:rFonts w:cs="Arial"/>
                <w:b/>
                <w:bCs/>
                <w:color w:val="1F497D" w:themeColor="text2"/>
                <w:sz w:val="20"/>
                <w:lang w:bidi="bn-IN"/>
              </w:rPr>
            </w:pPr>
            <w:r w:rsidRPr="00F61D72">
              <w:rPr>
                <w:rFonts w:cs="Arial"/>
                <w:b/>
                <w:bCs/>
                <w:color w:val="1F497D" w:themeColor="text2"/>
                <w:sz w:val="20"/>
                <w:lang w:bidi="bn-IN"/>
              </w:rPr>
              <w:t>27%</w:t>
            </w:r>
          </w:p>
        </w:tc>
      </w:tr>
    </w:tbl>
    <w:p w:rsidR="0037178D" w:rsidRDefault="0037178D" w:rsidP="0037178D">
      <w:pPr>
        <w:pStyle w:val="KeyFindings"/>
      </w:pPr>
      <w:r>
        <w:t>All incidents are coded for their severity level by the Risk Manage</w:t>
      </w:r>
      <w:r w:rsidR="00E74B72">
        <w:t>ment Office</w:t>
      </w:r>
      <w:r>
        <w:t xml:space="preserve"> based on the Hospital’s</w:t>
      </w:r>
      <w:r w:rsidR="00405FE8">
        <w:t xml:space="preserve"> policy</w:t>
      </w:r>
      <w:r>
        <w:t xml:space="preserve">.  A majority of UIs reported during FY14 were coded as low (36%) or medium (46%) in severity and </w:t>
      </w:r>
      <w:r w:rsidR="00C27527">
        <w:t>the other</w:t>
      </w:r>
      <w:r>
        <w:t xml:space="preserve"> 18% were considered high severity.</w:t>
      </w:r>
    </w:p>
    <w:p w:rsidR="0037178D" w:rsidRDefault="0037178D" w:rsidP="0037178D">
      <w:pPr>
        <w:pStyle w:val="KeyFindings"/>
        <w:rPr>
          <w:rStyle w:val="FigureChar"/>
        </w:rPr>
      </w:pPr>
      <w:r>
        <w:t>Both the number</w:t>
      </w:r>
      <w:r w:rsidR="00C27527">
        <w:t xml:space="preserve"> and the percentage of</w:t>
      </w:r>
      <w:r>
        <w:t xml:space="preserve"> high severity incidents </w:t>
      </w:r>
      <w:r w:rsidR="00C27527">
        <w:t xml:space="preserve">declined </w:t>
      </w:r>
      <w:r w:rsidR="00E74B72">
        <w:t xml:space="preserve">through FY13 but </w:t>
      </w:r>
      <w:r w:rsidR="00C27527">
        <w:t xml:space="preserve">the trend was reversed in FY14: the average number of </w:t>
      </w:r>
      <w:r>
        <w:t xml:space="preserve">high </w:t>
      </w:r>
      <w:r w:rsidR="00C27527">
        <w:t xml:space="preserve">severity incidents </w:t>
      </w:r>
      <w:r w:rsidR="00F87F3B">
        <w:t>during FY14 was</w:t>
      </w:r>
      <w:r>
        <w:t xml:space="preserve"> 35</w:t>
      </w:r>
      <w:r w:rsidR="00BA1A0A">
        <w:t xml:space="preserve"> per month</w:t>
      </w:r>
      <w:r>
        <w:t xml:space="preserve">, which </w:t>
      </w:r>
      <w:r w:rsidR="00F87F3B">
        <w:t>i</w:t>
      </w:r>
      <w:r>
        <w:t xml:space="preserve">s </w:t>
      </w:r>
      <w:r w:rsidR="00F87F3B">
        <w:t>a</w:t>
      </w:r>
      <w:r w:rsidR="00BA1A0A">
        <w:t xml:space="preserve"> considerable</w:t>
      </w:r>
      <w:r w:rsidR="00F87F3B">
        <w:t xml:space="preserve"> increase from </w:t>
      </w:r>
      <w:r w:rsidR="002C7C61">
        <w:t xml:space="preserve">the average of </w:t>
      </w:r>
      <w:r w:rsidR="00F87F3B">
        <w:t>19</w:t>
      </w:r>
      <w:r w:rsidR="009659C3">
        <w:t xml:space="preserve"> </w:t>
      </w:r>
      <w:r w:rsidR="00BA1A0A">
        <w:t xml:space="preserve">per month </w:t>
      </w:r>
      <w:r>
        <w:t xml:space="preserve">in FY13.  </w:t>
      </w:r>
      <w:r w:rsidR="00794B62">
        <w:t>A</w:t>
      </w:r>
      <w:r w:rsidR="002C7C61">
        <w:t>dditionally</w:t>
      </w:r>
      <w:r w:rsidR="00BA1A0A">
        <w:t>,</w:t>
      </w:r>
      <w:r w:rsidR="002C7C61">
        <w:t xml:space="preserve"> </w:t>
      </w:r>
      <w:r w:rsidR="00BA1A0A">
        <w:t xml:space="preserve">a total of </w:t>
      </w:r>
      <w:r>
        <w:t xml:space="preserve">two </w:t>
      </w:r>
      <w:r w:rsidR="002C7C61">
        <w:t>incidents</w:t>
      </w:r>
      <w:r>
        <w:t xml:space="preserve"> </w:t>
      </w:r>
      <w:r w:rsidR="00BA1A0A">
        <w:t xml:space="preserve">were </w:t>
      </w:r>
      <w:r>
        <w:t>considered to be catastrophic</w:t>
      </w:r>
      <w:r>
        <w:rPr>
          <w:rStyle w:val="FootnoteReference"/>
        </w:rPr>
        <w:footnoteReference w:id="26"/>
      </w:r>
      <w:r>
        <w:t xml:space="preserve"> </w:t>
      </w:r>
      <w:r w:rsidR="00794B62">
        <w:t>during</w:t>
      </w:r>
      <w:r w:rsidR="00BA1A0A">
        <w:t xml:space="preserve"> </w:t>
      </w:r>
      <w:r w:rsidR="00794B62">
        <w:t>FY14</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7"/>
        <w:gridCol w:w="5279"/>
      </w:tblGrid>
      <w:tr w:rsidR="0037178D" w:rsidTr="003D789E">
        <w:trPr>
          <w:trHeight w:val="4598"/>
        </w:trPr>
        <w:tc>
          <w:tcPr>
            <w:tcW w:w="5173" w:type="dxa"/>
          </w:tcPr>
          <w:p w:rsidR="0037178D" w:rsidRDefault="0037178D" w:rsidP="00C71501">
            <w:pPr>
              <w:spacing w:before="120"/>
              <w:ind w:left="720" w:hanging="720"/>
              <w:rPr>
                <w:rStyle w:val="FigureChar"/>
              </w:rPr>
            </w:pPr>
            <w:bookmarkStart w:id="313" w:name="_Toc386095101"/>
            <w:bookmarkStart w:id="314" w:name="_Toc416357926"/>
            <w:r w:rsidRPr="00546B65">
              <w:rPr>
                <w:rStyle w:val="FigureChar"/>
              </w:rPr>
              <w:t xml:space="preserve">Figure </w:t>
            </w:r>
            <w:r w:rsidRPr="00546B65">
              <w:rPr>
                <w:rStyle w:val="FigureChar"/>
              </w:rPr>
              <w:fldChar w:fldCharType="begin"/>
            </w:r>
            <w:r w:rsidRPr="00546B65">
              <w:rPr>
                <w:rStyle w:val="FigureChar"/>
              </w:rPr>
              <w:instrText xml:space="preserve"> SEQ Figure \* ARABIC </w:instrText>
            </w:r>
            <w:r w:rsidRPr="00546B65">
              <w:rPr>
                <w:rStyle w:val="FigureChar"/>
              </w:rPr>
              <w:fldChar w:fldCharType="separate"/>
            </w:r>
            <w:r w:rsidR="007E3DB6">
              <w:rPr>
                <w:rStyle w:val="FigureChar"/>
                <w:noProof/>
              </w:rPr>
              <w:t>41</w:t>
            </w:r>
            <w:r w:rsidRPr="00546B65">
              <w:rPr>
                <w:rStyle w:val="FigureChar"/>
              </w:rPr>
              <w:fldChar w:fldCharType="end"/>
            </w:r>
            <w:r w:rsidRPr="00546B65">
              <w:rPr>
                <w:rStyle w:val="FigureChar"/>
              </w:rPr>
              <w:t xml:space="preserve">. </w:t>
            </w:r>
            <w:r w:rsidR="00C71501">
              <w:rPr>
                <w:rStyle w:val="FigureChar"/>
              </w:rPr>
              <w:t xml:space="preserve">Percentage of </w:t>
            </w:r>
            <w:r>
              <w:rPr>
                <w:rStyle w:val="FigureChar"/>
              </w:rPr>
              <w:t>Major UIs vs</w:t>
            </w:r>
            <w:r w:rsidR="00C71501">
              <w:rPr>
                <w:rStyle w:val="FigureChar"/>
              </w:rPr>
              <w:t>.</w:t>
            </w:r>
            <w:r>
              <w:rPr>
                <w:rStyle w:val="FigureChar"/>
              </w:rPr>
              <w:t xml:space="preserve"> Non-Major UIs (FY11 ~ FY14)</w:t>
            </w:r>
            <w:bookmarkEnd w:id="313"/>
            <w:bookmarkEnd w:id="314"/>
            <w:r>
              <w:rPr>
                <w:rStyle w:val="FigureChar"/>
              </w:rPr>
              <w:t xml:space="preserve">                       </w:t>
            </w:r>
            <w:r w:rsidRPr="00C71501">
              <w:rPr>
                <w:rStyle w:val="FigureChar"/>
              </w:rPr>
              <w:t xml:space="preserve"> </w:t>
            </w:r>
          </w:p>
          <w:p w:rsidR="0037178D" w:rsidRDefault="0037178D" w:rsidP="000010B6">
            <w:pPr>
              <w:rPr>
                <w:rStyle w:val="FigureChar"/>
              </w:rPr>
            </w:pPr>
            <w:r>
              <w:rPr>
                <w:noProof/>
              </w:rPr>
              <w:drawing>
                <wp:inline distT="0" distB="0" distL="0" distR="0" wp14:anchorId="6378B108" wp14:editId="282C7E89">
                  <wp:extent cx="3143250" cy="2886075"/>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c>
          <w:tcPr>
            <w:tcW w:w="5123" w:type="dxa"/>
          </w:tcPr>
          <w:p w:rsidR="0037178D" w:rsidRDefault="0037178D" w:rsidP="000010B6">
            <w:pPr>
              <w:spacing w:before="120"/>
              <w:ind w:left="720" w:hanging="720"/>
              <w:rPr>
                <w:rStyle w:val="FigureChar"/>
              </w:rPr>
            </w:pPr>
            <w:bookmarkStart w:id="315" w:name="_Toc386095102"/>
            <w:bookmarkStart w:id="316" w:name="_Toc416357927"/>
            <w:r w:rsidRPr="00546B65">
              <w:rPr>
                <w:rStyle w:val="FigureChar"/>
              </w:rPr>
              <w:t xml:space="preserve">Figure </w:t>
            </w:r>
            <w:r w:rsidRPr="00546B65">
              <w:rPr>
                <w:rStyle w:val="FigureChar"/>
              </w:rPr>
              <w:fldChar w:fldCharType="begin"/>
            </w:r>
            <w:r w:rsidRPr="00546B65">
              <w:rPr>
                <w:rStyle w:val="FigureChar"/>
              </w:rPr>
              <w:instrText xml:space="preserve"> SEQ Figure \* ARABIC </w:instrText>
            </w:r>
            <w:r w:rsidRPr="00546B65">
              <w:rPr>
                <w:rStyle w:val="FigureChar"/>
              </w:rPr>
              <w:fldChar w:fldCharType="separate"/>
            </w:r>
            <w:r w:rsidR="007E3DB6">
              <w:rPr>
                <w:rStyle w:val="FigureChar"/>
                <w:noProof/>
              </w:rPr>
              <w:t>42</w:t>
            </w:r>
            <w:r w:rsidRPr="00546B65">
              <w:rPr>
                <w:rStyle w:val="FigureChar"/>
              </w:rPr>
              <w:fldChar w:fldCharType="end"/>
            </w:r>
            <w:r w:rsidRPr="00546B65">
              <w:rPr>
                <w:rStyle w:val="FigureChar"/>
              </w:rPr>
              <w:t xml:space="preserve">. </w:t>
            </w:r>
            <w:r>
              <w:rPr>
                <w:rStyle w:val="FigureChar"/>
              </w:rPr>
              <w:t>Monthly Average Number of UIs by Severity (FY11 ~ FY14)</w:t>
            </w:r>
            <w:bookmarkEnd w:id="315"/>
            <w:bookmarkEnd w:id="316"/>
          </w:p>
          <w:p w:rsidR="0037178D" w:rsidRDefault="003D789E" w:rsidP="000010B6">
            <w:pPr>
              <w:rPr>
                <w:rStyle w:val="FigureChar"/>
              </w:rPr>
            </w:pPr>
            <w:r>
              <w:rPr>
                <w:noProof/>
              </w:rPr>
              <w:drawing>
                <wp:inline distT="0" distB="0" distL="0" distR="0" wp14:anchorId="4DFF268F" wp14:editId="50771F27">
                  <wp:extent cx="3314700" cy="272415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r>
    </w:tbl>
    <w:p w:rsidR="00D52D7C" w:rsidRPr="00C73DCE" w:rsidRDefault="00D52D7C" w:rsidP="003F18B1">
      <w:pPr>
        <w:pStyle w:val="Heading2"/>
      </w:pPr>
      <w:bookmarkStart w:id="317" w:name="_Toc384134377"/>
      <w:bookmarkStart w:id="318" w:name="_Toc416357881"/>
      <w:bookmarkStart w:id="319" w:name="_Toc281982817"/>
      <w:bookmarkEnd w:id="309"/>
      <w:bookmarkEnd w:id="310"/>
      <w:r>
        <w:t xml:space="preserve">Physical Assaults and </w:t>
      </w:r>
      <w:r w:rsidRPr="00C73DCE">
        <w:t>Violence Related UIs</w:t>
      </w:r>
      <w:bookmarkEnd w:id="317"/>
      <w:bookmarkEnd w:id="318"/>
    </w:p>
    <w:p w:rsidR="00DB708A" w:rsidRDefault="00A321F4" w:rsidP="00A80446">
      <w:pPr>
        <w:pStyle w:val="KeyFindings"/>
      </w:pPr>
      <w:bookmarkStart w:id="320" w:name="_Toc384134378"/>
      <w:r>
        <w:t>Of the 2321 UIs reported d</w:t>
      </w:r>
      <w:r w:rsidR="00304CF6">
        <w:t xml:space="preserve">uring FY14, </w:t>
      </w:r>
      <w:r w:rsidR="006611CA">
        <w:t>1383</w:t>
      </w:r>
      <w:r>
        <w:t xml:space="preserve"> (1</w:t>
      </w:r>
      <w:r w:rsidR="006611CA">
        <w:t>15 per month) or 60</w:t>
      </w:r>
      <w:r>
        <w:t xml:space="preserve">% are those </w:t>
      </w:r>
      <w:r w:rsidR="005515A0">
        <w:t xml:space="preserve">related to some type of violence, </w:t>
      </w:r>
      <w:r w:rsidR="00D34D48">
        <w:t xml:space="preserve">which we define to include </w:t>
      </w:r>
      <w:r w:rsidR="005515A0">
        <w:t>aggressive behavior, physical/sexual assault, property destruction, psychiatric emergency, seclusion/restraint event, self-injurious behavior, or suicide attempt/gesture</w:t>
      </w:r>
      <w:r>
        <w:t xml:space="preserve">.  </w:t>
      </w:r>
      <w:r w:rsidR="00D34D48">
        <w:t xml:space="preserve">Both the number and the </w:t>
      </w:r>
      <w:r w:rsidR="0072004B">
        <w:t>proportion of violence related UIs</w:t>
      </w:r>
      <w:r w:rsidR="00D34D48">
        <w:t xml:space="preserve"> among all UIs </w:t>
      </w:r>
      <w:r w:rsidR="0072004B">
        <w:t xml:space="preserve">increased </w:t>
      </w:r>
      <w:r w:rsidR="005A3153">
        <w:t xml:space="preserve">gradually over the past </w:t>
      </w:r>
      <w:r w:rsidR="00CF7942">
        <w:t>three</w:t>
      </w:r>
      <w:r w:rsidR="005A3153">
        <w:t xml:space="preserve"> years</w:t>
      </w:r>
      <w:r w:rsidR="00B00E8D">
        <w:rPr>
          <w:rStyle w:val="FootnoteReference"/>
        </w:rPr>
        <w:footnoteReference w:id="27"/>
      </w:r>
      <w:bookmarkEnd w:id="320"/>
      <w:r w:rsidR="00965674">
        <w:t>:</w:t>
      </w:r>
      <w:r w:rsidR="005A3153">
        <w:t xml:space="preserve"> </w:t>
      </w:r>
      <w:r w:rsidR="00965674">
        <w:t>i</w:t>
      </w:r>
      <w:r w:rsidR="005A3153">
        <w:t>n FY1</w:t>
      </w:r>
      <w:r w:rsidR="00CF7942">
        <w:t>2</w:t>
      </w:r>
      <w:r w:rsidR="005A3153">
        <w:t>, 4</w:t>
      </w:r>
      <w:r w:rsidR="00CF7942">
        <w:t>4</w:t>
      </w:r>
      <w:r w:rsidR="00D34D48">
        <w:t xml:space="preserve">% of UIs were violence related </w:t>
      </w:r>
      <w:r w:rsidR="00CF7942">
        <w:t>UIs and 52</w:t>
      </w:r>
      <w:r w:rsidR="005A3153">
        <w:t>% in FY13.</w:t>
      </w:r>
      <w:r w:rsidR="00225230">
        <w:t xml:space="preserve">  </w:t>
      </w:r>
      <w:r w:rsidR="00965674">
        <w:t>T</w:t>
      </w:r>
      <w:r w:rsidR="00225230">
        <w:t>he recent increase of violence related incidents</w:t>
      </w:r>
      <w:r w:rsidR="00965674">
        <w:t>,</w:t>
      </w:r>
      <w:r w:rsidR="00225230">
        <w:t xml:space="preserve"> </w:t>
      </w:r>
      <w:r w:rsidR="00965674">
        <w:t>particularly in late FY13 and throughout FY14, is most likely to have been triggered by</w:t>
      </w:r>
      <w:r w:rsidR="00225230">
        <w:t xml:space="preserve"> the increased admissions</w:t>
      </w:r>
      <w:r w:rsidR="00D34D48">
        <w:t xml:space="preserve"> and high census</w:t>
      </w:r>
      <w:r w:rsidR="00965674">
        <w:t xml:space="preserve">.  </w:t>
      </w:r>
      <w:r w:rsidR="009A6A68">
        <w:t xml:space="preserve">This is further examined </w:t>
      </w:r>
      <w:r w:rsidR="009A6A68" w:rsidRPr="00C86042">
        <w:rPr>
          <w:color w:val="auto"/>
        </w:rPr>
        <w:t xml:space="preserve">and presented </w:t>
      </w:r>
      <w:r w:rsidR="00613B4E" w:rsidRPr="00C86042">
        <w:rPr>
          <w:color w:val="auto"/>
        </w:rPr>
        <w:t xml:space="preserve">in </w:t>
      </w:r>
      <w:r w:rsidR="00613B4E" w:rsidRPr="00C86042">
        <w:rPr>
          <w:color w:val="auto"/>
        </w:rPr>
        <w:fldChar w:fldCharType="begin"/>
      </w:r>
      <w:r w:rsidR="00613B4E" w:rsidRPr="00C86042">
        <w:rPr>
          <w:color w:val="auto"/>
        </w:rPr>
        <w:instrText xml:space="preserve"> REF _Ref414456065 \h </w:instrText>
      </w:r>
      <w:r w:rsidR="0046729D" w:rsidRPr="00C86042">
        <w:rPr>
          <w:color w:val="auto"/>
        </w:rPr>
        <w:instrText xml:space="preserve"> \* MERGEFORMAT </w:instrText>
      </w:r>
      <w:r w:rsidR="00613B4E" w:rsidRPr="00C86042">
        <w:rPr>
          <w:color w:val="auto"/>
        </w:rPr>
      </w:r>
      <w:r w:rsidR="00613B4E" w:rsidRPr="00C86042">
        <w:rPr>
          <w:color w:val="auto"/>
        </w:rPr>
        <w:fldChar w:fldCharType="separate"/>
      </w:r>
      <w:r w:rsidR="007E3DB6" w:rsidRPr="007E3DB6">
        <w:rPr>
          <w:rStyle w:val="FigureChar"/>
          <w:b w:val="0"/>
          <w:i/>
          <w:noProof/>
          <w:color w:val="auto"/>
        </w:rPr>
        <w:t>Figure 48. Trend of Violence related UIs vs. Trend of Admissions and Census (FY14)</w:t>
      </w:r>
      <w:r w:rsidR="007E3DB6" w:rsidRPr="007E3DB6">
        <w:rPr>
          <w:noProof/>
          <w:color w:val="auto"/>
        </w:rPr>
        <w:t xml:space="preserve"> </w:t>
      </w:r>
      <w:r w:rsidR="00613B4E" w:rsidRPr="00C86042">
        <w:rPr>
          <w:color w:val="auto"/>
        </w:rPr>
        <w:fldChar w:fldCharType="end"/>
      </w:r>
      <w:r w:rsidR="00613B4E" w:rsidRPr="00C86042">
        <w:rPr>
          <w:color w:val="auto"/>
        </w:rPr>
        <w:fldChar w:fldCharType="begin"/>
      </w:r>
      <w:r w:rsidR="00613B4E" w:rsidRPr="00C86042">
        <w:rPr>
          <w:color w:val="auto"/>
        </w:rPr>
        <w:instrText xml:space="preserve"> PAGEREF _Ref414456065 \p \h </w:instrText>
      </w:r>
      <w:r w:rsidR="00613B4E" w:rsidRPr="00C86042">
        <w:rPr>
          <w:color w:val="auto"/>
        </w:rPr>
      </w:r>
      <w:r w:rsidR="00613B4E" w:rsidRPr="00C86042">
        <w:rPr>
          <w:color w:val="auto"/>
        </w:rPr>
        <w:fldChar w:fldCharType="separate"/>
      </w:r>
      <w:r w:rsidR="007E3DB6">
        <w:rPr>
          <w:noProof/>
          <w:color w:val="auto"/>
        </w:rPr>
        <w:t>on page 43</w:t>
      </w:r>
      <w:r w:rsidR="00613B4E" w:rsidRPr="00C86042">
        <w:rPr>
          <w:color w:val="auto"/>
        </w:rPr>
        <w:fldChar w:fldCharType="end"/>
      </w:r>
      <w:r w:rsidR="00613B4E">
        <w:t xml:space="preserve"> below</w:t>
      </w:r>
      <w:r w:rsidR="00225230">
        <w:t>.</w:t>
      </w:r>
    </w:p>
    <w:p w:rsidR="009A6A68" w:rsidRDefault="009A6A68" w:rsidP="009A6A68">
      <w:pPr>
        <w:pStyle w:val="KeyFindings"/>
      </w:pPr>
      <w:r>
        <w:t>Most of violence related UIs</w:t>
      </w:r>
      <w:r w:rsidR="004857E2">
        <w:t xml:space="preserve"> (93%)</w:t>
      </w:r>
      <w:r>
        <w:t xml:space="preserve"> involve either a </w:t>
      </w:r>
      <w:r w:rsidR="007E597C">
        <w:t>p</w:t>
      </w:r>
      <w:r>
        <w:t xml:space="preserve">hysical </w:t>
      </w:r>
      <w:r w:rsidR="007E597C">
        <w:t>a</w:t>
      </w:r>
      <w:r>
        <w:t xml:space="preserve">ssault, in which an </w:t>
      </w:r>
      <w:r w:rsidR="001E7E62">
        <w:t>individual</w:t>
      </w:r>
      <w:r w:rsidRPr="00B052E2">
        <w:t xml:space="preserve"> uses unwarranted physical force</w:t>
      </w:r>
      <w:r>
        <w:t xml:space="preserve"> against peers or staff members, or aggressive behavior, </w:t>
      </w:r>
      <w:r w:rsidR="007E597C">
        <w:t>in which</w:t>
      </w:r>
      <w:r w:rsidRPr="004B699A">
        <w:t xml:space="preserve"> an individual exhibit</w:t>
      </w:r>
      <w:r>
        <w:t>s</w:t>
      </w:r>
      <w:r w:rsidRPr="004B699A">
        <w:t xml:space="preserve"> intimidating or threatening behavior towards </w:t>
      </w:r>
      <w:r>
        <w:t xml:space="preserve">a </w:t>
      </w:r>
      <w:r w:rsidRPr="004B699A">
        <w:t>peer or staff without any physical contact</w:t>
      </w:r>
      <w:r>
        <w:t xml:space="preserve">. </w:t>
      </w:r>
      <w:r w:rsidR="007E597C">
        <w:t xml:space="preserve"> In addition, </w:t>
      </w:r>
      <w:r>
        <w:t xml:space="preserve">those incidents </w:t>
      </w:r>
      <w:r w:rsidR="007E597C">
        <w:t xml:space="preserve">frequently </w:t>
      </w:r>
      <w:r>
        <w:t>accompany psychiatric emergencies or involve other types of violence such as property destruction or self-injurious behaviors simultaneously.</w:t>
      </w:r>
    </w:p>
    <w:p w:rsidR="009A6A68" w:rsidRDefault="009A6A68" w:rsidP="009A6A68">
      <w:pPr>
        <w:pStyle w:val="KeyFindings"/>
      </w:pPr>
      <w:r>
        <w:t xml:space="preserve">The increase of violence related incidents in FY14 is reflected in every type </w:t>
      </w:r>
      <w:r w:rsidR="00A031D1">
        <w:t xml:space="preserve">and form </w:t>
      </w:r>
      <w:r>
        <w:t>of violence</w:t>
      </w:r>
      <w:r w:rsidR="00A031D1">
        <w:t>.  T</w:t>
      </w:r>
      <w:r>
        <w:t>he average number of incidents involving aggressive behaviors increased from 38 per month in FY13 to 61 in FY14, physical assaults from 36</w:t>
      </w:r>
      <w:r w:rsidR="00D34D48">
        <w:t xml:space="preserve"> to 46, property destruction incidents f</w:t>
      </w:r>
      <w:r>
        <w:t>r</w:t>
      </w:r>
      <w:r w:rsidR="00D34D48">
        <w:t>o</w:t>
      </w:r>
      <w:r>
        <w:t>m five (5) to 10, and psychiatric emergencies from 15 to 45</w:t>
      </w:r>
      <w:r w:rsidR="00A031D1">
        <w:t xml:space="preserve"> per month</w:t>
      </w:r>
      <w:r>
        <w:t>.</w:t>
      </w:r>
    </w:p>
    <w:p w:rsidR="000B4C21" w:rsidRDefault="009A6A68" w:rsidP="00A80446">
      <w:pPr>
        <w:pStyle w:val="KeyFindings"/>
      </w:pPr>
      <w:bookmarkStart w:id="321" w:name="_Toc384134383"/>
      <w:r>
        <w:t>Self-injurious behavior or suicide attempt/gesture is another form of violence being monitored and reported as a UI.  The frequency of self-injurious behavior incidents and any suicide attempts or gestures, although it is relative</w:t>
      </w:r>
      <w:r w:rsidR="00A031D1">
        <w:t>ly</w:t>
      </w:r>
      <w:r>
        <w:t xml:space="preserve"> a small number, also increased.  During FY14, on average, seven (7) UIs per month involved self-injurious behaviors </w:t>
      </w:r>
      <w:r w:rsidR="00A031D1">
        <w:t xml:space="preserve">while three (3) of such incidents were reported per month in FY13.  </w:t>
      </w:r>
      <w:r w:rsidR="00B16FB4">
        <w:t xml:space="preserve">There were two (2) incidents that involved a </w:t>
      </w:r>
      <w:r>
        <w:t>suicide attempt or gesture</w:t>
      </w:r>
      <w:r w:rsidR="00C4308A">
        <w:t xml:space="preserve"> during FY14</w:t>
      </w:r>
      <w:r>
        <w:t>.</w:t>
      </w:r>
      <w:bookmarkEnd w:id="321"/>
      <w:r w:rsidR="00F33AA1">
        <w:t xml:space="preserve"> </w:t>
      </w:r>
    </w:p>
    <w:p w:rsidR="009A6A68" w:rsidRDefault="00F33AA1" w:rsidP="00A80446">
      <w:pPr>
        <w:pStyle w:val="KeyFindings"/>
      </w:pPr>
      <w:r>
        <w:t xml:space="preserve">Self-harming behaviors </w:t>
      </w:r>
      <w:r w:rsidR="000B4C21">
        <w:t>are often repe</w:t>
      </w:r>
      <w:r w:rsidR="009B7AF0">
        <w:t>a</w:t>
      </w:r>
      <w:r w:rsidR="000B4C21">
        <w:t>t</w:t>
      </w:r>
      <w:r w:rsidR="009B7AF0">
        <w:t>ed</w:t>
      </w:r>
      <w:r w:rsidR="000B4C21">
        <w:t xml:space="preserve"> by the same individuals.  During FY14, a total of </w:t>
      </w:r>
      <w:r w:rsidR="006611CA">
        <w:t>92</w:t>
      </w:r>
      <w:r w:rsidR="000B4C21">
        <w:t xml:space="preserve"> incidents involving self-injurious behavior or suicide attempt/gesture were received. Of those</w:t>
      </w:r>
      <w:r w:rsidR="004B24C4">
        <w:t>,</w:t>
      </w:r>
      <w:r w:rsidR="000B4C21">
        <w:t xml:space="preserve"> 4</w:t>
      </w:r>
      <w:r w:rsidR="006611CA">
        <w:t>2 incidents (46</w:t>
      </w:r>
      <w:r w:rsidR="000B4C21">
        <w:t xml:space="preserve">%) were triggered by </w:t>
      </w:r>
      <w:r w:rsidR="004B24C4">
        <w:t>just</w:t>
      </w:r>
      <w:r w:rsidR="000B4C21">
        <w:t xml:space="preserve"> three (3) individuals.</w:t>
      </w:r>
    </w:p>
    <w:p w:rsidR="00D52D7C" w:rsidRDefault="00D52D7C" w:rsidP="00A80446">
      <w:pPr>
        <w:pStyle w:val="KeyFindings"/>
        <w:numPr>
          <w:ilvl w:val="0"/>
          <w:numId w:val="0"/>
        </w:numPr>
        <w:rPr>
          <w:rStyle w:val="FigureChar"/>
          <w:noProof/>
        </w:rPr>
      </w:pPr>
      <w:bookmarkStart w:id="322" w:name="_Toc384134384"/>
      <w:bookmarkStart w:id="323" w:name="_Toc416357928"/>
      <w:r w:rsidRPr="00E269E2">
        <w:rPr>
          <w:rStyle w:val="FigureChar"/>
          <w:noProof/>
        </w:rPr>
        <w:t xml:space="preserve">Figure </w:t>
      </w:r>
      <w:r>
        <w:rPr>
          <w:rStyle w:val="FigureChar"/>
          <w:noProof/>
        </w:rPr>
        <w:fldChar w:fldCharType="begin"/>
      </w:r>
      <w:r>
        <w:rPr>
          <w:rStyle w:val="FigureChar"/>
          <w:noProof/>
        </w:rPr>
        <w:instrText xml:space="preserve"> SEQ Figure \* ARABIC </w:instrText>
      </w:r>
      <w:r>
        <w:rPr>
          <w:rStyle w:val="FigureChar"/>
          <w:noProof/>
        </w:rPr>
        <w:fldChar w:fldCharType="separate"/>
      </w:r>
      <w:r w:rsidR="007E3DB6">
        <w:rPr>
          <w:rStyle w:val="FigureChar"/>
          <w:noProof/>
        </w:rPr>
        <w:t>43</w:t>
      </w:r>
      <w:r>
        <w:rPr>
          <w:rStyle w:val="FigureChar"/>
          <w:noProof/>
        </w:rPr>
        <w:fldChar w:fldCharType="end"/>
      </w:r>
      <w:r w:rsidRPr="00E269E2">
        <w:rPr>
          <w:rStyle w:val="FigureChar"/>
          <w:noProof/>
        </w:rPr>
        <w:t xml:space="preserve">. </w:t>
      </w:r>
      <w:r w:rsidR="00F81BD7">
        <w:rPr>
          <w:rStyle w:val="FigureChar"/>
          <w:noProof/>
        </w:rPr>
        <w:t xml:space="preserve">Monthly Average Number of </w:t>
      </w:r>
      <w:r>
        <w:rPr>
          <w:rStyle w:val="FigureChar"/>
          <w:noProof/>
        </w:rPr>
        <w:t xml:space="preserve">Violence </w:t>
      </w:r>
      <w:r w:rsidR="00F81BD7">
        <w:rPr>
          <w:rStyle w:val="FigureChar"/>
          <w:noProof/>
        </w:rPr>
        <w:t>R</w:t>
      </w:r>
      <w:r>
        <w:rPr>
          <w:rStyle w:val="FigureChar"/>
          <w:noProof/>
        </w:rPr>
        <w:t>elated UIs</w:t>
      </w:r>
      <w:r w:rsidRPr="00E269E2">
        <w:rPr>
          <w:rStyle w:val="FigureChar"/>
          <w:noProof/>
        </w:rPr>
        <w:t xml:space="preserve"> </w:t>
      </w:r>
      <w:r>
        <w:rPr>
          <w:rStyle w:val="FigureChar"/>
          <w:noProof/>
        </w:rPr>
        <w:t>(FY11 ~ FY1</w:t>
      </w:r>
      <w:r w:rsidR="00931714">
        <w:rPr>
          <w:rStyle w:val="FigureChar"/>
          <w:noProof/>
        </w:rPr>
        <w:t>4</w:t>
      </w:r>
      <w:r>
        <w:rPr>
          <w:rStyle w:val="FigureChar"/>
          <w:noProof/>
        </w:rPr>
        <w:t>)</w:t>
      </w:r>
      <w:bookmarkEnd w:id="322"/>
      <w:bookmarkEnd w:id="323"/>
    </w:p>
    <w:p w:rsidR="00B16FB4" w:rsidRPr="00B16FB4" w:rsidRDefault="00B16FB4" w:rsidP="00B16FB4">
      <w:pPr>
        <w:rPr>
          <w:rFonts w:eastAsia="SimSun"/>
        </w:rPr>
      </w:pPr>
      <w:r>
        <w:rPr>
          <w:noProof/>
        </w:rPr>
        <w:drawing>
          <wp:inline distT="0" distB="0" distL="0" distR="0" wp14:anchorId="04F307E5" wp14:editId="7A827ECE">
            <wp:extent cx="6572250" cy="2390775"/>
            <wp:effectExtent l="0" t="0" r="0" b="0"/>
            <wp:docPr id="143" name="Chart 1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931714" w:rsidRDefault="00931714" w:rsidP="00931714">
      <w:pPr>
        <w:pStyle w:val="KeyFindings"/>
        <w:numPr>
          <w:ilvl w:val="0"/>
          <w:numId w:val="0"/>
        </w:numPr>
        <w:rPr>
          <w:rStyle w:val="FigureChar"/>
          <w:noProof/>
        </w:rPr>
      </w:pPr>
      <w:bookmarkStart w:id="324" w:name="_Toc416357929"/>
      <w:r w:rsidRPr="00E269E2">
        <w:rPr>
          <w:rStyle w:val="FigureChar"/>
          <w:noProof/>
        </w:rPr>
        <w:t xml:space="preserve">Figure </w:t>
      </w:r>
      <w:r>
        <w:rPr>
          <w:rStyle w:val="FigureChar"/>
          <w:noProof/>
        </w:rPr>
        <w:fldChar w:fldCharType="begin"/>
      </w:r>
      <w:r>
        <w:rPr>
          <w:rStyle w:val="FigureChar"/>
          <w:noProof/>
        </w:rPr>
        <w:instrText xml:space="preserve"> SEQ Figure \* ARABIC </w:instrText>
      </w:r>
      <w:r>
        <w:rPr>
          <w:rStyle w:val="FigureChar"/>
          <w:noProof/>
        </w:rPr>
        <w:fldChar w:fldCharType="separate"/>
      </w:r>
      <w:r w:rsidR="007E3DB6">
        <w:rPr>
          <w:rStyle w:val="FigureChar"/>
          <w:noProof/>
        </w:rPr>
        <w:t>44</w:t>
      </w:r>
      <w:r>
        <w:rPr>
          <w:rStyle w:val="FigureChar"/>
          <w:noProof/>
        </w:rPr>
        <w:fldChar w:fldCharType="end"/>
      </w:r>
      <w:r w:rsidRPr="00E269E2">
        <w:rPr>
          <w:rStyle w:val="FigureChar"/>
          <w:noProof/>
        </w:rPr>
        <w:t xml:space="preserve">. </w:t>
      </w:r>
      <w:r w:rsidR="000E2C6B">
        <w:rPr>
          <w:rStyle w:val="FigureChar"/>
          <w:noProof/>
        </w:rPr>
        <w:t>Percentage o</w:t>
      </w:r>
      <w:r>
        <w:rPr>
          <w:rStyle w:val="FigureChar"/>
          <w:noProof/>
        </w:rPr>
        <w:t xml:space="preserve">f </w:t>
      </w:r>
      <w:r w:rsidR="000E2C6B">
        <w:rPr>
          <w:rStyle w:val="FigureChar"/>
          <w:noProof/>
        </w:rPr>
        <w:t>Physical Assaults vs. Aggressive Behaviors</w:t>
      </w:r>
      <w:r w:rsidRPr="00E269E2">
        <w:rPr>
          <w:rStyle w:val="FigureChar"/>
          <w:noProof/>
        </w:rPr>
        <w:t xml:space="preserve"> </w:t>
      </w:r>
      <w:r>
        <w:rPr>
          <w:rStyle w:val="FigureChar"/>
          <w:noProof/>
        </w:rPr>
        <w:t>(FY11 ~ FY14)</w:t>
      </w:r>
      <w:bookmarkEnd w:id="324"/>
    </w:p>
    <w:p w:rsidR="00931714" w:rsidRPr="00214195" w:rsidRDefault="006611CA" w:rsidP="00214195">
      <w:pPr>
        <w:rPr>
          <w:rFonts w:eastAsia="SimSun"/>
        </w:rPr>
      </w:pPr>
      <w:r>
        <w:rPr>
          <w:noProof/>
        </w:rPr>
        <w:drawing>
          <wp:inline distT="0" distB="0" distL="0" distR="0" wp14:anchorId="7B47A1E3" wp14:editId="061A87D1">
            <wp:extent cx="6572250" cy="21717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80224E" w:rsidRDefault="0080224E" w:rsidP="0080224E">
      <w:pPr>
        <w:pStyle w:val="KeyFindings"/>
      </w:pPr>
      <w:bookmarkStart w:id="325" w:name="ViolenceAdmissionCensus"/>
      <w:bookmarkStart w:id="326" w:name="_Toc384134387"/>
      <w:bookmarkEnd w:id="325"/>
      <w:r>
        <w:t>Despite the noticeable increase in the number of physical assaults from FY13 to FY14, it is noteworthy that the ‘relative’ frequency of physical assaults decreased consistently over the past couple of years when compared with the frequency of aggressive behaviors, which did</w:t>
      </w:r>
      <w:r w:rsidR="00CE6D6C">
        <w:t xml:space="preserve"> not </w:t>
      </w:r>
      <w:r>
        <w:t>involve any physical contact.  In FY11 and FY12, more than half of violence related incidents were physical assaults.  In FY13, the percentage of physical assaults among violence UIs declined to 46% and aggressive behaviors composed nearly half of violence</w:t>
      </w:r>
      <w:r w:rsidR="00CE6D6C">
        <w:t xml:space="preserve"> related</w:t>
      </w:r>
      <w:r>
        <w:t xml:space="preserve"> UIs (48%).  During FY14, the percentage of aggressive behaviors increased further to 53%, whereas the proportion of physical assaults decreased to 40%.  This trend may be partially explained as a result of improved responses and interventions to a violent event by the treatment team, which may have successfully prevented many aggressive behaviors from turning into assaults.</w:t>
      </w:r>
      <w:r w:rsidR="00CE6D6C" w:rsidRPr="00CE6D6C">
        <w:rPr>
          <w:rStyle w:val="FootnoteReference"/>
        </w:rPr>
        <w:t xml:space="preserve"> </w:t>
      </w:r>
      <w:r w:rsidR="00CE6D6C">
        <w:rPr>
          <w:rStyle w:val="FootnoteReference"/>
        </w:rPr>
        <w:footnoteReference w:id="28"/>
      </w:r>
      <w:r>
        <w:t xml:space="preserve"> </w:t>
      </w:r>
    </w:p>
    <w:tbl>
      <w:tblPr>
        <w:tblpPr w:leftFromText="187" w:rightFromText="187" w:vertAnchor="text" w:horzAnchor="margin" w:tblpXSpec="right" w:tblpY="37"/>
        <w:tblOverlap w:val="never"/>
        <w:tblW w:w="0" w:type="auto"/>
        <w:tblLayout w:type="fixed"/>
        <w:tblLook w:val="01E0" w:firstRow="1" w:lastRow="1" w:firstColumn="1" w:lastColumn="1" w:noHBand="0" w:noVBand="0"/>
      </w:tblPr>
      <w:tblGrid>
        <w:gridCol w:w="6228"/>
      </w:tblGrid>
      <w:tr w:rsidR="00AC4FE8" w:rsidTr="00AC4FE8">
        <w:trPr>
          <w:cantSplit/>
        </w:trPr>
        <w:tc>
          <w:tcPr>
            <w:tcW w:w="6228" w:type="dxa"/>
          </w:tcPr>
          <w:p w:rsidR="00AC4FE8" w:rsidRDefault="00AC4FE8" w:rsidP="00AC4FE8">
            <w:pPr>
              <w:spacing w:before="120"/>
              <w:ind w:left="720" w:hanging="720"/>
              <w:rPr>
                <w:rStyle w:val="FigureChar"/>
              </w:rPr>
            </w:pPr>
            <w:bookmarkStart w:id="327" w:name="_Toc416357930"/>
            <w:r w:rsidRPr="00E269E2">
              <w:rPr>
                <w:rStyle w:val="FigureChar"/>
              </w:rPr>
              <w:t xml:space="preserve">Figure </w:t>
            </w:r>
            <w:r>
              <w:rPr>
                <w:rStyle w:val="FigureChar"/>
              </w:rPr>
              <w:fldChar w:fldCharType="begin"/>
            </w:r>
            <w:r>
              <w:rPr>
                <w:rStyle w:val="FigureChar"/>
              </w:rPr>
              <w:instrText xml:space="preserve"> SEQ Figure \* ARABIC </w:instrText>
            </w:r>
            <w:r>
              <w:rPr>
                <w:rStyle w:val="FigureChar"/>
              </w:rPr>
              <w:fldChar w:fldCharType="separate"/>
            </w:r>
            <w:r w:rsidR="007E3DB6">
              <w:rPr>
                <w:rStyle w:val="FigureChar"/>
                <w:noProof/>
              </w:rPr>
              <w:t>45</w:t>
            </w:r>
            <w:r>
              <w:rPr>
                <w:rStyle w:val="FigureChar"/>
              </w:rPr>
              <w:fldChar w:fldCharType="end"/>
            </w:r>
            <w:r w:rsidRPr="00E269E2">
              <w:rPr>
                <w:rStyle w:val="FigureChar"/>
              </w:rPr>
              <w:t xml:space="preserve">. </w:t>
            </w:r>
            <w:r>
              <w:rPr>
                <w:rStyle w:val="FigureChar"/>
              </w:rPr>
              <w:t>Frequency of Seclusion/Restraint Events by Association with Assaults or Aggressive Behaviors (FY11 ~ FY14)</w:t>
            </w:r>
            <w:bookmarkEnd w:id="327"/>
          </w:p>
          <w:p w:rsidR="00AC4FE8" w:rsidRPr="00E02FFD" w:rsidRDefault="00AC4FE8" w:rsidP="00AC4FE8">
            <w:r>
              <w:rPr>
                <w:noProof/>
              </w:rPr>
              <w:drawing>
                <wp:inline distT="0" distB="0" distL="0" distR="0" wp14:anchorId="42D90443" wp14:editId="1A85660B">
                  <wp:extent cx="3863017" cy="2657475"/>
                  <wp:effectExtent l="0" t="0" r="4445"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r>
    </w:tbl>
    <w:p w:rsidR="0050682D" w:rsidRDefault="0080224E" w:rsidP="00CF1F1A">
      <w:pPr>
        <w:pStyle w:val="KeyFindings"/>
      </w:pPr>
      <w:r>
        <w:t xml:space="preserve">Another </w:t>
      </w:r>
      <w:r w:rsidR="00B02438">
        <w:t xml:space="preserve">noticeable </w:t>
      </w:r>
      <w:r>
        <w:t xml:space="preserve">trend </w:t>
      </w:r>
      <w:r w:rsidR="00B02438">
        <w:t xml:space="preserve">emerging from </w:t>
      </w:r>
      <w:r>
        <w:t xml:space="preserve">violence related incidents is a significant increase in the frequency of using seclusion and restraint, particularly in </w:t>
      </w:r>
      <w:r w:rsidR="00A5317F">
        <w:t xml:space="preserve">FY13 and </w:t>
      </w:r>
      <w:r>
        <w:t>FY14.</w:t>
      </w:r>
      <w:r w:rsidR="00293BD8">
        <w:t xml:space="preserve">  The total number of incidents involving seclusion </w:t>
      </w:r>
      <w:r w:rsidR="00126A14">
        <w:t>and</w:t>
      </w:r>
      <w:r w:rsidR="0050682D">
        <w:t>/</w:t>
      </w:r>
      <w:r w:rsidR="00126A14">
        <w:t>or</w:t>
      </w:r>
      <w:r w:rsidR="00293BD8">
        <w:t xml:space="preserve"> restraint events was 34 in FY12 and it increased to 65 in FY13 and 191 in FY14.</w:t>
      </w:r>
      <w:r w:rsidR="00126A14">
        <w:rPr>
          <w:rStyle w:val="FootnoteReference"/>
        </w:rPr>
        <w:footnoteReference w:id="29"/>
      </w:r>
      <w:r w:rsidR="00293BD8">
        <w:t xml:space="preserve">  </w:t>
      </w:r>
    </w:p>
    <w:p w:rsidR="0080224E" w:rsidRDefault="0050682D" w:rsidP="00CF1F1A">
      <w:pPr>
        <w:pStyle w:val="KeyFindings"/>
      </w:pPr>
      <w:r>
        <w:t xml:space="preserve">While it is a general goal to reduce the use of seclusion </w:t>
      </w:r>
      <w:r w:rsidR="00272216">
        <w:t>or</w:t>
      </w:r>
      <w:r>
        <w:t xml:space="preserve"> restraint, the</w:t>
      </w:r>
      <w:r w:rsidR="00272216">
        <w:t>se</w:t>
      </w:r>
      <w:r>
        <w:t xml:space="preserve"> are sometimes </w:t>
      </w:r>
      <w:r w:rsidR="00CC24DF">
        <w:t xml:space="preserve">necessary and </w:t>
      </w:r>
      <w:r>
        <w:t>effective</w:t>
      </w:r>
      <w:r w:rsidR="00CC24DF">
        <w:t xml:space="preserve"> </w:t>
      </w:r>
      <w:r w:rsidR="00A32C6F">
        <w:t xml:space="preserve">when used properly </w:t>
      </w:r>
      <w:r w:rsidR="00272216">
        <w:t xml:space="preserve">to prevent injury to an IIC or staff.  </w:t>
      </w:r>
      <w:r w:rsidR="008C12B1">
        <w:t xml:space="preserve">Our data indicates that seclusions </w:t>
      </w:r>
      <w:r w:rsidR="00272216">
        <w:t>or</w:t>
      </w:r>
      <w:r w:rsidR="008C12B1">
        <w:t xml:space="preserve"> restraints </w:t>
      </w:r>
      <w:r w:rsidR="00A5317F">
        <w:t>are</w:t>
      </w:r>
      <w:r w:rsidR="00A32C6F">
        <w:t xml:space="preserve"> being</w:t>
      </w:r>
      <w:r w:rsidR="008C12B1">
        <w:t xml:space="preserve"> used primarily </w:t>
      </w:r>
      <w:r w:rsidR="00272216">
        <w:t xml:space="preserve">when </w:t>
      </w:r>
      <w:r w:rsidR="008C12B1">
        <w:t>aggressive behaviors</w:t>
      </w:r>
      <w:r w:rsidR="00A5317F">
        <w:t xml:space="preserve"> </w:t>
      </w:r>
      <w:r w:rsidR="00272216">
        <w:t xml:space="preserve">cannot be managed by other interventions, </w:t>
      </w:r>
      <w:r w:rsidR="00A5317F">
        <w:t xml:space="preserve">and may have prevented them from becoming </w:t>
      </w:r>
      <w:r w:rsidR="00C37F2C">
        <w:t>physical assaults</w:t>
      </w:r>
      <w:r w:rsidR="00A5317F">
        <w:t xml:space="preserve">.  In FY11 and FY12, respectively, most of seclusion and restraint events followed physical assault incidents.  </w:t>
      </w:r>
      <w:r w:rsidR="008C12B1">
        <w:t>In FY</w:t>
      </w:r>
      <w:r w:rsidR="00A5317F">
        <w:t>13 and FY14</w:t>
      </w:r>
      <w:r w:rsidR="008C12B1">
        <w:t xml:space="preserve">, </w:t>
      </w:r>
      <w:r w:rsidR="00A5317F">
        <w:t>however, a majority of seclusion and restraint events were used during or after aggressive behaviors that did</w:t>
      </w:r>
      <w:r w:rsidR="00126A14">
        <w:t xml:space="preserve"> not </w:t>
      </w:r>
      <w:r w:rsidR="00A32C6F">
        <w:t xml:space="preserve">evolve </w:t>
      </w:r>
      <w:r w:rsidR="00126A14">
        <w:t>into</w:t>
      </w:r>
      <w:r w:rsidR="00A32C6F">
        <w:t xml:space="preserve"> physical assaults</w:t>
      </w:r>
      <w:r w:rsidR="00A5317F">
        <w:t>.</w:t>
      </w:r>
      <w:r w:rsidR="008C12B1">
        <w:t xml:space="preserve"> </w:t>
      </w:r>
    </w:p>
    <w:tbl>
      <w:tblPr>
        <w:tblStyle w:val="TableGrid"/>
        <w:tblpPr w:leftFromText="180" w:rightFromText="180" w:vertAnchor="text" w:horzAnchor="margin" w:tblpXSpec="right" w:tblpY="23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 w:type="dxa"/>
          <w:right w:w="14" w:type="dxa"/>
        </w:tblCellMar>
        <w:tblLook w:val="04A0" w:firstRow="1" w:lastRow="0" w:firstColumn="1" w:lastColumn="0" w:noHBand="0" w:noVBand="1"/>
      </w:tblPr>
      <w:tblGrid>
        <w:gridCol w:w="3157"/>
        <w:gridCol w:w="3157"/>
      </w:tblGrid>
      <w:tr w:rsidR="00080EBA" w:rsidRPr="00E001AA" w:rsidTr="00F034E4">
        <w:tc>
          <w:tcPr>
            <w:tcW w:w="3157" w:type="dxa"/>
          </w:tcPr>
          <w:p w:rsidR="00080EBA" w:rsidRPr="00080EBA" w:rsidRDefault="00080EBA" w:rsidP="00080EBA">
            <w:pPr>
              <w:spacing w:before="120"/>
              <w:ind w:left="720" w:hanging="720"/>
              <w:rPr>
                <w:rStyle w:val="FigureChar"/>
              </w:rPr>
            </w:pPr>
            <w:bookmarkStart w:id="328" w:name="_Toc416357931"/>
            <w:r w:rsidRPr="00E269E2">
              <w:rPr>
                <w:rStyle w:val="FigureChar"/>
              </w:rPr>
              <w:t xml:space="preserve">Figure </w:t>
            </w:r>
            <w:r>
              <w:rPr>
                <w:rStyle w:val="FigureChar"/>
              </w:rPr>
              <w:fldChar w:fldCharType="begin"/>
            </w:r>
            <w:r>
              <w:rPr>
                <w:rStyle w:val="FigureChar"/>
              </w:rPr>
              <w:instrText xml:space="preserve"> SEQ Figure \* ARABIC </w:instrText>
            </w:r>
            <w:r>
              <w:rPr>
                <w:rStyle w:val="FigureChar"/>
              </w:rPr>
              <w:fldChar w:fldCharType="separate"/>
            </w:r>
            <w:r w:rsidR="007E3DB6">
              <w:rPr>
                <w:rStyle w:val="FigureChar"/>
                <w:noProof/>
              </w:rPr>
              <w:t>46</w:t>
            </w:r>
            <w:r>
              <w:rPr>
                <w:rStyle w:val="FigureChar"/>
              </w:rPr>
              <w:fldChar w:fldCharType="end"/>
            </w:r>
            <w:r w:rsidRPr="00E269E2">
              <w:rPr>
                <w:rStyle w:val="FigureChar"/>
              </w:rPr>
              <w:t xml:space="preserve">. </w:t>
            </w:r>
            <w:r>
              <w:rPr>
                <w:rStyle w:val="FigureChar"/>
              </w:rPr>
              <w:t>Percentage of Patients Restrained or Secluded (FY14): S</w:t>
            </w:r>
            <w:r w:rsidR="00F034E4">
              <w:rPr>
                <w:rStyle w:val="FigureChar"/>
              </w:rPr>
              <w:t>EH vs. NPR</w:t>
            </w:r>
            <w:bookmarkEnd w:id="328"/>
          </w:p>
          <w:p w:rsidR="00080EBA" w:rsidRPr="00E001AA" w:rsidRDefault="00080EBA" w:rsidP="00080EBA">
            <w:r>
              <w:rPr>
                <w:noProof/>
              </w:rPr>
              <w:drawing>
                <wp:inline distT="0" distB="0" distL="0" distR="0" wp14:anchorId="0AA87676" wp14:editId="7BD544C3">
                  <wp:extent cx="1760328" cy="2369029"/>
                  <wp:effectExtent l="0" t="0" r="0" b="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c>
          <w:tcPr>
            <w:tcW w:w="3157" w:type="dxa"/>
          </w:tcPr>
          <w:p w:rsidR="00080EBA" w:rsidRPr="00080EBA" w:rsidRDefault="00080EBA" w:rsidP="00080EBA">
            <w:pPr>
              <w:spacing w:before="120"/>
              <w:ind w:left="720" w:hanging="720"/>
              <w:rPr>
                <w:rStyle w:val="FigureChar"/>
              </w:rPr>
            </w:pPr>
            <w:bookmarkStart w:id="329" w:name="_Toc416357932"/>
            <w:r w:rsidRPr="00E269E2">
              <w:rPr>
                <w:rStyle w:val="FigureChar"/>
              </w:rPr>
              <w:t xml:space="preserve">Figure </w:t>
            </w:r>
            <w:r>
              <w:rPr>
                <w:rStyle w:val="FigureChar"/>
              </w:rPr>
              <w:fldChar w:fldCharType="begin"/>
            </w:r>
            <w:r>
              <w:rPr>
                <w:rStyle w:val="FigureChar"/>
              </w:rPr>
              <w:instrText xml:space="preserve"> SEQ Figure \* ARABIC </w:instrText>
            </w:r>
            <w:r>
              <w:rPr>
                <w:rStyle w:val="FigureChar"/>
              </w:rPr>
              <w:fldChar w:fldCharType="separate"/>
            </w:r>
            <w:r w:rsidR="007E3DB6">
              <w:rPr>
                <w:rStyle w:val="FigureChar"/>
                <w:noProof/>
              </w:rPr>
              <w:t>47</w:t>
            </w:r>
            <w:r>
              <w:rPr>
                <w:rStyle w:val="FigureChar"/>
              </w:rPr>
              <w:fldChar w:fldCharType="end"/>
            </w:r>
            <w:r w:rsidRPr="00E269E2">
              <w:rPr>
                <w:rStyle w:val="FigureChar"/>
              </w:rPr>
              <w:t xml:space="preserve">. </w:t>
            </w:r>
            <w:r>
              <w:rPr>
                <w:rStyle w:val="FigureChar"/>
              </w:rPr>
              <w:t xml:space="preserve">Restraint Hours </w:t>
            </w:r>
            <w:r w:rsidR="00F034E4">
              <w:rPr>
                <w:rStyle w:val="FigureChar"/>
              </w:rPr>
              <w:t>Rate and Seclusion Hours Rate</w:t>
            </w:r>
            <w:r>
              <w:rPr>
                <w:rStyle w:val="FigureChar"/>
              </w:rPr>
              <w:t xml:space="preserve"> (FY14)</w:t>
            </w:r>
            <w:r w:rsidR="00F034E4">
              <w:rPr>
                <w:rStyle w:val="FigureChar"/>
              </w:rPr>
              <w:t>: SEH vs. NPR</w:t>
            </w:r>
            <w:bookmarkEnd w:id="329"/>
          </w:p>
          <w:p w:rsidR="00080EBA" w:rsidRDefault="00080EBA" w:rsidP="00080EBA"/>
          <w:p w:rsidR="00080EBA" w:rsidRPr="00E001AA" w:rsidRDefault="00080EBA" w:rsidP="00080EBA">
            <w:r>
              <w:rPr>
                <w:noProof/>
              </w:rPr>
              <w:drawing>
                <wp:inline distT="0" distB="0" distL="0" distR="0" wp14:anchorId="3FBBDA03" wp14:editId="24A77198">
                  <wp:extent cx="1760328" cy="2369029"/>
                  <wp:effectExtent l="0" t="0" r="0" b="0"/>
                  <wp:docPr id="142" name="Chart 14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r>
    </w:tbl>
    <w:p w:rsidR="00E001AA" w:rsidRDefault="009D02D6" w:rsidP="00CF1F1A">
      <w:pPr>
        <w:pStyle w:val="KeyFindings"/>
      </w:pPr>
      <w:r>
        <w:t>D</w:t>
      </w:r>
      <w:r w:rsidR="00C2628C">
        <w:t xml:space="preserve">espite the increase in </w:t>
      </w:r>
      <w:r w:rsidR="00FF629B">
        <w:t>the use of seclusion and restraint</w:t>
      </w:r>
      <w:r>
        <w:t xml:space="preserve"> at the Hospital</w:t>
      </w:r>
      <w:r w:rsidR="00FF629B">
        <w:t xml:space="preserve"> over the past two years, the </w:t>
      </w:r>
      <w:r w:rsidR="0028419E">
        <w:t xml:space="preserve">percentage of individuals secluded or restrained and their </w:t>
      </w:r>
      <w:r w:rsidR="00FF629B">
        <w:t>seclusion and restraint hours</w:t>
      </w:r>
      <w:r w:rsidR="0028419E">
        <w:t xml:space="preserve"> rate</w:t>
      </w:r>
      <w:r w:rsidR="00C2628C">
        <w:t xml:space="preserve"> at SEH</w:t>
      </w:r>
      <w:r w:rsidR="00FF629B">
        <w:t xml:space="preserve"> </w:t>
      </w:r>
      <w:r w:rsidR="00C2628C">
        <w:t xml:space="preserve">are far below the national average: </w:t>
      </w:r>
      <w:r w:rsidR="00FA254A">
        <w:t>in FY14, on average, 0.4% and 2.1% of all individuals served</w:t>
      </w:r>
      <w:r>
        <w:t xml:space="preserve"> at SEH</w:t>
      </w:r>
      <w:r w:rsidR="00FA254A">
        <w:t xml:space="preserve"> were involved in one or more restraint and seclusion event, respectively</w:t>
      </w:r>
      <w:r w:rsidR="003B134D">
        <w:t>,</w:t>
      </w:r>
      <w:r w:rsidR="00FA254A">
        <w:t xml:space="preserve"> whereas the most recent NPR indicates 5.8% for restraint and 2.4% for seclusion</w:t>
      </w:r>
      <w:r w:rsidR="003B134D">
        <w:t xml:space="preserve"> as the national average</w:t>
      </w:r>
      <w:r w:rsidR="00FA254A">
        <w:t xml:space="preserve">.  Likewise, during FY14, the restraint </w:t>
      </w:r>
      <w:proofErr w:type="gramStart"/>
      <w:r w:rsidR="00FA254A">
        <w:t>hours</w:t>
      </w:r>
      <w:proofErr w:type="gramEnd"/>
      <w:r w:rsidR="00FA254A">
        <w:t xml:space="preserve"> rate at SEH was 0.03 per 1,000 patient hours while </w:t>
      </w:r>
      <w:r w:rsidR="003B134D">
        <w:t>its national average</w:t>
      </w:r>
      <w:r w:rsidR="00FA254A">
        <w:t xml:space="preserve"> was 0.71</w:t>
      </w:r>
      <w:r>
        <w:t>,</w:t>
      </w:r>
      <w:r w:rsidR="00FA254A">
        <w:t xml:space="preserve"> and the seclusion hours rate at SEH was 0.073 while</w:t>
      </w:r>
      <w:r w:rsidR="003B134D">
        <w:t xml:space="preserve"> its national average was 0.44.</w:t>
      </w:r>
    </w:p>
    <w:p w:rsidR="00CF1F1A" w:rsidRDefault="00CF1F1A" w:rsidP="00CF1F1A">
      <w:pPr>
        <w:pStyle w:val="KeyFindings"/>
      </w:pPr>
      <w:r>
        <w:t xml:space="preserve">A series of our previous studies on violence suggest that individuals who have been recently admitted are more likely to engage in aggressive acts while they are adjusting to a new environment and their medication regimens.  The FY14 trend of aggressive behaviors and physical assaults continued to </w:t>
      </w:r>
      <w:r w:rsidR="009537AC">
        <w:t>mirror</w:t>
      </w:r>
      <w:r>
        <w:t xml:space="preserve"> the trend of admissions and census</w:t>
      </w:r>
      <w:r w:rsidR="007937F1">
        <w:t>:</w:t>
      </w:r>
      <w:r>
        <w:t xml:space="preserve"> the frequency of </w:t>
      </w:r>
      <w:r w:rsidR="009537AC">
        <w:t>violence related</w:t>
      </w:r>
      <w:r>
        <w:t xml:space="preserve"> incidents increased </w:t>
      </w:r>
      <w:r w:rsidR="007937F1">
        <w:t>during or right after an increase</w:t>
      </w:r>
      <w:r>
        <w:t xml:space="preserve"> </w:t>
      </w:r>
      <w:r w:rsidR="007937F1">
        <w:t xml:space="preserve">of </w:t>
      </w:r>
      <w:r>
        <w:t xml:space="preserve">admissions and average daily census.  Likewise, the frequency of such incidents </w:t>
      </w:r>
      <w:r w:rsidR="007937F1">
        <w:t xml:space="preserve">tends to </w:t>
      </w:r>
      <w:r>
        <w:t xml:space="preserve">decrease </w:t>
      </w:r>
      <w:r w:rsidR="007937F1">
        <w:t xml:space="preserve">when </w:t>
      </w:r>
      <w:r>
        <w:t>admissions and census</w:t>
      </w:r>
      <w:r w:rsidR="007937F1">
        <w:t xml:space="preserve"> decrease</w:t>
      </w:r>
      <w:r>
        <w:t xml:space="preserve">.  </w:t>
      </w:r>
      <w:r w:rsidR="007937F1">
        <w:t>A significantly</w:t>
      </w:r>
      <w:r>
        <w:t xml:space="preserve"> high number of aggressive behaviors and physical assaults </w:t>
      </w:r>
      <w:r w:rsidR="007937F1">
        <w:t xml:space="preserve">were </w:t>
      </w:r>
      <w:r>
        <w:t>reported in the months of January, April and August</w:t>
      </w:r>
      <w:r w:rsidR="007937F1">
        <w:t xml:space="preserve">, all of which experienced </w:t>
      </w:r>
      <w:r>
        <w:t xml:space="preserve">a steep increase </w:t>
      </w:r>
      <w:r w:rsidR="00F94DA2">
        <w:t>in</w:t>
      </w:r>
      <w:r>
        <w:t xml:space="preserve"> admissions</w:t>
      </w:r>
      <w:r w:rsidR="007937F1">
        <w:t xml:space="preserve"> and census</w:t>
      </w:r>
      <w:r>
        <w:t>.</w:t>
      </w:r>
      <w:bookmarkEnd w:id="326"/>
    </w:p>
    <w:p w:rsidR="00CF1F1A" w:rsidRPr="00DB708A" w:rsidRDefault="00CF1F1A" w:rsidP="00CF1F1A">
      <w:pPr>
        <w:pStyle w:val="KeyFindings"/>
        <w:keepNext/>
        <w:numPr>
          <w:ilvl w:val="0"/>
          <w:numId w:val="0"/>
        </w:numPr>
        <w:rPr>
          <w:rStyle w:val="FigureChar"/>
          <w:noProof/>
        </w:rPr>
      </w:pPr>
      <w:bookmarkStart w:id="330" w:name="_Toc384134388"/>
      <w:bookmarkStart w:id="331" w:name="_Ref384851135"/>
      <w:bookmarkStart w:id="332" w:name="_Ref384851179"/>
      <w:bookmarkStart w:id="333" w:name="_Toc386095104"/>
      <w:bookmarkStart w:id="334" w:name="_Toc416357933"/>
      <w:bookmarkStart w:id="335" w:name="_Ref414456065"/>
      <w:r w:rsidRPr="00DB708A">
        <w:rPr>
          <w:rStyle w:val="FigureChar"/>
          <w:noProof/>
        </w:rPr>
        <w:t xml:space="preserve">Figure </w:t>
      </w:r>
      <w:r w:rsidRPr="00DB708A">
        <w:rPr>
          <w:rStyle w:val="FigureChar"/>
          <w:noProof/>
        </w:rPr>
        <w:fldChar w:fldCharType="begin"/>
      </w:r>
      <w:r w:rsidRPr="00DB708A">
        <w:rPr>
          <w:rStyle w:val="FigureChar"/>
          <w:noProof/>
        </w:rPr>
        <w:instrText xml:space="preserve"> SEQ Figure \* ARABIC </w:instrText>
      </w:r>
      <w:r w:rsidRPr="00DB708A">
        <w:rPr>
          <w:rStyle w:val="FigureChar"/>
          <w:noProof/>
        </w:rPr>
        <w:fldChar w:fldCharType="separate"/>
      </w:r>
      <w:r w:rsidR="007E3DB6">
        <w:rPr>
          <w:rStyle w:val="FigureChar"/>
          <w:noProof/>
        </w:rPr>
        <w:t>48</w:t>
      </w:r>
      <w:r w:rsidRPr="00DB708A">
        <w:rPr>
          <w:rStyle w:val="FigureChar"/>
          <w:noProof/>
        </w:rPr>
        <w:fldChar w:fldCharType="end"/>
      </w:r>
      <w:r w:rsidRPr="00DB708A">
        <w:rPr>
          <w:rStyle w:val="FigureChar"/>
          <w:noProof/>
        </w:rPr>
        <w:t xml:space="preserve">. Trend of Violence related UIs vs. Trend of </w:t>
      </w:r>
      <w:r>
        <w:rPr>
          <w:rStyle w:val="FigureChar"/>
          <w:noProof/>
        </w:rPr>
        <w:t xml:space="preserve">Admissions and </w:t>
      </w:r>
      <w:r w:rsidRPr="00DB708A">
        <w:rPr>
          <w:rStyle w:val="FigureChar"/>
          <w:noProof/>
        </w:rPr>
        <w:t>Census (FY1</w:t>
      </w:r>
      <w:r>
        <w:rPr>
          <w:rStyle w:val="FigureChar"/>
          <w:noProof/>
        </w:rPr>
        <w:t>4</w:t>
      </w:r>
      <w:r w:rsidRPr="00DB708A">
        <w:rPr>
          <w:rStyle w:val="FigureChar"/>
          <w:noProof/>
        </w:rPr>
        <w:t>)</w:t>
      </w:r>
      <w:bookmarkEnd w:id="330"/>
      <w:bookmarkEnd w:id="331"/>
      <w:bookmarkEnd w:id="332"/>
      <w:bookmarkEnd w:id="333"/>
      <w:bookmarkEnd w:id="334"/>
      <w:r w:rsidRPr="008E6EA3">
        <w:rPr>
          <w:noProof/>
        </w:rPr>
        <w:t xml:space="preserve"> </w:t>
      </w:r>
      <w:bookmarkEnd w:id="335"/>
    </w:p>
    <w:p w:rsidR="00613B4E" w:rsidRPr="00613B4E" w:rsidRDefault="00613B4E" w:rsidP="00613B4E">
      <w:r>
        <w:rPr>
          <w:noProof/>
        </w:rPr>
        <w:drawing>
          <wp:inline distT="0" distB="0" distL="0" distR="0" wp14:anchorId="46BD9927" wp14:editId="72A94B33">
            <wp:extent cx="6648450" cy="2400300"/>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6B31BD" w:rsidRDefault="00C37F2C" w:rsidP="00A80446">
      <w:pPr>
        <w:pStyle w:val="KeyFindings"/>
      </w:pPr>
      <w:r>
        <w:t>A</w:t>
      </w:r>
      <w:r w:rsidR="00205CCE">
        <w:t xml:space="preserve"> majority of violence </w:t>
      </w:r>
      <w:r w:rsidR="008452D2">
        <w:t xml:space="preserve">related </w:t>
      </w:r>
      <w:r w:rsidR="00205CCE">
        <w:t>incidents took place</w:t>
      </w:r>
      <w:r w:rsidR="008646B0">
        <w:t xml:space="preserve"> on</w:t>
      </w:r>
      <w:r w:rsidR="00205CCE">
        <w:t xml:space="preserve"> the admission units (1D, 1E, 1F &amp; 1G)</w:t>
      </w:r>
      <w:r>
        <w:t>.  This</w:t>
      </w:r>
      <w:r w:rsidR="00205CCE">
        <w:t xml:space="preserve"> further demonstrates that individuals who have been recently admitted are more likely to present high risk of violence: 57% of aggressive behaviors, 53% of physical assaults and 77% of psychiatric emergency incidents reported in FY14 occurred </w:t>
      </w:r>
      <w:r w:rsidR="00F82F2C">
        <w:t xml:space="preserve">on one of </w:t>
      </w:r>
      <w:r w:rsidR="00205CCE">
        <w:t>th</w:t>
      </w:r>
      <w:r w:rsidR="008452D2">
        <w:t>e f</w:t>
      </w:r>
      <w:r w:rsidR="00205CCE">
        <w:t>our</w:t>
      </w:r>
      <w:r w:rsidR="008452D2">
        <w:t xml:space="preserve"> (4)</w:t>
      </w:r>
      <w:r w:rsidR="00205CCE">
        <w:t xml:space="preserve"> admission units. </w:t>
      </w:r>
      <w:bookmarkStart w:id="336" w:name="_Toc281982819"/>
    </w:p>
    <w:tbl>
      <w:tblPr>
        <w:tblStyle w:val="TableGrid"/>
        <w:tblW w:w="1026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40"/>
        <w:gridCol w:w="5227"/>
      </w:tblGrid>
      <w:tr w:rsidR="006B31BD" w:rsidTr="009E2751">
        <w:tc>
          <w:tcPr>
            <w:tcW w:w="5040" w:type="dxa"/>
          </w:tcPr>
          <w:p w:rsidR="006B31BD" w:rsidRPr="00B75313" w:rsidRDefault="006B31BD" w:rsidP="0016435C">
            <w:pPr>
              <w:spacing w:before="120"/>
              <w:ind w:left="720" w:hanging="720"/>
              <w:rPr>
                <w:rStyle w:val="FigureChar"/>
              </w:rPr>
            </w:pPr>
            <w:bookmarkStart w:id="337" w:name="_Toc384134390"/>
            <w:bookmarkStart w:id="338" w:name="_Toc416357934"/>
            <w:r w:rsidRPr="00E269E2">
              <w:rPr>
                <w:rStyle w:val="FigureChar"/>
              </w:rPr>
              <w:t xml:space="preserve">Figure </w:t>
            </w:r>
            <w:r w:rsidRPr="00286D55">
              <w:rPr>
                <w:rStyle w:val="FigureChar"/>
              </w:rPr>
              <w:fldChar w:fldCharType="begin"/>
            </w:r>
            <w:r w:rsidRPr="00286D55">
              <w:rPr>
                <w:rStyle w:val="FigureChar"/>
              </w:rPr>
              <w:instrText xml:space="preserve"> SEQ Figure \* ARABIC </w:instrText>
            </w:r>
            <w:r w:rsidRPr="00286D55">
              <w:rPr>
                <w:rStyle w:val="FigureChar"/>
              </w:rPr>
              <w:fldChar w:fldCharType="separate"/>
            </w:r>
            <w:r w:rsidR="007E3DB6">
              <w:rPr>
                <w:rStyle w:val="FigureChar"/>
                <w:noProof/>
              </w:rPr>
              <w:t>49</w:t>
            </w:r>
            <w:r w:rsidRPr="00286D55">
              <w:rPr>
                <w:rStyle w:val="FigureChar"/>
              </w:rPr>
              <w:fldChar w:fldCharType="end"/>
            </w:r>
            <w:r w:rsidRPr="00E269E2">
              <w:rPr>
                <w:rStyle w:val="FigureChar"/>
              </w:rPr>
              <w:t>.</w:t>
            </w:r>
            <w:r>
              <w:rPr>
                <w:rStyle w:val="FigureChar"/>
              </w:rPr>
              <w:t xml:space="preserve"> Violence Related UIs by Location of Incidents (FY1</w:t>
            </w:r>
            <w:r w:rsidR="00F43175">
              <w:rPr>
                <w:rStyle w:val="FigureChar"/>
              </w:rPr>
              <w:t>4</w:t>
            </w:r>
            <w:r>
              <w:rPr>
                <w:rStyle w:val="FigureChar"/>
              </w:rPr>
              <w:t>)</w:t>
            </w:r>
            <w:bookmarkEnd w:id="337"/>
            <w:bookmarkEnd w:id="338"/>
          </w:p>
          <w:p w:rsidR="006B31BD" w:rsidRPr="00507EB9" w:rsidRDefault="005D07EC" w:rsidP="00DE7B3F">
            <w:r>
              <w:rPr>
                <w:noProof/>
              </w:rPr>
              <w:drawing>
                <wp:inline distT="0" distB="0" distL="0" distR="0" wp14:anchorId="63B6E228" wp14:editId="7A0EF151">
                  <wp:extent cx="3200400" cy="3238500"/>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c>
        <w:tc>
          <w:tcPr>
            <w:tcW w:w="5227" w:type="dxa"/>
          </w:tcPr>
          <w:p w:rsidR="006B31BD" w:rsidRPr="00507EB9" w:rsidRDefault="006B31BD" w:rsidP="0016435C">
            <w:pPr>
              <w:spacing w:before="120"/>
              <w:ind w:left="720" w:hanging="720"/>
              <w:rPr>
                <w:rStyle w:val="FigureChar"/>
              </w:rPr>
            </w:pPr>
            <w:bookmarkStart w:id="339" w:name="_Toc384134391"/>
            <w:bookmarkStart w:id="340" w:name="_Toc416357935"/>
            <w:r w:rsidRPr="00E269E2">
              <w:rPr>
                <w:rStyle w:val="FigureChar"/>
              </w:rPr>
              <w:t xml:space="preserve">Figure </w:t>
            </w:r>
            <w:r w:rsidRPr="00286D55">
              <w:rPr>
                <w:rStyle w:val="FigureChar"/>
              </w:rPr>
              <w:fldChar w:fldCharType="begin"/>
            </w:r>
            <w:r w:rsidRPr="00286D55">
              <w:rPr>
                <w:rStyle w:val="FigureChar"/>
              </w:rPr>
              <w:instrText xml:space="preserve"> SEQ Figure \* ARABIC </w:instrText>
            </w:r>
            <w:r w:rsidRPr="00286D55">
              <w:rPr>
                <w:rStyle w:val="FigureChar"/>
              </w:rPr>
              <w:fldChar w:fldCharType="separate"/>
            </w:r>
            <w:r w:rsidR="007E3DB6">
              <w:rPr>
                <w:rStyle w:val="FigureChar"/>
                <w:noProof/>
              </w:rPr>
              <w:t>50</w:t>
            </w:r>
            <w:r w:rsidRPr="00286D55">
              <w:rPr>
                <w:rStyle w:val="FigureChar"/>
              </w:rPr>
              <w:fldChar w:fldCharType="end"/>
            </w:r>
            <w:r w:rsidRPr="00E269E2">
              <w:rPr>
                <w:rStyle w:val="FigureChar"/>
              </w:rPr>
              <w:t>.</w:t>
            </w:r>
            <w:r>
              <w:rPr>
                <w:rStyle w:val="FigureChar"/>
              </w:rPr>
              <w:t xml:space="preserve"> Total Number of Violence Related</w:t>
            </w:r>
            <w:r w:rsidR="00F43175">
              <w:rPr>
                <w:rStyle w:val="FigureChar"/>
              </w:rPr>
              <w:t xml:space="preserve"> UIs among Admission Units (FY14</w:t>
            </w:r>
            <w:r>
              <w:rPr>
                <w:rStyle w:val="FigureChar"/>
              </w:rPr>
              <w:t>)</w:t>
            </w:r>
            <w:bookmarkEnd w:id="339"/>
            <w:bookmarkEnd w:id="340"/>
          </w:p>
          <w:p w:rsidR="006B31BD" w:rsidRDefault="009E2751" w:rsidP="00A80446">
            <w:pPr>
              <w:pStyle w:val="KeyFindings"/>
              <w:numPr>
                <w:ilvl w:val="0"/>
                <w:numId w:val="0"/>
              </w:numPr>
            </w:pPr>
            <w:r>
              <w:rPr>
                <w:noProof/>
                <w:lang w:eastAsia="en-US"/>
              </w:rPr>
              <w:drawing>
                <wp:inline distT="0" distB="0" distL="0" distR="0" wp14:anchorId="2A4CB9FF" wp14:editId="5C8831FE">
                  <wp:extent cx="3267075" cy="3086100"/>
                  <wp:effectExtent l="0" t="0" r="0" b="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r>
    </w:tbl>
    <w:p w:rsidR="00077855" w:rsidRDefault="001E534B" w:rsidP="00A80446">
      <w:pPr>
        <w:pStyle w:val="KeyFindings"/>
      </w:pPr>
      <w:bookmarkStart w:id="341" w:name="_Toc384134395"/>
      <w:r>
        <w:t>Although all of the admission units have high</w:t>
      </w:r>
      <w:r w:rsidR="008646B0">
        <w:t>er</w:t>
      </w:r>
      <w:r>
        <w:t xml:space="preserve"> numbers of violence related incidents overall, t</w:t>
      </w:r>
      <w:r w:rsidR="00C96DAB">
        <w:t>he type of most frequent incident</w:t>
      </w:r>
      <w:r>
        <w:t xml:space="preserve">s </w:t>
      </w:r>
      <w:r w:rsidR="00C96DAB">
        <w:t xml:space="preserve">varies by unit.  </w:t>
      </w:r>
      <w:r w:rsidR="00E93162">
        <w:t>Aggressive behaviors were reported most frequently from 1F</w:t>
      </w:r>
      <w:r w:rsidR="00BF6E4C">
        <w:t>, which served</w:t>
      </w:r>
      <w:r w:rsidR="008646B0">
        <w:t xml:space="preserve"> primarily</w:t>
      </w:r>
      <w:r w:rsidR="00D737BD">
        <w:t xml:space="preserve"> male</w:t>
      </w:r>
      <w:r w:rsidR="008646B0">
        <w:t xml:space="preserve"> individuals admitted with a </w:t>
      </w:r>
      <w:r w:rsidR="00272216" w:rsidRPr="00272216">
        <w:t>p</w:t>
      </w:r>
      <w:r w:rsidR="008646B0" w:rsidRPr="00272216">
        <w:t>re-trial</w:t>
      </w:r>
      <w:r w:rsidR="008646B0">
        <w:t xml:space="preserve"> legal status</w:t>
      </w:r>
      <w:r w:rsidR="00E93162">
        <w:t xml:space="preserve">: a total of 166 </w:t>
      </w:r>
      <w:r>
        <w:t>incidents</w:t>
      </w:r>
      <w:r w:rsidR="00E93162">
        <w:t xml:space="preserve"> for FY14 or 14 per month.  </w:t>
      </w:r>
      <w:r w:rsidR="00272216">
        <w:t>Unit</w:t>
      </w:r>
      <w:r w:rsidR="00E93162">
        <w:t xml:space="preserve"> 1F also recorded the highest frequency of </w:t>
      </w:r>
      <w:r w:rsidR="00C96DAB">
        <w:t xml:space="preserve">psychiatric emergencies at 125 (10 per month) while reporting physical assaults </w:t>
      </w:r>
      <w:r w:rsidR="00E93162">
        <w:t xml:space="preserve">least frequently (53 in total or </w:t>
      </w:r>
      <w:r w:rsidR="00C96DAB">
        <w:t>four per</w:t>
      </w:r>
      <w:r w:rsidR="00077855">
        <w:t xml:space="preserve"> </w:t>
      </w:r>
      <w:r w:rsidR="00C96DAB">
        <w:t xml:space="preserve">month) among admission units.  </w:t>
      </w:r>
      <w:r w:rsidR="00D737BD">
        <w:t xml:space="preserve">Unit </w:t>
      </w:r>
      <w:r w:rsidR="001A7342">
        <w:t>1G</w:t>
      </w:r>
      <w:r w:rsidR="00BF6E4C">
        <w:t xml:space="preserve"> that </w:t>
      </w:r>
      <w:r w:rsidR="00D737BD">
        <w:t xml:space="preserve">also </w:t>
      </w:r>
      <w:r w:rsidR="00BF6E4C">
        <w:t xml:space="preserve">served primarily male individuals admitted with a </w:t>
      </w:r>
      <w:r w:rsidR="00272216">
        <w:t>p</w:t>
      </w:r>
      <w:r w:rsidR="00BF6E4C" w:rsidRPr="00272216">
        <w:t>re-trial</w:t>
      </w:r>
      <w:r w:rsidR="00BF6E4C">
        <w:t xml:space="preserve"> legal status</w:t>
      </w:r>
      <w:r w:rsidR="001A7342">
        <w:t xml:space="preserve"> had the highest number of physical assaults (91)</w:t>
      </w:r>
      <w:r w:rsidR="00BF6E4C">
        <w:t xml:space="preserve">.  Unit </w:t>
      </w:r>
      <w:r w:rsidR="001A7342">
        <w:t xml:space="preserve">1D </w:t>
      </w:r>
      <w:r w:rsidR="00BF6E4C">
        <w:t>served primarily</w:t>
      </w:r>
      <w:r w:rsidR="00272216">
        <w:t xml:space="preserve"> the</w:t>
      </w:r>
      <w:r w:rsidR="0041410A">
        <w:t xml:space="preserve"> female individuals admitted with a civil or pre-trial legal status </w:t>
      </w:r>
      <w:r w:rsidR="00BF6E4C">
        <w:t xml:space="preserve">and it </w:t>
      </w:r>
      <w:r w:rsidR="001A7342">
        <w:t xml:space="preserve">reported the second highest number of physical assaults (86) in FY14.  </w:t>
      </w:r>
      <w:r w:rsidR="00272216">
        <w:t xml:space="preserve">Unit </w:t>
      </w:r>
      <w:r w:rsidR="001A7342">
        <w:t xml:space="preserve">1D, then, reported </w:t>
      </w:r>
      <w:r w:rsidR="00C96DAB">
        <w:t>6</w:t>
      </w:r>
      <w:r w:rsidR="001A7342">
        <w:t>4</w:t>
      </w:r>
      <w:r w:rsidR="00C96DAB">
        <w:t xml:space="preserve"> aggressive behaviors</w:t>
      </w:r>
      <w:r w:rsidR="00272216">
        <w:t xml:space="preserve">, which is discernibly </w:t>
      </w:r>
      <w:r w:rsidR="001A7342">
        <w:t>lower than other admission units</w:t>
      </w:r>
      <w:r w:rsidR="00C96DAB">
        <w:t xml:space="preserve">.  </w:t>
      </w:r>
      <w:r w:rsidR="00D737BD">
        <w:t xml:space="preserve">Unit </w:t>
      </w:r>
      <w:r w:rsidR="00C96DAB">
        <w:t>1E</w:t>
      </w:r>
      <w:r w:rsidR="00BF6E4C">
        <w:t xml:space="preserve"> that served </w:t>
      </w:r>
      <w:r w:rsidR="00D737BD">
        <w:t xml:space="preserve">both male and female </w:t>
      </w:r>
      <w:r w:rsidR="00BF6E4C">
        <w:t xml:space="preserve">individuals admitted with a </w:t>
      </w:r>
      <w:r w:rsidR="0069227F">
        <w:t>c</w:t>
      </w:r>
      <w:r w:rsidR="00BF6E4C" w:rsidRPr="00272216">
        <w:t>ivil</w:t>
      </w:r>
      <w:r w:rsidR="00C96DAB">
        <w:t xml:space="preserve"> </w:t>
      </w:r>
      <w:r w:rsidR="00BF6E4C">
        <w:t xml:space="preserve">legal status </w:t>
      </w:r>
      <w:r w:rsidR="00C96DAB">
        <w:t xml:space="preserve">had a total of 101 incidents </w:t>
      </w:r>
      <w:r w:rsidR="001A7342">
        <w:t>involving</w:t>
      </w:r>
      <w:r w:rsidR="00C96DAB">
        <w:t xml:space="preserve"> psychiatric emergencies but only 21 of them </w:t>
      </w:r>
      <w:r>
        <w:t>accompanied</w:t>
      </w:r>
      <w:r w:rsidR="00C96DAB">
        <w:t xml:space="preserve"> code 13</w:t>
      </w:r>
      <w:r w:rsidR="009E2751">
        <w:t>.</w:t>
      </w:r>
      <w:r w:rsidR="00272216">
        <w:rPr>
          <w:rStyle w:val="FootnoteReference"/>
        </w:rPr>
        <w:footnoteReference w:id="30"/>
      </w:r>
    </w:p>
    <w:tbl>
      <w:tblPr>
        <w:tblpPr w:leftFromText="187" w:rightFromText="187" w:vertAnchor="text" w:horzAnchor="margin" w:tblpXSpec="right" w:tblpY="72"/>
        <w:tblOverlap w:val="never"/>
        <w:tblW w:w="4608" w:type="dxa"/>
        <w:tblLayout w:type="fixed"/>
        <w:tblLook w:val="01E0" w:firstRow="1" w:lastRow="1" w:firstColumn="1" w:lastColumn="1" w:noHBand="0" w:noVBand="0"/>
      </w:tblPr>
      <w:tblGrid>
        <w:gridCol w:w="4608"/>
      </w:tblGrid>
      <w:tr w:rsidR="00077855" w:rsidTr="00BD0EAE">
        <w:trPr>
          <w:cantSplit/>
        </w:trPr>
        <w:tc>
          <w:tcPr>
            <w:tcW w:w="4608" w:type="dxa"/>
          </w:tcPr>
          <w:p w:rsidR="00077855" w:rsidRDefault="00077855" w:rsidP="00BD0EAE">
            <w:pPr>
              <w:spacing w:before="120"/>
              <w:ind w:left="720" w:hanging="720"/>
              <w:rPr>
                <w:rStyle w:val="FigureChar"/>
              </w:rPr>
            </w:pPr>
            <w:bookmarkStart w:id="342" w:name="_Toc386095107"/>
            <w:bookmarkStart w:id="343" w:name="_Toc416357936"/>
            <w:r w:rsidRPr="00E269E2">
              <w:rPr>
                <w:rStyle w:val="FigureChar"/>
              </w:rPr>
              <w:t xml:space="preserve">Figure </w:t>
            </w:r>
            <w:r>
              <w:rPr>
                <w:rStyle w:val="FigureChar"/>
              </w:rPr>
              <w:fldChar w:fldCharType="begin"/>
            </w:r>
            <w:r>
              <w:rPr>
                <w:rStyle w:val="FigureChar"/>
              </w:rPr>
              <w:instrText xml:space="preserve"> SEQ Figure \* ARABIC </w:instrText>
            </w:r>
            <w:r>
              <w:rPr>
                <w:rStyle w:val="FigureChar"/>
              </w:rPr>
              <w:fldChar w:fldCharType="separate"/>
            </w:r>
            <w:r w:rsidR="007E3DB6">
              <w:rPr>
                <w:rStyle w:val="FigureChar"/>
                <w:noProof/>
              </w:rPr>
              <w:t>51</w:t>
            </w:r>
            <w:r>
              <w:rPr>
                <w:rStyle w:val="FigureChar"/>
              </w:rPr>
              <w:fldChar w:fldCharType="end"/>
            </w:r>
            <w:r w:rsidRPr="00E269E2">
              <w:rPr>
                <w:rStyle w:val="FigureChar"/>
              </w:rPr>
              <w:t xml:space="preserve">. </w:t>
            </w:r>
            <w:r>
              <w:rPr>
                <w:rStyle w:val="FigureChar"/>
              </w:rPr>
              <w:t>Physical Assaults by Severity (FY11 ~ FY14)</w:t>
            </w:r>
            <w:bookmarkEnd w:id="342"/>
            <w:bookmarkEnd w:id="343"/>
          </w:p>
          <w:p w:rsidR="00077855" w:rsidRPr="00E02FFD" w:rsidRDefault="00077855" w:rsidP="00BD0EAE">
            <w:r>
              <w:rPr>
                <w:noProof/>
              </w:rPr>
              <w:drawing>
                <wp:inline distT="0" distB="0" distL="0" distR="0" wp14:anchorId="6FF2CC9D" wp14:editId="50A0A017">
                  <wp:extent cx="2924175" cy="3067050"/>
                  <wp:effectExtent l="0" t="0" r="0" b="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r>
    </w:tbl>
    <w:p w:rsidR="007B67A4" w:rsidRDefault="007B67A4" w:rsidP="007B67A4">
      <w:pPr>
        <w:pStyle w:val="KeyFindings"/>
      </w:pPr>
      <w:r>
        <w:t>In FY14, the number and the proportion of high severity physical assaults significantly increased.  In FY13, there were a total of 56 physical assaults</w:t>
      </w:r>
      <w:r w:rsidR="00611A1C">
        <w:t xml:space="preserve"> (5 per month)</w:t>
      </w:r>
      <w:r>
        <w:t xml:space="preserve"> considered to be high severity and they composed about 13% of all physical assaults.  The number of high severity physical assaults in FY14 increased to a total of 128 (11 per month) and </w:t>
      </w:r>
      <w:r w:rsidR="005A464E">
        <w:t xml:space="preserve">they </w:t>
      </w:r>
      <w:r w:rsidR="00611A1C">
        <w:t>made up</w:t>
      </w:r>
      <w:r w:rsidR="005A464E">
        <w:t xml:space="preserve"> 23% of all physical assaults</w:t>
      </w:r>
      <w:r w:rsidR="00077855">
        <w:t xml:space="preserve"> for the year</w:t>
      </w:r>
      <w:r w:rsidR="005A464E">
        <w:t>.</w:t>
      </w:r>
    </w:p>
    <w:p w:rsidR="00077855" w:rsidRPr="00A3424A" w:rsidRDefault="00077855" w:rsidP="00077855">
      <w:pPr>
        <w:pStyle w:val="KeyFindings"/>
        <w:rPr>
          <w:b/>
          <w:snapToGrid/>
          <w:color w:val="1F497D"/>
        </w:rPr>
      </w:pPr>
      <w:r>
        <w:t xml:space="preserve">The overall time pattern of physical assault incidents in FY14 is similar to the trend in FY12 and FY13 but there is a fairly </w:t>
      </w:r>
      <w:r w:rsidR="00272216">
        <w:t>notable</w:t>
      </w:r>
      <w:r>
        <w:t xml:space="preserve"> shift in the peak hour</w:t>
      </w:r>
      <w:r w:rsidR="00603EFB">
        <w:t>s</w:t>
      </w:r>
      <w:r>
        <w:t xml:space="preserve"> of physical assaults.  The frequency of physical assaults starts rising from 5:00 a.m. as </w:t>
      </w:r>
      <w:r w:rsidR="00C62398">
        <w:t>IICs</w:t>
      </w:r>
      <w:r>
        <w:t xml:space="preserve"> start waking up.  It increases every hour</w:t>
      </w:r>
      <w:r w:rsidR="00603EFB">
        <w:t>,</w:t>
      </w:r>
      <w:r>
        <w:t xml:space="preserve"> more noticeably between 8:00 a.m. and 8:59 a.m., right after breakfast, morning medication administration and shift changes.  </w:t>
      </w:r>
      <w:r w:rsidR="00603EFB">
        <w:t xml:space="preserve">In FY12 and FY13, </w:t>
      </w:r>
      <w:r>
        <w:t xml:space="preserve">this </w:t>
      </w:r>
      <w:r w:rsidR="00603EFB">
        <w:t>was</w:t>
      </w:r>
      <w:r>
        <w:t xml:space="preserve"> the peak hour when physical as</w:t>
      </w:r>
      <w:r w:rsidR="00603EFB">
        <w:t>saults occurred most frequently</w:t>
      </w:r>
      <w:r>
        <w:t xml:space="preserve">.  In FY14, however, the peak hour </w:t>
      </w:r>
      <w:r w:rsidR="00603EFB">
        <w:t xml:space="preserve">for physical assaults </w:t>
      </w:r>
      <w:r>
        <w:t>shifted to between 9:00 a.m. and 9:59 a.m.  Particularly, the number of physical assaults reported after 9:30 a.m. and before 10:00 a.m. increased by 160%.  This appears to be related to a change made in FY14 regarding the start time of treatment groups at the T</w:t>
      </w:r>
      <w:r w:rsidR="00FE4505">
        <w:t>herapeutic</w:t>
      </w:r>
      <w:r>
        <w:t xml:space="preserve"> Learning Center (TLC).  Prior to January 2014, most of treatment groups at TLC started at 9:00 a.m. and individuals moved from units to TLC right before 9:00 a.m.  Since January 2014, however, admission units started to hold community meetings within their units at 9:00 a.m. as frequently as daily.  This shifted the start time of treatment groups at TLC for many individuals to 10:00 a.m.  Accordingly, individuals participating in treatment groups would get ready and escorted to TLC after the community meetings but before 10:00 a.m., generally between 9:30 a.m. and 10:00 a.m.  </w:t>
      </w:r>
    </w:p>
    <w:p w:rsidR="00077855" w:rsidRDefault="00077855" w:rsidP="007B67A4">
      <w:pPr>
        <w:pStyle w:val="KeyFindings"/>
      </w:pPr>
      <w:r>
        <w:t>Once a majority of individuals join treatment groups and activities at 10:00 a.m., the frequency</w:t>
      </w:r>
      <w:r w:rsidR="00BD0EAE">
        <w:t xml:space="preserve"> of physical assaults markedly</w:t>
      </w:r>
      <w:r>
        <w:t xml:space="preserve"> declines until lunch break between 12:00 a.m. and 1:00 p.m.  A similar cycle of ups and downs repeats until the evening hours</w:t>
      </w:r>
      <w:r w:rsidR="000D55E5">
        <w:t xml:space="preserve">; </w:t>
      </w:r>
      <w:r>
        <w:t xml:space="preserve">the number </w:t>
      </w:r>
      <w:r w:rsidR="000D55E5">
        <w:t xml:space="preserve">of assaults </w:t>
      </w:r>
      <w:r>
        <w:t xml:space="preserve">tends to increase when many  individuals move from one place to another, such as return to unit from TLC (2:00 p.m. to 3:00 p.m.) or return to unit after exercise of privilege (5:00 p.m. to 6:00 p.m.).  Then, the frequency of incidents </w:t>
      </w:r>
      <w:r w:rsidR="000D55E5">
        <w:t>declined</w:t>
      </w:r>
      <w:r>
        <w:t xml:space="preserve"> following dinner and evening medication administration. While a</w:t>
      </w:r>
      <w:r w:rsidR="00BD0EAE">
        <w:t xml:space="preserve"> comprehensive </w:t>
      </w:r>
      <w:r>
        <w:t xml:space="preserve">study </w:t>
      </w:r>
      <w:r w:rsidR="00BD0EAE">
        <w:t>is recommended to analyze further</w:t>
      </w:r>
      <w:r>
        <w:t xml:space="preserve">, this data suggests that individuals in care are more likely to get agitated and become aggressive during the process of changing their physical location and activities, which may produce </w:t>
      </w:r>
      <w:r w:rsidR="000D55E5">
        <w:t xml:space="preserve">a </w:t>
      </w:r>
      <w:r>
        <w:t xml:space="preserve">more </w:t>
      </w:r>
      <w:r w:rsidR="000D55E5">
        <w:t xml:space="preserve">stimulating </w:t>
      </w:r>
      <w:r>
        <w:t>environment with high</w:t>
      </w:r>
      <w:r w:rsidR="000F5629">
        <w:t>er</w:t>
      </w:r>
      <w:r>
        <w:t xml:space="preserve"> levels of noise</w:t>
      </w:r>
      <w:r w:rsidR="00BD0EAE">
        <w:t>.</w:t>
      </w:r>
    </w:p>
    <w:p w:rsidR="00D52D7C" w:rsidRDefault="00D52D7C" w:rsidP="00FF1533">
      <w:pPr>
        <w:pStyle w:val="KeyFindings"/>
        <w:keepNext/>
        <w:numPr>
          <w:ilvl w:val="0"/>
          <w:numId w:val="0"/>
        </w:numPr>
        <w:rPr>
          <w:rStyle w:val="FigureChar"/>
        </w:rPr>
      </w:pPr>
      <w:bookmarkStart w:id="344" w:name="_Toc350841521"/>
      <w:bookmarkStart w:id="345" w:name="_Toc384134399"/>
      <w:bookmarkStart w:id="346" w:name="_Toc416357937"/>
      <w:bookmarkEnd w:id="341"/>
      <w:r w:rsidRPr="00E269E2">
        <w:rPr>
          <w:rStyle w:val="FigureChar"/>
        </w:rPr>
        <w:t xml:space="preserve">Figure </w:t>
      </w:r>
      <w:r>
        <w:rPr>
          <w:rStyle w:val="FigureChar"/>
        </w:rPr>
        <w:fldChar w:fldCharType="begin"/>
      </w:r>
      <w:r>
        <w:rPr>
          <w:rStyle w:val="FigureChar"/>
        </w:rPr>
        <w:instrText xml:space="preserve"> SEQ Figure \* ARABIC </w:instrText>
      </w:r>
      <w:r>
        <w:rPr>
          <w:rStyle w:val="FigureChar"/>
        </w:rPr>
        <w:fldChar w:fldCharType="separate"/>
      </w:r>
      <w:r w:rsidR="007E3DB6">
        <w:rPr>
          <w:rStyle w:val="FigureChar"/>
          <w:noProof/>
        </w:rPr>
        <w:t>52</w:t>
      </w:r>
      <w:r>
        <w:rPr>
          <w:rStyle w:val="FigureChar"/>
        </w:rPr>
        <w:fldChar w:fldCharType="end"/>
      </w:r>
      <w:r w:rsidRPr="00686880">
        <w:rPr>
          <w:rStyle w:val="FigureChar"/>
        </w:rPr>
        <w:t xml:space="preserve">. </w:t>
      </w:r>
      <w:r w:rsidRPr="00752F6A">
        <w:rPr>
          <w:rStyle w:val="FigureChar"/>
        </w:rPr>
        <w:t>Time Trend of Physical Assault Incidents (FY1</w:t>
      </w:r>
      <w:r w:rsidR="002F29A6">
        <w:rPr>
          <w:rStyle w:val="FigureChar"/>
        </w:rPr>
        <w:t>2</w:t>
      </w:r>
      <w:r w:rsidRPr="00752F6A">
        <w:rPr>
          <w:rStyle w:val="FigureChar"/>
        </w:rPr>
        <w:t xml:space="preserve"> ~ FY1</w:t>
      </w:r>
      <w:r w:rsidR="00FF1533">
        <w:rPr>
          <w:rStyle w:val="FigureChar"/>
        </w:rPr>
        <w:t>4</w:t>
      </w:r>
      <w:r w:rsidRPr="00752F6A">
        <w:rPr>
          <w:rStyle w:val="FigureChar"/>
        </w:rPr>
        <w:t>)</w:t>
      </w:r>
      <w:bookmarkEnd w:id="344"/>
      <w:bookmarkEnd w:id="345"/>
      <w:bookmarkEnd w:id="346"/>
    </w:p>
    <w:p w:rsidR="00D52D7C" w:rsidRDefault="00FF1533" w:rsidP="00D52D7C">
      <w:pPr>
        <w:rPr>
          <w:rStyle w:val="FigureChar"/>
        </w:rPr>
      </w:pPr>
      <w:r>
        <w:rPr>
          <w:noProof/>
        </w:rPr>
        <w:drawing>
          <wp:inline distT="0" distB="0" distL="0" distR="0" wp14:anchorId="3D2A7257" wp14:editId="2071413C">
            <wp:extent cx="6705600" cy="2552700"/>
            <wp:effectExtent l="0" t="0" r="0" b="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65721F" w:rsidRPr="00C73DCE" w:rsidRDefault="0065721F" w:rsidP="003F18B1">
      <w:pPr>
        <w:pStyle w:val="Heading2"/>
      </w:pPr>
      <w:bookmarkStart w:id="347" w:name="_Toc384134400"/>
      <w:bookmarkStart w:id="348" w:name="_Ref384852945"/>
      <w:bookmarkStart w:id="349" w:name="_Ref384852964"/>
      <w:bookmarkStart w:id="350" w:name="_Ref384852979"/>
      <w:bookmarkStart w:id="351" w:name="_Ref414874662"/>
      <w:bookmarkStart w:id="352" w:name="_Ref415236539"/>
      <w:bookmarkStart w:id="353" w:name="_Toc416357882"/>
      <w:bookmarkEnd w:id="336"/>
      <w:r>
        <w:t xml:space="preserve">Aggressors </w:t>
      </w:r>
      <w:r w:rsidR="00534AD6">
        <w:t xml:space="preserve">and Victims </w:t>
      </w:r>
      <w:r>
        <w:t>of Physical Assault and Aggressive Behavior Incidents</w:t>
      </w:r>
      <w:bookmarkEnd w:id="347"/>
      <w:bookmarkEnd w:id="348"/>
      <w:bookmarkEnd w:id="349"/>
      <w:bookmarkEnd w:id="350"/>
      <w:bookmarkEnd w:id="351"/>
      <w:bookmarkEnd w:id="352"/>
      <w:bookmarkEnd w:id="353"/>
    </w:p>
    <w:p w:rsidR="00B7640F" w:rsidRDefault="00764CDF" w:rsidP="004B2866">
      <w:pPr>
        <w:pStyle w:val="KeyFindings"/>
      </w:pPr>
      <w:bookmarkStart w:id="354" w:name="_Toc384134401"/>
      <w:r>
        <w:t xml:space="preserve">Like the pattern </w:t>
      </w:r>
      <w:r w:rsidR="0065721F">
        <w:t xml:space="preserve">found </w:t>
      </w:r>
      <w:r w:rsidR="00054417">
        <w:t>for</w:t>
      </w:r>
      <w:r>
        <w:t xml:space="preserve"> </w:t>
      </w:r>
      <w:r w:rsidR="00054417">
        <w:t>o</w:t>
      </w:r>
      <w:r>
        <w:t xml:space="preserve">verall unusual incidents, a relatively small number of individuals trigger </w:t>
      </w:r>
      <w:r w:rsidR="005D05A2">
        <w:t>violence related incidents</w:t>
      </w:r>
      <w:r w:rsidR="00006DAA">
        <w:t xml:space="preserve"> repeatedly</w:t>
      </w:r>
      <w:r w:rsidR="005D05A2">
        <w:t>.  During FY1</w:t>
      </w:r>
      <w:r w:rsidR="002A0508">
        <w:t>4</w:t>
      </w:r>
      <w:r w:rsidR="005D05A2">
        <w:t xml:space="preserve">, the Hospital served a total of </w:t>
      </w:r>
      <w:r w:rsidR="0061698B">
        <w:t>636</w:t>
      </w:r>
      <w:r w:rsidR="005D05A2">
        <w:t xml:space="preserve"> unique individuals </w:t>
      </w:r>
      <w:r w:rsidR="00A84F1D">
        <w:t xml:space="preserve">who </w:t>
      </w:r>
      <w:r w:rsidR="005D05A2">
        <w:t>stay</w:t>
      </w:r>
      <w:r w:rsidR="00A84F1D">
        <w:t>ed</w:t>
      </w:r>
      <w:r w:rsidR="005D05A2">
        <w:t xml:space="preserve"> for at least one day </w:t>
      </w:r>
      <w:r w:rsidR="0029688F">
        <w:t>in care</w:t>
      </w:r>
      <w:r w:rsidR="005D05A2">
        <w:t xml:space="preserve">.  Of those, </w:t>
      </w:r>
      <w:r w:rsidR="0067264D">
        <w:t>401</w:t>
      </w:r>
      <w:r w:rsidR="00BD0EAE">
        <w:t xml:space="preserve"> were never alleged as aggressor for any violence related incidents and </w:t>
      </w:r>
      <w:r w:rsidR="00AA5AC7">
        <w:t>235 or 3</w:t>
      </w:r>
      <w:r w:rsidR="0067264D">
        <w:t xml:space="preserve">7% were </w:t>
      </w:r>
      <w:r w:rsidR="00BD0EAE">
        <w:t xml:space="preserve">identified as </w:t>
      </w:r>
      <w:r w:rsidR="0067264D">
        <w:t xml:space="preserve">aggressors for </w:t>
      </w:r>
      <w:r w:rsidR="00BD0EAE">
        <w:t>at least one</w:t>
      </w:r>
      <w:r w:rsidR="00AA5AC7">
        <w:t xml:space="preserve"> physical assault </w:t>
      </w:r>
      <w:r w:rsidR="00BD0EAE">
        <w:t>o</w:t>
      </w:r>
      <w:r w:rsidR="00AA5AC7">
        <w:t>r aggressive behavior incident during the 12 month time period.</w:t>
      </w:r>
      <w:r w:rsidR="00006DAA">
        <w:t xml:space="preserve">  </w:t>
      </w:r>
      <w:r w:rsidR="000B22B0">
        <w:t xml:space="preserve">Of those 235 individuals, 71 were reported to have initiated a violence related incident </w:t>
      </w:r>
      <w:r w:rsidR="009A5D04">
        <w:t>only once</w:t>
      </w:r>
      <w:r w:rsidR="001338DF">
        <w:t>,</w:t>
      </w:r>
      <w:r w:rsidR="009A5D04">
        <w:t xml:space="preserve"> and 139 </w:t>
      </w:r>
      <w:r w:rsidR="00006DAA">
        <w:t xml:space="preserve">or 26% of all served were aggressors </w:t>
      </w:r>
      <w:r w:rsidR="000B22B0">
        <w:t xml:space="preserve">for </w:t>
      </w:r>
      <w:r w:rsidR="00006DAA">
        <w:t>more than on</w:t>
      </w:r>
      <w:r w:rsidR="000B22B0">
        <w:t>e incident</w:t>
      </w:r>
      <w:r w:rsidR="00006DAA">
        <w:t>.  The</w:t>
      </w:r>
      <w:r w:rsidR="000B22B0">
        <w:t>se</w:t>
      </w:r>
      <w:r w:rsidR="00006DAA">
        <w:t xml:space="preserve"> 139 </w:t>
      </w:r>
      <w:r w:rsidR="000B22B0">
        <w:t xml:space="preserve">repeat aggressors </w:t>
      </w:r>
      <w:r w:rsidR="001338DF">
        <w:t>include 25 individuals</w:t>
      </w:r>
      <w:r w:rsidR="000F5629">
        <w:t>,</w:t>
      </w:r>
      <w:r w:rsidR="00006DAA">
        <w:t xml:space="preserve"> each of whom was identified as aggressors </w:t>
      </w:r>
      <w:r w:rsidR="000F5629">
        <w:t>in</w:t>
      </w:r>
      <w:r w:rsidR="009A5D04">
        <w:t xml:space="preserve"> </w:t>
      </w:r>
      <w:r w:rsidR="00006DAA">
        <w:t>more than 10</w:t>
      </w:r>
      <w:r w:rsidR="000F5629">
        <w:t xml:space="preserve"> incidents </w:t>
      </w:r>
      <w:r w:rsidR="00006DAA">
        <w:t xml:space="preserve">during FY14.  </w:t>
      </w:r>
      <w:r w:rsidR="000B22B0">
        <w:t>And t</w:t>
      </w:r>
      <w:r w:rsidR="00006DAA">
        <w:t>hese 25 individuals (less than 4% of all individuals served) were accountable for nearly half (46%) of physical assaults or aggressive behaviors.</w:t>
      </w:r>
      <w:r w:rsidR="005D05A2">
        <w:t xml:space="preserve"> </w:t>
      </w:r>
      <w:r w:rsidR="004B2866">
        <w:t xml:space="preserve"> </w:t>
      </w:r>
    </w:p>
    <w:tbl>
      <w:tblPr>
        <w:tblStyle w:val="TableGrid"/>
        <w:tblW w:w="1107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72" w:type="dxa"/>
          <w:left w:w="115" w:type="dxa"/>
          <w:right w:w="115" w:type="dxa"/>
        </w:tblCellMar>
        <w:tblLook w:val="04A0" w:firstRow="1" w:lastRow="0" w:firstColumn="1" w:lastColumn="0" w:noHBand="0" w:noVBand="1"/>
      </w:tblPr>
      <w:tblGrid>
        <w:gridCol w:w="4955"/>
        <w:gridCol w:w="6124"/>
      </w:tblGrid>
      <w:tr w:rsidR="00B7640F" w:rsidTr="00FE4505">
        <w:trPr>
          <w:jc w:val="center"/>
        </w:trPr>
        <w:tc>
          <w:tcPr>
            <w:tcW w:w="4955" w:type="dxa"/>
          </w:tcPr>
          <w:p w:rsidR="00B7640F" w:rsidRDefault="00B7640F" w:rsidP="009E1778">
            <w:pPr>
              <w:ind w:left="720" w:hanging="720"/>
            </w:pPr>
            <w:bookmarkStart w:id="355" w:name="_Toc416357938"/>
            <w:r w:rsidRPr="00E269E2">
              <w:rPr>
                <w:rStyle w:val="FigureChar"/>
              </w:rPr>
              <w:t xml:space="preserve">Figure </w:t>
            </w:r>
            <w:r>
              <w:rPr>
                <w:rStyle w:val="FigureChar"/>
              </w:rPr>
              <w:fldChar w:fldCharType="begin"/>
            </w:r>
            <w:r>
              <w:rPr>
                <w:rStyle w:val="FigureChar"/>
              </w:rPr>
              <w:instrText xml:space="preserve"> SEQ Figure \* ARABIC </w:instrText>
            </w:r>
            <w:r>
              <w:rPr>
                <w:rStyle w:val="FigureChar"/>
              </w:rPr>
              <w:fldChar w:fldCharType="separate"/>
            </w:r>
            <w:r w:rsidR="007E3DB6">
              <w:rPr>
                <w:rStyle w:val="FigureChar"/>
                <w:noProof/>
              </w:rPr>
              <w:t>53</w:t>
            </w:r>
            <w:r>
              <w:rPr>
                <w:rStyle w:val="FigureChar"/>
              </w:rPr>
              <w:fldChar w:fldCharType="end"/>
            </w:r>
            <w:r w:rsidRPr="00686880">
              <w:rPr>
                <w:rStyle w:val="FigureChar"/>
              </w:rPr>
              <w:t xml:space="preserve">. </w:t>
            </w:r>
            <w:r w:rsidR="0074771A">
              <w:rPr>
                <w:rStyle w:val="FigureChar"/>
              </w:rPr>
              <w:t xml:space="preserve">Number of </w:t>
            </w:r>
            <w:r>
              <w:rPr>
                <w:rStyle w:val="FigureChar"/>
              </w:rPr>
              <w:t xml:space="preserve">Unique Individuals </w:t>
            </w:r>
            <w:r w:rsidR="009E1778">
              <w:rPr>
                <w:rStyle w:val="FigureChar"/>
              </w:rPr>
              <w:t xml:space="preserve">by </w:t>
            </w:r>
            <w:r w:rsidR="0074771A">
              <w:rPr>
                <w:rStyle w:val="FigureChar"/>
              </w:rPr>
              <w:t xml:space="preserve">Level of </w:t>
            </w:r>
            <w:r w:rsidR="00142C39">
              <w:rPr>
                <w:rStyle w:val="FigureChar"/>
              </w:rPr>
              <w:t>Frequenc</w:t>
            </w:r>
            <w:r w:rsidR="0074771A">
              <w:rPr>
                <w:rStyle w:val="FigureChar"/>
              </w:rPr>
              <w:t>ies</w:t>
            </w:r>
            <w:r w:rsidR="00142C39">
              <w:rPr>
                <w:rStyle w:val="FigureChar"/>
              </w:rPr>
              <w:t xml:space="preserve"> </w:t>
            </w:r>
            <w:r w:rsidR="0074771A">
              <w:rPr>
                <w:rStyle w:val="FigureChar"/>
              </w:rPr>
              <w:t>of</w:t>
            </w:r>
            <w:r w:rsidR="00142C39">
              <w:rPr>
                <w:rStyle w:val="FigureChar"/>
              </w:rPr>
              <w:t xml:space="preserve"> </w:t>
            </w:r>
            <w:r w:rsidR="0074771A">
              <w:rPr>
                <w:rStyle w:val="FigureChar"/>
              </w:rPr>
              <w:t>being Aggressors</w:t>
            </w:r>
            <w:r w:rsidR="00142C39">
              <w:rPr>
                <w:rStyle w:val="FigureChar"/>
              </w:rPr>
              <w:t xml:space="preserve"> </w:t>
            </w:r>
            <w:r w:rsidR="0074771A">
              <w:rPr>
                <w:rStyle w:val="FigureChar"/>
              </w:rPr>
              <w:t>in</w:t>
            </w:r>
            <w:r w:rsidR="00142C39">
              <w:rPr>
                <w:rStyle w:val="FigureChar"/>
              </w:rPr>
              <w:t xml:space="preserve"> </w:t>
            </w:r>
            <w:r w:rsidR="00F9335F">
              <w:rPr>
                <w:rStyle w:val="FigureChar"/>
              </w:rPr>
              <w:t xml:space="preserve"> </w:t>
            </w:r>
            <w:r w:rsidR="0074771A">
              <w:rPr>
                <w:rStyle w:val="FigureChar"/>
              </w:rPr>
              <w:t xml:space="preserve">Physical </w:t>
            </w:r>
            <w:r>
              <w:rPr>
                <w:rStyle w:val="FigureChar"/>
              </w:rPr>
              <w:t>Assaults or Aggressive Behaviors</w:t>
            </w:r>
            <w:r w:rsidR="009E1778">
              <w:rPr>
                <w:rStyle w:val="FigureChar"/>
              </w:rPr>
              <w:t xml:space="preserve"> </w:t>
            </w:r>
            <w:r w:rsidR="00142C39">
              <w:rPr>
                <w:rStyle w:val="FigureChar"/>
              </w:rPr>
              <w:t>in</w:t>
            </w:r>
            <w:r w:rsidR="00F9335F">
              <w:rPr>
                <w:rStyle w:val="FigureChar"/>
              </w:rPr>
              <w:t xml:space="preserve"> </w:t>
            </w:r>
            <w:r w:rsidR="009E1778">
              <w:rPr>
                <w:rStyle w:val="FigureChar"/>
              </w:rPr>
              <w:t>FY</w:t>
            </w:r>
            <w:r w:rsidR="00F9335F">
              <w:rPr>
                <w:rStyle w:val="FigureChar"/>
              </w:rPr>
              <w:t>14</w:t>
            </w:r>
            <w:bookmarkEnd w:id="355"/>
          </w:p>
          <w:p w:rsidR="00B7640F" w:rsidRDefault="00B7640F" w:rsidP="00B7640F">
            <w:r>
              <w:rPr>
                <w:noProof/>
              </w:rPr>
              <w:drawing>
                <wp:inline distT="0" distB="0" distL="0" distR="0" wp14:anchorId="33E0552B" wp14:editId="40301934">
                  <wp:extent cx="2819400" cy="2657475"/>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c>
        <w:tc>
          <w:tcPr>
            <w:tcW w:w="6124" w:type="dxa"/>
          </w:tcPr>
          <w:p w:rsidR="00FB1915" w:rsidRDefault="00FB1915" w:rsidP="00FB1915">
            <w:pPr>
              <w:ind w:left="720" w:hanging="720"/>
              <w:rPr>
                <w:rStyle w:val="FigureChar"/>
              </w:rPr>
            </w:pPr>
            <w:bookmarkStart w:id="356" w:name="_Toc416357939"/>
            <w:r w:rsidRPr="00E269E2">
              <w:rPr>
                <w:rStyle w:val="FigureChar"/>
              </w:rPr>
              <w:t xml:space="preserve">Figure </w:t>
            </w:r>
            <w:r>
              <w:rPr>
                <w:rStyle w:val="FigureChar"/>
              </w:rPr>
              <w:fldChar w:fldCharType="begin"/>
            </w:r>
            <w:r>
              <w:rPr>
                <w:rStyle w:val="FigureChar"/>
              </w:rPr>
              <w:instrText xml:space="preserve"> SEQ Figure \* ARABIC </w:instrText>
            </w:r>
            <w:r>
              <w:rPr>
                <w:rStyle w:val="FigureChar"/>
              </w:rPr>
              <w:fldChar w:fldCharType="separate"/>
            </w:r>
            <w:r w:rsidR="007E3DB6">
              <w:rPr>
                <w:rStyle w:val="FigureChar"/>
                <w:noProof/>
              </w:rPr>
              <w:t>54</w:t>
            </w:r>
            <w:r>
              <w:rPr>
                <w:rStyle w:val="FigureChar"/>
              </w:rPr>
              <w:fldChar w:fldCharType="end"/>
            </w:r>
            <w:r w:rsidRPr="00686880">
              <w:rPr>
                <w:rStyle w:val="FigureChar"/>
              </w:rPr>
              <w:t xml:space="preserve">. </w:t>
            </w:r>
            <w:r>
              <w:rPr>
                <w:rStyle w:val="FigureChar"/>
              </w:rPr>
              <w:t xml:space="preserve">Percentage of Physical Assaults or Aggressive Behaviors </w:t>
            </w:r>
            <w:r w:rsidR="00215EF2">
              <w:rPr>
                <w:rStyle w:val="FigureChar"/>
              </w:rPr>
              <w:t xml:space="preserve">Triggered </w:t>
            </w:r>
            <w:r>
              <w:rPr>
                <w:rStyle w:val="FigureChar"/>
              </w:rPr>
              <w:t xml:space="preserve">by </w:t>
            </w:r>
            <w:r w:rsidR="0074771A">
              <w:rPr>
                <w:rStyle w:val="FigureChar"/>
              </w:rPr>
              <w:t>Repeat</w:t>
            </w:r>
            <w:r>
              <w:rPr>
                <w:rStyle w:val="FigureChar"/>
              </w:rPr>
              <w:t xml:space="preserve"> Aggressors (FY14)</w:t>
            </w:r>
            <w:bookmarkEnd w:id="356"/>
          </w:p>
          <w:p w:rsidR="00B7640F" w:rsidRDefault="00962BDA" w:rsidP="00A65C4F">
            <w:r w:rsidRPr="0096740B">
              <w:rPr>
                <w:noProof/>
              </w:rPr>
              <w:drawing>
                <wp:inline distT="0" distB="0" distL="0" distR="0" wp14:anchorId="1043BDC7" wp14:editId="11D445A0">
                  <wp:extent cx="3714750" cy="2819400"/>
                  <wp:effectExtent l="0" t="0" r="0" b="0"/>
                  <wp:docPr id="150" name="Chart 150"/>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c>
      </w:tr>
      <w:bookmarkEnd w:id="354"/>
    </w:tbl>
    <w:p w:rsidR="00006DAA" w:rsidRPr="000D55E5" w:rsidRDefault="00006DAA" w:rsidP="000D55E5"/>
    <w:p w:rsidR="00FE4505" w:rsidRPr="000F5629" w:rsidRDefault="00FE4505" w:rsidP="00FE4505">
      <w:pPr>
        <w:pStyle w:val="KeyFindings"/>
      </w:pPr>
      <w:bookmarkStart w:id="357" w:name="_Toc384134403"/>
      <w:bookmarkStart w:id="358" w:name="_Toc384134406"/>
      <w:r>
        <w:t xml:space="preserve">As addressed </w:t>
      </w:r>
      <w:r>
        <w:fldChar w:fldCharType="begin"/>
      </w:r>
      <w:r>
        <w:instrText xml:space="preserve"> PAGEREF ViolenceAdmissionCensus \p \h </w:instrText>
      </w:r>
      <w:r>
        <w:fldChar w:fldCharType="separate"/>
      </w:r>
      <w:r w:rsidR="007E3DB6">
        <w:rPr>
          <w:noProof/>
        </w:rPr>
        <w:t>on page 41</w:t>
      </w:r>
      <w:r>
        <w:fldChar w:fldCharType="end"/>
      </w:r>
      <w:r>
        <w:t xml:space="preserve"> above, individuals recently admitted to the Hospital are more likely to engage in aggressive behaviors and/or physical assaults than those who have been in care for a longer period.  On a given day, about 12% to 15% of individuals in our care have been hospitalized for less than 30 days.  During FY14, however, 24% of aggressors in physical assaults and 28% of aggressors in aggressive behaviors initiated such incidents when they had been in care for less than 30 days.  Particularly, aggressive behaviors are even more prevalent among those in care for shorter length: more than half of the aggressive behavior incidents </w:t>
      </w:r>
      <w:r w:rsidR="004A3E9B">
        <w:t xml:space="preserve">occurred </w:t>
      </w:r>
      <w:r>
        <w:t>among those who had been in care for less than 6 months.</w:t>
      </w:r>
      <w:bookmarkEnd w:id="357"/>
      <w:r>
        <w:t xml:space="preserve">  </w:t>
      </w:r>
      <w:r w:rsidRPr="000F5629">
        <w:t xml:space="preserve">This </w:t>
      </w:r>
      <w:r w:rsidR="000F5629">
        <w:t xml:space="preserve">may </w:t>
      </w:r>
      <w:r w:rsidRPr="000F5629">
        <w:t>reflect the degree of psychosis among admissions</w:t>
      </w:r>
      <w:r w:rsidR="00561153">
        <w:t xml:space="preserve"> to the Hospital.  Also, staff may not have learned yet about </w:t>
      </w:r>
      <w:r w:rsidR="000F5629">
        <w:t>individuals</w:t>
      </w:r>
      <w:r w:rsidR="00561153">
        <w:t xml:space="preserve"> who have been just hospitalized and who are likely to feel more anxious </w:t>
      </w:r>
      <w:r w:rsidR="00405EAE">
        <w:t>than usual</w:t>
      </w:r>
      <w:r w:rsidR="00561153">
        <w:t>.</w:t>
      </w:r>
    </w:p>
    <w:tbl>
      <w:tblPr>
        <w:tblW w:w="11060" w:type="dxa"/>
        <w:jc w:val="center"/>
        <w:tblInd w:w="310" w:type="dxa"/>
        <w:tblLayout w:type="fixed"/>
        <w:tblCellMar>
          <w:top w:w="14" w:type="dxa"/>
          <w:left w:w="115" w:type="dxa"/>
          <w:bottom w:w="14" w:type="dxa"/>
          <w:right w:w="115" w:type="dxa"/>
        </w:tblCellMar>
        <w:tblLook w:val="04A0" w:firstRow="1" w:lastRow="0" w:firstColumn="1" w:lastColumn="0" w:noHBand="0" w:noVBand="1"/>
      </w:tblPr>
      <w:tblGrid>
        <w:gridCol w:w="5350"/>
        <w:gridCol w:w="5710"/>
      </w:tblGrid>
      <w:tr w:rsidR="00FE4505" w:rsidRPr="00734716" w:rsidTr="00194086">
        <w:trPr>
          <w:cantSplit/>
          <w:trHeight w:val="5746"/>
          <w:jc w:val="center"/>
        </w:trPr>
        <w:tc>
          <w:tcPr>
            <w:tcW w:w="5350" w:type="dxa"/>
          </w:tcPr>
          <w:p w:rsidR="00FE4505" w:rsidRDefault="00FE4505" w:rsidP="00194086">
            <w:pPr>
              <w:spacing w:before="120"/>
              <w:ind w:left="720" w:hanging="720"/>
              <w:rPr>
                <w:rStyle w:val="FigureChar"/>
              </w:rPr>
            </w:pPr>
            <w:bookmarkStart w:id="359" w:name="_Toc416357940"/>
            <w:r w:rsidRPr="00E269E2">
              <w:rPr>
                <w:rStyle w:val="FigureChar"/>
              </w:rPr>
              <w:t xml:space="preserve">Figure </w:t>
            </w:r>
            <w:r>
              <w:rPr>
                <w:rStyle w:val="FigureChar"/>
              </w:rPr>
              <w:fldChar w:fldCharType="begin"/>
            </w:r>
            <w:r>
              <w:rPr>
                <w:rStyle w:val="FigureChar"/>
              </w:rPr>
              <w:instrText xml:space="preserve"> SEQ Figure \* ARABIC </w:instrText>
            </w:r>
            <w:r>
              <w:rPr>
                <w:rStyle w:val="FigureChar"/>
              </w:rPr>
              <w:fldChar w:fldCharType="separate"/>
            </w:r>
            <w:r w:rsidR="007E3DB6">
              <w:rPr>
                <w:rStyle w:val="FigureChar"/>
                <w:noProof/>
              </w:rPr>
              <w:t>55</w:t>
            </w:r>
            <w:r>
              <w:rPr>
                <w:rStyle w:val="FigureChar"/>
              </w:rPr>
              <w:fldChar w:fldCharType="end"/>
            </w:r>
            <w:r w:rsidRPr="00686880">
              <w:rPr>
                <w:rStyle w:val="FigureChar"/>
              </w:rPr>
              <w:t xml:space="preserve">. </w:t>
            </w:r>
            <w:r>
              <w:rPr>
                <w:rStyle w:val="FigureChar"/>
              </w:rPr>
              <w:t>LOS of All in Care vs. Aggressors at Incident (FY14)</w:t>
            </w:r>
            <w:bookmarkEnd w:id="359"/>
          </w:p>
          <w:p w:rsidR="00FE4505" w:rsidRPr="00D830FD" w:rsidRDefault="00FE4505" w:rsidP="00194086">
            <w:pPr>
              <w:rPr>
                <w:rFonts w:eastAsia="SimSun"/>
              </w:rPr>
            </w:pPr>
            <w:r>
              <w:rPr>
                <w:noProof/>
              </w:rPr>
              <w:drawing>
                <wp:inline distT="0" distB="0" distL="0" distR="0" wp14:anchorId="177FC5CC" wp14:editId="1BD3DF34">
                  <wp:extent cx="3248025" cy="4638675"/>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c>
        <w:tc>
          <w:tcPr>
            <w:tcW w:w="5710" w:type="dxa"/>
            <w:shd w:val="clear" w:color="auto" w:fill="auto"/>
            <w:noWrap/>
          </w:tcPr>
          <w:p w:rsidR="00FE4505" w:rsidRDefault="00FE4505" w:rsidP="00194086">
            <w:pPr>
              <w:spacing w:before="120"/>
              <w:ind w:left="720" w:hanging="720"/>
              <w:rPr>
                <w:rStyle w:val="FigureChar"/>
              </w:rPr>
            </w:pPr>
            <w:bookmarkStart w:id="360" w:name="_Toc416357941"/>
            <w:r w:rsidRPr="00E269E2">
              <w:rPr>
                <w:rStyle w:val="FigureChar"/>
              </w:rPr>
              <w:t xml:space="preserve">Figure </w:t>
            </w:r>
            <w:r>
              <w:rPr>
                <w:rStyle w:val="FigureChar"/>
              </w:rPr>
              <w:fldChar w:fldCharType="begin"/>
            </w:r>
            <w:r>
              <w:rPr>
                <w:rStyle w:val="FigureChar"/>
              </w:rPr>
              <w:instrText xml:space="preserve"> SEQ Figure \* ARABIC </w:instrText>
            </w:r>
            <w:r>
              <w:rPr>
                <w:rStyle w:val="FigureChar"/>
              </w:rPr>
              <w:fldChar w:fldCharType="separate"/>
            </w:r>
            <w:r w:rsidR="007E3DB6">
              <w:rPr>
                <w:rStyle w:val="FigureChar"/>
                <w:noProof/>
              </w:rPr>
              <w:t>56</w:t>
            </w:r>
            <w:r>
              <w:rPr>
                <w:rStyle w:val="FigureChar"/>
              </w:rPr>
              <w:fldChar w:fldCharType="end"/>
            </w:r>
            <w:r w:rsidRPr="00686880">
              <w:rPr>
                <w:rStyle w:val="FigureChar"/>
              </w:rPr>
              <w:t xml:space="preserve">. </w:t>
            </w:r>
            <w:r>
              <w:rPr>
                <w:rStyle w:val="FigureChar"/>
              </w:rPr>
              <w:t>Median LOS for Aggressors vs. All Individuals in Care (FY14)</w:t>
            </w:r>
            <w:bookmarkEnd w:id="360"/>
          </w:p>
          <w:p w:rsidR="00FE4505" w:rsidRDefault="00FE4505" w:rsidP="00194086">
            <w:r>
              <w:rPr>
                <w:noProof/>
              </w:rPr>
              <w:drawing>
                <wp:inline distT="0" distB="0" distL="0" distR="0" wp14:anchorId="2A269B4B" wp14:editId="26205813">
                  <wp:extent cx="3467100" cy="1800225"/>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FE4505" w:rsidRDefault="00FE4505" w:rsidP="00194086">
            <w:pPr>
              <w:spacing w:before="120"/>
              <w:ind w:left="720" w:hanging="720"/>
              <w:rPr>
                <w:rStyle w:val="FigureChar"/>
              </w:rPr>
            </w:pPr>
            <w:bookmarkStart w:id="361" w:name="_Toc416357942"/>
            <w:r w:rsidRPr="00E269E2">
              <w:rPr>
                <w:rStyle w:val="FigureChar"/>
              </w:rPr>
              <w:t xml:space="preserve">Figure </w:t>
            </w:r>
            <w:r>
              <w:rPr>
                <w:rStyle w:val="FigureChar"/>
              </w:rPr>
              <w:fldChar w:fldCharType="begin"/>
            </w:r>
            <w:r>
              <w:rPr>
                <w:rStyle w:val="FigureChar"/>
              </w:rPr>
              <w:instrText xml:space="preserve"> SEQ Figure \* ARABIC </w:instrText>
            </w:r>
            <w:r>
              <w:rPr>
                <w:rStyle w:val="FigureChar"/>
              </w:rPr>
              <w:fldChar w:fldCharType="separate"/>
            </w:r>
            <w:r w:rsidR="007E3DB6">
              <w:rPr>
                <w:rStyle w:val="FigureChar"/>
                <w:noProof/>
              </w:rPr>
              <w:t>57</w:t>
            </w:r>
            <w:r>
              <w:rPr>
                <w:rStyle w:val="FigureChar"/>
              </w:rPr>
              <w:fldChar w:fldCharType="end"/>
            </w:r>
            <w:r w:rsidRPr="00E269E2">
              <w:rPr>
                <w:rStyle w:val="FigureChar"/>
              </w:rPr>
              <w:t xml:space="preserve">. </w:t>
            </w:r>
            <w:r>
              <w:rPr>
                <w:rStyle w:val="FigureChar"/>
              </w:rPr>
              <w:t>Severity of Incidents by Legal Status of Aggressors (FY14)</w:t>
            </w:r>
            <w:bookmarkEnd w:id="361"/>
          </w:p>
          <w:p w:rsidR="00FE4505" w:rsidRPr="00735045" w:rsidRDefault="00FE4505" w:rsidP="00194086">
            <w:r>
              <w:rPr>
                <w:noProof/>
              </w:rPr>
              <w:drawing>
                <wp:inline distT="0" distB="0" distL="0" distR="0" wp14:anchorId="41DFA3D9" wp14:editId="3B9D9898">
                  <wp:extent cx="3409950" cy="2381250"/>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c>
      </w:tr>
    </w:tbl>
    <w:p w:rsidR="00FE4505" w:rsidRPr="00FE4505" w:rsidRDefault="00FE4505" w:rsidP="00FE4505">
      <w:pPr>
        <w:rPr>
          <w:highlight w:val="yellow"/>
        </w:rPr>
      </w:pPr>
    </w:p>
    <w:p w:rsidR="00FE4505" w:rsidRDefault="00FE4505" w:rsidP="00FE4505">
      <w:pPr>
        <w:pStyle w:val="KeyFindings"/>
      </w:pPr>
      <w:bookmarkStart w:id="362" w:name="_Toc384134404"/>
      <w:r>
        <w:t xml:space="preserve">The median LOS data for aggressors vs. all individuals in care also demonstrates the same pattern: the median LOS for all </w:t>
      </w:r>
      <w:r w:rsidR="00C62398">
        <w:t>IICs</w:t>
      </w:r>
      <w:r>
        <w:t xml:space="preserve"> on September 30, 2014 was 394 days, whereas the median LOS of aggressors for physical assaults and LOS of aggressive behaviors at the time of incidents were 246 days and 157 days, respectively.</w:t>
      </w:r>
      <w:bookmarkEnd w:id="362"/>
    </w:p>
    <w:p w:rsidR="004B2866" w:rsidRDefault="004B2866" w:rsidP="004B2866">
      <w:pPr>
        <w:pStyle w:val="KeyFindings"/>
      </w:pPr>
      <w:r>
        <w:t xml:space="preserve">Aggressors’ admission legal status and its relationship to the severity of violence related incidents </w:t>
      </w:r>
      <w:r w:rsidR="009D3CF3">
        <w:t>are</w:t>
      </w:r>
      <w:r>
        <w:t xml:space="preserve"> also noteworthy.  About 47% of physical assaults and aggressive behaviors were triggered by individuals admitted with a</w:t>
      </w:r>
      <w:r w:rsidR="0069227F">
        <w:t xml:space="preserve"> civil</w:t>
      </w:r>
      <w:r>
        <w:t xml:space="preserve"> legal status while 42% were triggered by those admitted with a </w:t>
      </w:r>
      <w:r w:rsidRPr="00533398">
        <w:rPr>
          <w:i/>
        </w:rPr>
        <w:t>Pre-trial</w:t>
      </w:r>
      <w:r>
        <w:t xml:space="preserve"> legal status.  However, nearly two out of three (64% or 155 of 241) aggressors responsible for high severity incidents were those admitted with a </w:t>
      </w:r>
      <w:r w:rsidRPr="00533398">
        <w:rPr>
          <w:i/>
        </w:rPr>
        <w:t>Pre-trial</w:t>
      </w:r>
      <w:r>
        <w:t xml:space="preserve"> legal status, whereas only 31% of aggressors responsible for high severity in</w:t>
      </w:r>
      <w:r w:rsidR="009D3CF3">
        <w:t>ci</w:t>
      </w:r>
      <w:r>
        <w:t xml:space="preserve">dents had been admitted with a </w:t>
      </w:r>
      <w:r w:rsidR="0069227F">
        <w:t xml:space="preserve">civil </w:t>
      </w:r>
      <w:r>
        <w:t>legal status.</w:t>
      </w:r>
      <w:bookmarkEnd w:id="358"/>
    </w:p>
    <w:p w:rsidR="00A9561E" w:rsidRPr="00A02DEF" w:rsidRDefault="00A9561E" w:rsidP="00A9561E">
      <w:pPr>
        <w:pStyle w:val="KeyFindings"/>
      </w:pPr>
      <w:r>
        <w:t>Often times, a physical assault or aggressive behavior targets a specific individual in care or staff member</w:t>
      </w:r>
      <w:r w:rsidR="00D85F64">
        <w:t xml:space="preserve"> although not every incident has </w:t>
      </w:r>
      <w:r w:rsidR="005B46E1">
        <w:t xml:space="preserve">clearly identified </w:t>
      </w:r>
      <w:r w:rsidR="00D85F64">
        <w:t>victims.</w:t>
      </w:r>
      <w:r>
        <w:t xml:space="preserve">  </w:t>
      </w:r>
      <w:r w:rsidR="00112AF4">
        <w:t>Of the</w:t>
      </w:r>
      <w:r w:rsidR="00D85F64">
        <w:t xml:space="preserve"> total of 1</w:t>
      </w:r>
      <w:r w:rsidR="00AD7679">
        <w:t>,</w:t>
      </w:r>
      <w:r w:rsidR="00D85F64">
        <w:t>106 incidents involving physical assaults and aggressive behaviors in FY14</w:t>
      </w:r>
      <w:r w:rsidR="00112AF4">
        <w:t>,</w:t>
      </w:r>
      <w:r w:rsidR="00D85F64">
        <w:t xml:space="preserve"> </w:t>
      </w:r>
      <w:r w:rsidR="00112AF4">
        <w:t xml:space="preserve">367 or 33% </w:t>
      </w:r>
      <w:r w:rsidR="00D85F64">
        <w:t xml:space="preserve">identified </w:t>
      </w:r>
      <w:r w:rsidR="00D00FED">
        <w:t>at least one</w:t>
      </w:r>
      <w:r w:rsidR="00D85F64">
        <w:t xml:space="preserve"> </w:t>
      </w:r>
      <w:r w:rsidR="00C62398">
        <w:t>IIC</w:t>
      </w:r>
      <w:r w:rsidR="00D85F64">
        <w:t xml:space="preserve"> as a victim and </w:t>
      </w:r>
      <w:r w:rsidR="00112AF4">
        <w:t xml:space="preserve">374 or 34% identified at least one </w:t>
      </w:r>
      <w:r w:rsidR="00D85F64">
        <w:t xml:space="preserve">staff member </w:t>
      </w:r>
      <w:r w:rsidR="00112AF4">
        <w:t xml:space="preserve">as a victim.  It should be noted that some incidents involved more than one victim and a total of 393 individuals in care and 461 employees were reported as </w:t>
      </w:r>
      <w:r w:rsidR="005D09D4">
        <w:t>victim</w:t>
      </w:r>
      <w:r w:rsidR="00112AF4">
        <w:t>s for those incidents</w:t>
      </w:r>
      <w:r w:rsidR="005D09D4">
        <w:t xml:space="preserve">. </w:t>
      </w:r>
    </w:p>
    <w:p w:rsidR="00445A4A" w:rsidRDefault="00445A4A" w:rsidP="00A02DEF">
      <w:pPr>
        <w:pStyle w:val="KeyFindings"/>
      </w:pPr>
      <w:r>
        <w:t xml:space="preserve">Some individuals in care or </w:t>
      </w:r>
      <w:r w:rsidR="00112AF4">
        <w:t>employees were reported to be v</w:t>
      </w:r>
      <w:r>
        <w:t xml:space="preserve">ictims </w:t>
      </w:r>
      <w:r w:rsidR="00112AF4">
        <w:t>for</w:t>
      </w:r>
      <w:r>
        <w:t xml:space="preserve"> more than one incident</w:t>
      </w:r>
      <w:r w:rsidR="00236752">
        <w:t xml:space="preserve">.  There were a total of 197 unique </w:t>
      </w:r>
      <w:r w:rsidR="00C62398">
        <w:t>IICs</w:t>
      </w:r>
      <w:r>
        <w:t xml:space="preserve"> </w:t>
      </w:r>
      <w:r w:rsidR="00236752">
        <w:t xml:space="preserve">and 267 unique employees </w:t>
      </w:r>
      <w:r>
        <w:t>who were identified as victims from incident</w:t>
      </w:r>
      <w:r w:rsidR="00236752">
        <w:t>s</w:t>
      </w:r>
      <w:r>
        <w:t xml:space="preserve"> involving physical assault</w:t>
      </w:r>
      <w:r w:rsidR="00236752">
        <w:t>s</w:t>
      </w:r>
      <w:r>
        <w:t xml:space="preserve"> or aggressive behavior</w:t>
      </w:r>
      <w:r w:rsidR="00236752">
        <w:t>s in FY14</w:t>
      </w:r>
      <w:r>
        <w:t>.</w:t>
      </w:r>
    </w:p>
    <w:p w:rsidR="00A02DEF" w:rsidRPr="00A02DEF" w:rsidRDefault="009D3CF3" w:rsidP="00A02DEF">
      <w:pPr>
        <w:pStyle w:val="KeyFindings"/>
      </w:pPr>
      <w:r>
        <w:t>Like the</w:t>
      </w:r>
      <w:r w:rsidR="007412E2">
        <w:t xml:space="preserve"> small number of </w:t>
      </w:r>
      <w:r w:rsidR="00C62398">
        <w:t>IICs</w:t>
      </w:r>
      <w:r w:rsidR="007412E2">
        <w:t xml:space="preserve"> </w:t>
      </w:r>
      <w:r w:rsidR="00604D32">
        <w:t>were identified as repeat aggressors</w:t>
      </w:r>
      <w:r w:rsidR="007412E2">
        <w:t xml:space="preserve">, </w:t>
      </w:r>
      <w:r>
        <w:t xml:space="preserve">there were </w:t>
      </w:r>
      <w:r w:rsidR="007412E2">
        <w:t xml:space="preserve">a small number of </w:t>
      </w:r>
      <w:r w:rsidR="00C62398">
        <w:t>IICs</w:t>
      </w:r>
      <w:r w:rsidR="007412E2">
        <w:t xml:space="preserve"> and employees </w:t>
      </w:r>
      <w:r>
        <w:t xml:space="preserve">who </w:t>
      </w:r>
      <w:r w:rsidR="00604D32">
        <w:t>were</w:t>
      </w:r>
      <w:r w:rsidR="007412E2">
        <w:t xml:space="preserve"> identified as repeat victims</w:t>
      </w:r>
      <w:r w:rsidR="00604D32">
        <w:t xml:space="preserve"> of physical assaults or aggressive behavior incidents</w:t>
      </w:r>
      <w:r>
        <w:t>;</w:t>
      </w:r>
      <w:r w:rsidR="00176070">
        <w:t xml:space="preserve"> </w:t>
      </w:r>
      <w:r>
        <w:t xml:space="preserve">a total of 24 </w:t>
      </w:r>
      <w:r w:rsidR="00C62398">
        <w:t>IICs</w:t>
      </w:r>
      <w:r>
        <w:t xml:space="preserve"> were reported as</w:t>
      </w:r>
      <w:r w:rsidRPr="00A02DEF">
        <w:t xml:space="preserve"> victims for a total of 133 a</w:t>
      </w:r>
      <w:r>
        <w:t xml:space="preserve">ssaults or aggressive behaviors together, and </w:t>
      </w:r>
      <w:r w:rsidRPr="00A02DEF">
        <w:t xml:space="preserve">25 employees were </w:t>
      </w:r>
      <w:r>
        <w:t xml:space="preserve">reported </w:t>
      </w:r>
      <w:r w:rsidRPr="00A02DEF">
        <w:t>as victims for a total of 118 assaults or aggressive behaviors.</w:t>
      </w:r>
      <w:r>
        <w:t xml:space="preserve">  Particularly, </w:t>
      </w:r>
      <w:r w:rsidR="00A02DEF" w:rsidRPr="00A02DEF">
        <w:t xml:space="preserve">15 </w:t>
      </w:r>
      <w:r w:rsidR="00C62398">
        <w:t>IICs</w:t>
      </w:r>
      <w:r w:rsidR="00176070">
        <w:t xml:space="preserve"> </w:t>
      </w:r>
      <w:r w:rsidR="00A02DEF" w:rsidRPr="00A02DEF">
        <w:t xml:space="preserve">and </w:t>
      </w:r>
      <w:r w:rsidR="00604D32">
        <w:t>nine (</w:t>
      </w:r>
      <w:r w:rsidR="00A02DEF" w:rsidRPr="00A02DEF">
        <w:t>9</w:t>
      </w:r>
      <w:r w:rsidR="00604D32">
        <w:t>)</w:t>
      </w:r>
      <w:r w:rsidR="00A02DEF" w:rsidRPr="00A02DEF">
        <w:t xml:space="preserve"> employees each were victimized </w:t>
      </w:r>
      <w:r w:rsidR="00176070">
        <w:t>by physical assaults or aggressive behaviors for five (5) times or more</w:t>
      </w:r>
      <w:r w:rsidR="00A02DEF" w:rsidRPr="00A02DEF">
        <w:t>.</w:t>
      </w:r>
      <w:r w:rsidR="007D2D04">
        <w:t xml:space="preserve"> </w:t>
      </w:r>
    </w:p>
    <w:tbl>
      <w:tblPr>
        <w:tblStyle w:val="TableGrid"/>
        <w:tblW w:w="1112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72" w:type="dxa"/>
          <w:left w:w="115" w:type="dxa"/>
          <w:bottom w:w="72" w:type="dxa"/>
          <w:right w:w="115" w:type="dxa"/>
        </w:tblCellMar>
        <w:tblLook w:val="04A0" w:firstRow="1" w:lastRow="0" w:firstColumn="1" w:lastColumn="0" w:noHBand="0" w:noVBand="1"/>
      </w:tblPr>
      <w:tblGrid>
        <w:gridCol w:w="5000"/>
        <w:gridCol w:w="6124"/>
      </w:tblGrid>
      <w:tr w:rsidR="007412E2" w:rsidTr="00130CAE">
        <w:trPr>
          <w:cantSplit/>
          <w:jc w:val="center"/>
        </w:trPr>
        <w:tc>
          <w:tcPr>
            <w:tcW w:w="5000" w:type="dxa"/>
          </w:tcPr>
          <w:p w:rsidR="007412E2" w:rsidRDefault="007412E2" w:rsidP="00405FE8">
            <w:pPr>
              <w:ind w:left="720" w:hanging="720"/>
            </w:pPr>
            <w:bookmarkStart w:id="363" w:name="_Toc416357943"/>
            <w:r w:rsidRPr="00E269E2">
              <w:rPr>
                <w:rStyle w:val="FigureChar"/>
              </w:rPr>
              <w:t xml:space="preserve">Figure </w:t>
            </w:r>
            <w:r>
              <w:rPr>
                <w:rStyle w:val="FigureChar"/>
              </w:rPr>
              <w:fldChar w:fldCharType="begin"/>
            </w:r>
            <w:r>
              <w:rPr>
                <w:rStyle w:val="FigureChar"/>
              </w:rPr>
              <w:instrText xml:space="preserve"> SEQ Figure \* ARABIC </w:instrText>
            </w:r>
            <w:r>
              <w:rPr>
                <w:rStyle w:val="FigureChar"/>
              </w:rPr>
              <w:fldChar w:fldCharType="separate"/>
            </w:r>
            <w:r w:rsidR="007E3DB6">
              <w:rPr>
                <w:rStyle w:val="FigureChar"/>
                <w:noProof/>
              </w:rPr>
              <w:t>58</w:t>
            </w:r>
            <w:r>
              <w:rPr>
                <w:rStyle w:val="FigureChar"/>
              </w:rPr>
              <w:fldChar w:fldCharType="end"/>
            </w:r>
            <w:r w:rsidRPr="00686880">
              <w:rPr>
                <w:rStyle w:val="FigureChar"/>
              </w:rPr>
              <w:t xml:space="preserve">. </w:t>
            </w:r>
            <w:r>
              <w:rPr>
                <w:rStyle w:val="FigureChar"/>
              </w:rPr>
              <w:t xml:space="preserve">Unique Individuals </w:t>
            </w:r>
            <w:r w:rsidR="00DF2624">
              <w:rPr>
                <w:rStyle w:val="FigureChar"/>
              </w:rPr>
              <w:t xml:space="preserve">and Employees </w:t>
            </w:r>
            <w:r>
              <w:rPr>
                <w:rStyle w:val="FigureChar"/>
              </w:rPr>
              <w:t xml:space="preserve">by Frequency of </w:t>
            </w:r>
            <w:r w:rsidR="00DF2624">
              <w:rPr>
                <w:rStyle w:val="FigureChar"/>
              </w:rPr>
              <w:t xml:space="preserve">Victimizations </w:t>
            </w:r>
            <w:r>
              <w:rPr>
                <w:rStyle w:val="FigureChar"/>
              </w:rPr>
              <w:t>for Physical Assaults or Aggressive Behaviors in FY14</w:t>
            </w:r>
            <w:bookmarkEnd w:id="363"/>
            <w:r>
              <w:rPr>
                <w:rStyle w:val="FigureChar"/>
              </w:rPr>
              <w:t xml:space="preserve"> </w:t>
            </w:r>
          </w:p>
          <w:p w:rsidR="007412E2" w:rsidRDefault="007412E2" w:rsidP="00405FE8">
            <w:r>
              <w:rPr>
                <w:noProof/>
              </w:rPr>
              <w:drawing>
                <wp:inline distT="0" distB="0" distL="0" distR="0" wp14:anchorId="27F3D41D" wp14:editId="501D2EA8">
                  <wp:extent cx="3124200" cy="3009900"/>
                  <wp:effectExtent l="0" t="0" r="0"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tc>
        <w:tc>
          <w:tcPr>
            <w:tcW w:w="6124" w:type="dxa"/>
          </w:tcPr>
          <w:p w:rsidR="007412E2" w:rsidRDefault="007412E2" w:rsidP="00405FE8">
            <w:pPr>
              <w:ind w:left="720" w:hanging="720"/>
              <w:rPr>
                <w:rStyle w:val="FigureChar"/>
              </w:rPr>
            </w:pPr>
            <w:bookmarkStart w:id="364" w:name="_Toc416357944"/>
            <w:r w:rsidRPr="00E269E2">
              <w:rPr>
                <w:rStyle w:val="FigureChar"/>
              </w:rPr>
              <w:t xml:space="preserve">Figure </w:t>
            </w:r>
            <w:r>
              <w:rPr>
                <w:rStyle w:val="FigureChar"/>
              </w:rPr>
              <w:fldChar w:fldCharType="begin"/>
            </w:r>
            <w:r>
              <w:rPr>
                <w:rStyle w:val="FigureChar"/>
              </w:rPr>
              <w:instrText xml:space="preserve"> SEQ Figure \* ARABIC </w:instrText>
            </w:r>
            <w:r>
              <w:rPr>
                <w:rStyle w:val="FigureChar"/>
              </w:rPr>
              <w:fldChar w:fldCharType="separate"/>
            </w:r>
            <w:r w:rsidR="007E3DB6">
              <w:rPr>
                <w:rStyle w:val="FigureChar"/>
                <w:noProof/>
              </w:rPr>
              <w:t>59</w:t>
            </w:r>
            <w:r>
              <w:rPr>
                <w:rStyle w:val="FigureChar"/>
              </w:rPr>
              <w:fldChar w:fldCharType="end"/>
            </w:r>
            <w:r w:rsidRPr="00686880">
              <w:rPr>
                <w:rStyle w:val="FigureChar"/>
              </w:rPr>
              <w:t xml:space="preserve">. </w:t>
            </w:r>
            <w:r>
              <w:rPr>
                <w:rStyle w:val="FigureChar"/>
              </w:rPr>
              <w:t>Percentage of Physical Assaults or Aggressive</w:t>
            </w:r>
            <w:r w:rsidR="00DF2624">
              <w:rPr>
                <w:rStyle w:val="FigureChar"/>
              </w:rPr>
              <w:t xml:space="preserve"> Behaviors by Frequent Victims</w:t>
            </w:r>
            <w:r>
              <w:rPr>
                <w:rStyle w:val="FigureChar"/>
              </w:rPr>
              <w:t xml:space="preserve"> (FY14)</w:t>
            </w:r>
            <w:bookmarkEnd w:id="364"/>
          </w:p>
          <w:p w:rsidR="007412E2" w:rsidRDefault="007412E2" w:rsidP="00405FE8">
            <w:r>
              <w:rPr>
                <w:noProof/>
              </w:rPr>
              <w:drawing>
                <wp:inline distT="0" distB="0" distL="0" distR="0" wp14:anchorId="0A93BFDF" wp14:editId="61348382">
                  <wp:extent cx="3733800" cy="3095625"/>
                  <wp:effectExtent l="0" t="0" r="0" b="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c>
      </w:tr>
    </w:tbl>
    <w:p w:rsidR="00F352EC" w:rsidRDefault="00F352EC" w:rsidP="003F18B1">
      <w:pPr>
        <w:pStyle w:val="Heading2"/>
      </w:pPr>
      <w:bookmarkStart w:id="365" w:name="_Toc384134407"/>
      <w:bookmarkStart w:id="366" w:name="_Toc416357883"/>
      <w:r>
        <w:t>Medical Emergency related Incidents</w:t>
      </w:r>
      <w:bookmarkEnd w:id="365"/>
      <w:bookmarkEnd w:id="366"/>
    </w:p>
    <w:p w:rsidR="00C3373F" w:rsidRDefault="00C3373F" w:rsidP="00C3373F">
      <w:pPr>
        <w:pStyle w:val="KeyFindings"/>
      </w:pPr>
      <w:bookmarkStart w:id="367" w:name="_Toc384134408"/>
      <w:r>
        <w:t xml:space="preserve">The number of incidents </w:t>
      </w:r>
      <w:r w:rsidR="001405DB">
        <w:t xml:space="preserve">reported as </w:t>
      </w:r>
      <w:r w:rsidR="00FF5609">
        <w:t>medical emergencie</w:t>
      </w:r>
      <w:r>
        <w:t xml:space="preserve">s, </w:t>
      </w:r>
      <w:r w:rsidR="00FF5609">
        <w:t>which can involve</w:t>
      </w:r>
      <w:r>
        <w:t xml:space="preserve"> individuals</w:t>
      </w:r>
      <w:r w:rsidR="00FF5609">
        <w:t>,</w:t>
      </w:r>
      <w:r>
        <w:t xml:space="preserve"> staff members </w:t>
      </w:r>
      <w:r w:rsidR="00FF5609">
        <w:t>or visitors</w:t>
      </w:r>
      <w:r w:rsidR="001405DB">
        <w:t>,</w:t>
      </w:r>
      <w:r>
        <w:t xml:space="preserve"> increased to a total of 251 or 21 per month in FY14</w:t>
      </w:r>
      <w:r w:rsidR="00FF5609">
        <w:t>,</w:t>
      </w:r>
      <w:r>
        <w:t xml:space="preserve"> from a total of 184 or 15 per month in FY13.  </w:t>
      </w:r>
      <w:r w:rsidR="001405DB">
        <w:t xml:space="preserve">It should be noted, however, </w:t>
      </w:r>
      <w:r>
        <w:t xml:space="preserve">the trend of actual emergency medical leaves </w:t>
      </w:r>
      <w:r w:rsidR="00FF5609">
        <w:t xml:space="preserve">that are usually </w:t>
      </w:r>
      <w:r>
        <w:t>transfers of individuals in care</w:t>
      </w:r>
      <w:r w:rsidR="001405DB">
        <w:t xml:space="preserve"> to other facilities</w:t>
      </w:r>
      <w:r>
        <w:t xml:space="preserve"> remain</w:t>
      </w:r>
      <w:r w:rsidR="001405DB">
        <w:t>ed</w:t>
      </w:r>
      <w:r>
        <w:t xml:space="preserve"> unchanged in FY14 (see </w:t>
      </w:r>
      <w:r w:rsidRPr="00CF3D00">
        <w:rPr>
          <w:i/>
        </w:rPr>
        <w:t xml:space="preserve">Chapter </w:t>
      </w:r>
      <w:r w:rsidRPr="00CF3D00">
        <w:rPr>
          <w:i/>
        </w:rPr>
        <w:fldChar w:fldCharType="begin"/>
      </w:r>
      <w:r w:rsidRPr="00CF3D00">
        <w:rPr>
          <w:i/>
        </w:rPr>
        <w:instrText xml:space="preserve"> REF _Ref384856724 \w \p \h </w:instrText>
      </w:r>
      <w:r w:rsidR="00CF3D00">
        <w:rPr>
          <w:i/>
        </w:rPr>
        <w:instrText xml:space="preserve"> \* MERGEFORMAT </w:instrText>
      </w:r>
      <w:r w:rsidRPr="00CF3D00">
        <w:rPr>
          <w:i/>
        </w:rPr>
      </w:r>
      <w:r w:rsidRPr="00CF3D00">
        <w:rPr>
          <w:i/>
        </w:rPr>
        <w:fldChar w:fldCharType="separate"/>
      </w:r>
      <w:r w:rsidR="007E3DB6">
        <w:rPr>
          <w:i/>
        </w:rPr>
        <w:t>I.7 above</w:t>
      </w:r>
      <w:r w:rsidRPr="00CF3D00">
        <w:rPr>
          <w:i/>
        </w:rPr>
        <w:fldChar w:fldCharType="end"/>
      </w:r>
      <w:r>
        <w:t xml:space="preserve"> </w:t>
      </w:r>
      <w:r>
        <w:fldChar w:fldCharType="begin"/>
      </w:r>
      <w:r>
        <w:instrText xml:space="preserve"> PAGEREF _Ref384856703 \p \h </w:instrText>
      </w:r>
      <w:r>
        <w:fldChar w:fldCharType="separate"/>
      </w:r>
      <w:r w:rsidR="007E3DB6">
        <w:rPr>
          <w:noProof/>
        </w:rPr>
        <w:t>on page 15</w:t>
      </w:r>
      <w:r>
        <w:fldChar w:fldCharType="end"/>
      </w:r>
      <w:r>
        <w:t>).</w:t>
      </w:r>
    </w:p>
    <w:p w:rsidR="007D2D04" w:rsidRDefault="007D2D04" w:rsidP="00C3373F">
      <w:pPr>
        <w:pStyle w:val="KeyFindings"/>
      </w:pPr>
      <w:r>
        <w:t>Over one third (35%) of medical emergency incidents occurred for individuals residing in t</w:t>
      </w:r>
      <w:r w:rsidRPr="00EA441F">
        <w:t xml:space="preserve">he </w:t>
      </w:r>
      <w:r>
        <w:t>geriatric units (1A and 1B) which remains unchanged from FY13.  About another one third (32%) of medical emergency incidents took place among admission units (1D, 1E, 1F &amp; 1G).</w:t>
      </w:r>
    </w:p>
    <w:p w:rsidR="00C3373F" w:rsidRDefault="00C3373F" w:rsidP="00604D32">
      <w:pPr>
        <w:pStyle w:val="KeyFindings"/>
        <w:keepNext/>
        <w:numPr>
          <w:ilvl w:val="0"/>
          <w:numId w:val="0"/>
        </w:numPr>
        <w:rPr>
          <w:rStyle w:val="FigureChar"/>
          <w:noProof/>
        </w:rPr>
      </w:pPr>
      <w:bookmarkStart w:id="368" w:name="_Toc416357945"/>
      <w:r w:rsidRPr="00E269E2">
        <w:rPr>
          <w:rStyle w:val="FigureChar"/>
          <w:noProof/>
        </w:rPr>
        <w:t xml:space="preserve">Figure </w:t>
      </w:r>
      <w:r>
        <w:rPr>
          <w:rStyle w:val="FigureChar"/>
          <w:noProof/>
        </w:rPr>
        <w:fldChar w:fldCharType="begin"/>
      </w:r>
      <w:r>
        <w:rPr>
          <w:rStyle w:val="FigureChar"/>
          <w:noProof/>
        </w:rPr>
        <w:instrText xml:space="preserve"> SEQ Figure \* ARABIC </w:instrText>
      </w:r>
      <w:r>
        <w:rPr>
          <w:rStyle w:val="FigureChar"/>
          <w:noProof/>
        </w:rPr>
        <w:fldChar w:fldCharType="separate"/>
      </w:r>
      <w:r w:rsidR="007E3DB6">
        <w:rPr>
          <w:rStyle w:val="FigureChar"/>
          <w:noProof/>
        </w:rPr>
        <w:t>60</w:t>
      </w:r>
      <w:r>
        <w:rPr>
          <w:rStyle w:val="FigureChar"/>
          <w:noProof/>
        </w:rPr>
        <w:fldChar w:fldCharType="end"/>
      </w:r>
      <w:r w:rsidRPr="00E269E2">
        <w:rPr>
          <w:rStyle w:val="FigureChar"/>
          <w:noProof/>
        </w:rPr>
        <w:t xml:space="preserve">. </w:t>
      </w:r>
      <w:r>
        <w:rPr>
          <w:rStyle w:val="FigureChar"/>
          <w:noProof/>
        </w:rPr>
        <w:t>Medi</w:t>
      </w:r>
      <w:r w:rsidR="00D066D7">
        <w:rPr>
          <w:rStyle w:val="FigureChar"/>
          <w:noProof/>
        </w:rPr>
        <w:t>ca</w:t>
      </w:r>
      <w:r>
        <w:rPr>
          <w:rStyle w:val="FigureChar"/>
          <w:noProof/>
        </w:rPr>
        <w:t>l Emergency related UIs</w:t>
      </w:r>
      <w:r w:rsidRPr="00E269E2">
        <w:rPr>
          <w:rStyle w:val="FigureChar"/>
          <w:noProof/>
        </w:rPr>
        <w:t xml:space="preserve"> </w:t>
      </w:r>
      <w:r>
        <w:rPr>
          <w:rStyle w:val="FigureChar"/>
          <w:noProof/>
        </w:rPr>
        <w:t>(FY12 ~ FY14)</w:t>
      </w:r>
      <w:bookmarkEnd w:id="368"/>
    </w:p>
    <w:p w:rsidR="00C3373F" w:rsidRDefault="00C3373F" w:rsidP="00C3373F">
      <w:pPr>
        <w:pStyle w:val="KeyFindings"/>
        <w:numPr>
          <w:ilvl w:val="0"/>
          <w:numId w:val="0"/>
        </w:numPr>
        <w:ind w:left="288"/>
        <w:rPr>
          <w:rStyle w:val="FigureChar"/>
          <w:noProof/>
        </w:rPr>
      </w:pPr>
      <w:r>
        <w:rPr>
          <w:noProof/>
          <w:lang w:eastAsia="en-US"/>
        </w:rPr>
        <w:drawing>
          <wp:inline distT="0" distB="0" distL="0" distR="0" wp14:anchorId="36A60697" wp14:editId="1A57AC12">
            <wp:extent cx="6331789" cy="2406770"/>
            <wp:effectExtent l="0" t="0" r="12065" b="0"/>
            <wp:docPr id="144" name="Chart 144"/>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F352EC" w:rsidRPr="00416643" w:rsidRDefault="00F352EC" w:rsidP="003F18B1">
      <w:pPr>
        <w:pStyle w:val="Heading2"/>
      </w:pPr>
      <w:bookmarkStart w:id="369" w:name="_Toc384134412"/>
      <w:bookmarkStart w:id="370" w:name="_Toc416357884"/>
      <w:bookmarkEnd w:id="319"/>
      <w:bookmarkEnd w:id="367"/>
      <w:r w:rsidRPr="00416643">
        <w:t>Falls</w:t>
      </w:r>
      <w:bookmarkEnd w:id="369"/>
      <w:bookmarkEnd w:id="370"/>
    </w:p>
    <w:p w:rsidR="0076480D" w:rsidRPr="004C306C" w:rsidRDefault="0076480D" w:rsidP="0076480D">
      <w:pPr>
        <w:pStyle w:val="KeyFindings"/>
        <w:rPr>
          <w:b/>
          <w:color w:val="1F497D"/>
        </w:rPr>
      </w:pPr>
      <w:bookmarkStart w:id="371" w:name="_Toc384134414"/>
      <w:r>
        <w:t xml:space="preserve">A total of 261 fall incidents </w:t>
      </w:r>
      <w:r w:rsidR="00812A92">
        <w:t>(</w:t>
      </w:r>
      <w:r>
        <w:t>22 per month</w:t>
      </w:r>
      <w:r w:rsidR="00812A92">
        <w:t>)</w:t>
      </w:r>
      <w:r>
        <w:t xml:space="preserve"> were reported in FY14.  Of those, </w:t>
      </w:r>
      <w:r w:rsidR="00812A92">
        <w:t xml:space="preserve">a total of </w:t>
      </w:r>
      <w:r w:rsidR="003D5A66">
        <w:t>22</w:t>
      </w:r>
      <w:r>
        <w:t xml:space="preserve"> incidents involved </w:t>
      </w:r>
      <w:r w:rsidR="001E1F9A">
        <w:t xml:space="preserve">a </w:t>
      </w:r>
      <w:r>
        <w:t xml:space="preserve">staff </w:t>
      </w:r>
      <w:r w:rsidR="003D5A66">
        <w:t xml:space="preserve">or visitor </w:t>
      </w:r>
      <w:r>
        <w:t>only</w:t>
      </w:r>
      <w:r w:rsidR="001E1F9A">
        <w:t xml:space="preserve">.  The other </w:t>
      </w:r>
      <w:r>
        <w:t>2</w:t>
      </w:r>
      <w:r w:rsidR="003D5A66">
        <w:t>39</w:t>
      </w:r>
      <w:r w:rsidR="001E1F9A">
        <w:t xml:space="preserve"> incidents i</w:t>
      </w:r>
      <w:r>
        <w:t xml:space="preserve">nvolved individuals in care, including </w:t>
      </w:r>
      <w:r w:rsidR="006C07B5">
        <w:t xml:space="preserve">four </w:t>
      </w:r>
      <w:r>
        <w:t xml:space="preserve">incidents that involved both </w:t>
      </w:r>
      <w:r w:rsidR="001E1F9A">
        <w:t>IICs</w:t>
      </w:r>
      <w:r>
        <w:t xml:space="preserve"> and staff members. </w:t>
      </w:r>
      <w:r w:rsidR="00FB41E0">
        <w:t xml:space="preserve"> The monthly average number of falls involving </w:t>
      </w:r>
      <w:r w:rsidR="001E1F9A">
        <w:t>IICs</w:t>
      </w:r>
      <w:r w:rsidR="00FB41E0">
        <w:t xml:space="preserve"> </w:t>
      </w:r>
      <w:r w:rsidR="001E1F9A">
        <w:t>and those involving</w:t>
      </w:r>
      <w:r w:rsidR="00FB41E0">
        <w:t xml:space="preserve"> staff both increased in FY14: an</w:t>
      </w:r>
      <w:r>
        <w:t xml:space="preserve"> average of 20 patient falls, an increase from 17 in FY13</w:t>
      </w:r>
      <w:r w:rsidR="00FB41E0">
        <w:t>,</w:t>
      </w:r>
      <w:r w:rsidR="00812A92">
        <w:t xml:space="preserve"> and</w:t>
      </w:r>
      <w:r w:rsidR="00FB41E0">
        <w:t xml:space="preserve"> an average of </w:t>
      </w:r>
      <w:r w:rsidR="00812A92">
        <w:t>three (3) staff falls per month</w:t>
      </w:r>
      <w:r w:rsidR="00FB41E0">
        <w:t>, up from two (2) in FY13.</w:t>
      </w:r>
      <w:r>
        <w:t xml:space="preserve">  The patient fall rate, which factors </w:t>
      </w:r>
      <w:r w:rsidR="00593E68">
        <w:t xml:space="preserve">in </w:t>
      </w:r>
      <w:r>
        <w:t>the census, also indicates a</w:t>
      </w:r>
      <w:r w:rsidR="006C07B5">
        <w:t xml:space="preserve">n </w:t>
      </w:r>
      <w:r>
        <w:t>increase</w:t>
      </w:r>
      <w:r w:rsidR="006C07B5">
        <w:t xml:space="preserve"> in FY14</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5" w:type="dxa"/>
          <w:bottom w:w="43" w:type="dxa"/>
          <w:right w:w="115" w:type="dxa"/>
        </w:tblCellMar>
        <w:tblLook w:val="04A0" w:firstRow="1" w:lastRow="0" w:firstColumn="1" w:lastColumn="0" w:noHBand="0" w:noVBand="1"/>
      </w:tblPr>
      <w:tblGrid>
        <w:gridCol w:w="4575"/>
        <w:gridCol w:w="5735"/>
      </w:tblGrid>
      <w:tr w:rsidR="004C306C" w:rsidRPr="004C306C" w:rsidTr="004C306C">
        <w:trPr>
          <w:cantSplit/>
        </w:trPr>
        <w:tc>
          <w:tcPr>
            <w:tcW w:w="4821" w:type="dxa"/>
          </w:tcPr>
          <w:p w:rsidR="004C306C" w:rsidRPr="004C306C" w:rsidRDefault="004C306C" w:rsidP="004C306C">
            <w:pPr>
              <w:ind w:left="900" w:hanging="900"/>
              <w:rPr>
                <w:rStyle w:val="FigureChar"/>
              </w:rPr>
            </w:pPr>
            <w:bookmarkStart w:id="372" w:name="_Toc416357946"/>
            <w:r w:rsidRPr="004C306C">
              <w:rPr>
                <w:rStyle w:val="FigureChar"/>
              </w:rPr>
              <w:t xml:space="preserve">Figure </w:t>
            </w:r>
            <w:r w:rsidRPr="004C306C">
              <w:rPr>
                <w:rStyle w:val="FigureChar"/>
              </w:rPr>
              <w:fldChar w:fldCharType="begin"/>
            </w:r>
            <w:r w:rsidRPr="004C306C">
              <w:rPr>
                <w:rStyle w:val="FigureChar"/>
              </w:rPr>
              <w:instrText xml:space="preserve"> SEQ Figure \* ARABIC </w:instrText>
            </w:r>
            <w:r w:rsidRPr="004C306C">
              <w:rPr>
                <w:rStyle w:val="FigureChar"/>
              </w:rPr>
              <w:fldChar w:fldCharType="separate"/>
            </w:r>
            <w:r w:rsidR="007E3DB6">
              <w:rPr>
                <w:rStyle w:val="FigureChar"/>
                <w:noProof/>
              </w:rPr>
              <w:t>61</w:t>
            </w:r>
            <w:r w:rsidRPr="004C306C">
              <w:rPr>
                <w:rStyle w:val="FigureChar"/>
              </w:rPr>
              <w:fldChar w:fldCharType="end"/>
            </w:r>
            <w:r w:rsidRPr="004C306C">
              <w:rPr>
                <w:rStyle w:val="FigureChar"/>
              </w:rPr>
              <w:t>. Patient Falls vs. Staff Falls (FY11 ~ FY14)</w:t>
            </w:r>
            <w:bookmarkEnd w:id="372"/>
          </w:p>
          <w:p w:rsidR="004C306C" w:rsidRPr="004C306C" w:rsidRDefault="004C306C" w:rsidP="004C306C">
            <w:r w:rsidRPr="004C306C">
              <w:rPr>
                <w:noProof/>
              </w:rPr>
              <w:drawing>
                <wp:inline distT="0" distB="0" distL="0" distR="0" wp14:anchorId="67B02292" wp14:editId="6B2B2942">
                  <wp:extent cx="2924175" cy="2581275"/>
                  <wp:effectExtent l="0" t="0" r="0" b="0"/>
                  <wp:docPr id="145" name="Chart 145"/>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c>
        <w:tc>
          <w:tcPr>
            <w:tcW w:w="5475" w:type="dxa"/>
          </w:tcPr>
          <w:p w:rsidR="004C306C" w:rsidRPr="004C306C" w:rsidRDefault="004C306C" w:rsidP="004C306C">
            <w:pPr>
              <w:ind w:left="900" w:hanging="900"/>
              <w:rPr>
                <w:rStyle w:val="FigureChar"/>
              </w:rPr>
            </w:pPr>
            <w:bookmarkStart w:id="373" w:name="_Toc416357947"/>
            <w:r w:rsidRPr="004C306C">
              <w:rPr>
                <w:rStyle w:val="FigureChar"/>
              </w:rPr>
              <w:t xml:space="preserve">Figure </w:t>
            </w:r>
            <w:r w:rsidRPr="004C306C">
              <w:rPr>
                <w:rStyle w:val="FigureChar"/>
              </w:rPr>
              <w:fldChar w:fldCharType="begin"/>
            </w:r>
            <w:r w:rsidRPr="004C306C">
              <w:rPr>
                <w:rStyle w:val="FigureChar"/>
              </w:rPr>
              <w:instrText xml:space="preserve"> SEQ Figure \* ARABIC </w:instrText>
            </w:r>
            <w:r w:rsidRPr="004C306C">
              <w:rPr>
                <w:rStyle w:val="FigureChar"/>
              </w:rPr>
              <w:fldChar w:fldCharType="separate"/>
            </w:r>
            <w:r w:rsidR="007E3DB6">
              <w:rPr>
                <w:rStyle w:val="FigureChar"/>
                <w:noProof/>
              </w:rPr>
              <w:t>62</w:t>
            </w:r>
            <w:r w:rsidRPr="004C306C">
              <w:rPr>
                <w:rStyle w:val="FigureChar"/>
              </w:rPr>
              <w:fldChar w:fldCharType="end"/>
            </w:r>
            <w:r w:rsidRPr="004C306C">
              <w:rPr>
                <w:rStyle w:val="FigureChar"/>
              </w:rPr>
              <w:t>. Average Number of Unique Individuals who Fell per Month and Patient Fall Rate (FY11 ~ FY14)</w:t>
            </w:r>
            <w:bookmarkEnd w:id="373"/>
          </w:p>
          <w:p w:rsidR="004C306C" w:rsidRPr="004C306C" w:rsidRDefault="004C306C" w:rsidP="004C306C">
            <w:r w:rsidRPr="004C306C">
              <w:rPr>
                <w:noProof/>
              </w:rPr>
              <w:drawing>
                <wp:inline distT="0" distB="0" distL="0" distR="0" wp14:anchorId="71DAAA3B" wp14:editId="6CC190F1">
                  <wp:extent cx="3705225" cy="2581275"/>
                  <wp:effectExtent l="0" t="0" r="0" b="0"/>
                  <wp:docPr id="154" name="Chart 15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c>
      </w:tr>
    </w:tbl>
    <w:tbl>
      <w:tblPr>
        <w:tblpPr w:leftFromText="187" w:rightFromText="187" w:vertAnchor="text" w:horzAnchor="margin" w:tblpXSpec="right" w:tblpY="2107"/>
        <w:tblOverlap w:val="never"/>
        <w:tblW w:w="3618" w:type="dxa"/>
        <w:tblLayout w:type="fixed"/>
        <w:tblLook w:val="01E0" w:firstRow="1" w:lastRow="1" w:firstColumn="1" w:lastColumn="1" w:noHBand="0" w:noVBand="0"/>
      </w:tblPr>
      <w:tblGrid>
        <w:gridCol w:w="3618"/>
      </w:tblGrid>
      <w:tr w:rsidR="00FB41E0" w:rsidTr="00FB41E0">
        <w:trPr>
          <w:cantSplit/>
        </w:trPr>
        <w:tc>
          <w:tcPr>
            <w:tcW w:w="3618" w:type="dxa"/>
          </w:tcPr>
          <w:p w:rsidR="00FB41E0" w:rsidRDefault="00FB41E0" w:rsidP="00FB41E0">
            <w:pPr>
              <w:spacing w:before="120"/>
              <w:ind w:left="720" w:hanging="720"/>
              <w:rPr>
                <w:rStyle w:val="FigureChar"/>
              </w:rPr>
            </w:pPr>
            <w:bookmarkStart w:id="374" w:name="_Toc416357948"/>
            <w:r w:rsidRPr="00E269E2">
              <w:rPr>
                <w:rStyle w:val="FigureChar"/>
              </w:rPr>
              <w:t xml:space="preserve">Figure </w:t>
            </w:r>
            <w:r>
              <w:rPr>
                <w:rStyle w:val="FigureChar"/>
              </w:rPr>
              <w:fldChar w:fldCharType="begin"/>
            </w:r>
            <w:r>
              <w:rPr>
                <w:rStyle w:val="FigureChar"/>
              </w:rPr>
              <w:instrText xml:space="preserve"> SEQ Figure \* ARABIC </w:instrText>
            </w:r>
            <w:r>
              <w:rPr>
                <w:rStyle w:val="FigureChar"/>
              </w:rPr>
              <w:fldChar w:fldCharType="separate"/>
            </w:r>
            <w:r w:rsidR="007E3DB6">
              <w:rPr>
                <w:rStyle w:val="FigureChar"/>
                <w:noProof/>
              </w:rPr>
              <w:t>63</w:t>
            </w:r>
            <w:r>
              <w:rPr>
                <w:rStyle w:val="FigureChar"/>
              </w:rPr>
              <w:fldChar w:fldCharType="end"/>
            </w:r>
            <w:r w:rsidRPr="00E269E2">
              <w:rPr>
                <w:rStyle w:val="FigureChar"/>
              </w:rPr>
              <w:t xml:space="preserve">. </w:t>
            </w:r>
            <w:r>
              <w:rPr>
                <w:rStyle w:val="FigureChar"/>
              </w:rPr>
              <w:t>Injury Rate from Reported Fall Incidents (FY14)</w:t>
            </w:r>
            <w:bookmarkEnd w:id="374"/>
          </w:p>
          <w:p w:rsidR="00FB41E0" w:rsidRPr="00E02FFD" w:rsidRDefault="00FB41E0" w:rsidP="00FB41E0">
            <w:r>
              <w:rPr>
                <w:noProof/>
              </w:rPr>
              <w:drawing>
                <wp:inline distT="0" distB="0" distL="0" distR="0" wp14:anchorId="58E262F6" wp14:editId="7FFB697B">
                  <wp:extent cx="2057400" cy="27432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c>
      </w:tr>
    </w:tbl>
    <w:p w:rsidR="004C306C" w:rsidRDefault="00FB41E0" w:rsidP="0076480D">
      <w:pPr>
        <w:pStyle w:val="KeyFindings"/>
      </w:pPr>
      <w:r>
        <w:t xml:space="preserve"> </w:t>
      </w:r>
      <w:r w:rsidR="004C306C">
        <w:t xml:space="preserve">Some individuals fall more than once within a month or within a year.  In FY14, the number of unique individuals who fell at least once increased and those who fell repeatedly increased more noticeably.  In FY13, on average, about 13 unique individuals fell per month, including </w:t>
      </w:r>
      <w:r w:rsidR="00131E11">
        <w:t xml:space="preserve">an average of </w:t>
      </w:r>
      <w:r w:rsidR="004C306C">
        <w:t xml:space="preserve">two (2) individuals who had more than one fall during a month time period.  In FY14, the number of unique individuals with a fall incident increased to 15 per month and so did the number of individuals with repeated fall incidents: </w:t>
      </w:r>
      <w:r w:rsidR="00131E11">
        <w:t>o</w:t>
      </w:r>
      <w:r w:rsidR="004C306C">
        <w:t xml:space="preserve">f those 15 individuals, </w:t>
      </w:r>
      <w:r w:rsidR="001E1F9A">
        <w:t xml:space="preserve">on average, </w:t>
      </w:r>
      <w:r w:rsidR="004C306C">
        <w:t xml:space="preserve">almost four (4) were involved in more than one fall incident within each month.  </w:t>
      </w:r>
      <w:r w:rsidR="001E1F9A">
        <w:t>T</w:t>
      </w:r>
      <w:r w:rsidR="004C306C">
        <w:t xml:space="preserve">he repetitiveness of fall incidents by the same patient is more evident </w:t>
      </w:r>
      <w:r w:rsidR="001E1F9A">
        <w:t xml:space="preserve">when data is </w:t>
      </w:r>
      <w:r w:rsidR="004C306C">
        <w:t xml:space="preserve">aggregated </w:t>
      </w:r>
      <w:r w:rsidR="001E1F9A">
        <w:t xml:space="preserve">and analyzed </w:t>
      </w:r>
      <w:r w:rsidR="004C306C">
        <w:t xml:space="preserve">for the entire fiscal year.  During FY14, the number of unique individuals who fell at least once was 100 and of those, 40 individuals fell more than once.  This means that of the 239 patient fall incidents, 60 falls were one-time incident by 60 different individuals, and the other 179 falls or 75% </w:t>
      </w:r>
      <w:r w:rsidR="00131E11">
        <w:t xml:space="preserve">of fall incidents </w:t>
      </w:r>
      <w:r w:rsidR="004C306C">
        <w:t>involved just 40 individuals who had repeated fall incidents within the fiscal year</w:t>
      </w:r>
      <w:r w:rsidR="00131E11">
        <w:t xml:space="preserve">.  This </w:t>
      </w:r>
      <w:r w:rsidR="004C306C">
        <w:t>include</w:t>
      </w:r>
      <w:r w:rsidR="00131E11">
        <w:t>s</w:t>
      </w:r>
      <w:r w:rsidR="004C306C">
        <w:t xml:space="preserve"> 24 individuals who had three or more falls.</w:t>
      </w:r>
    </w:p>
    <w:p w:rsidR="0076480D" w:rsidRDefault="00B53BB7" w:rsidP="0076480D">
      <w:pPr>
        <w:pStyle w:val="KeyFindings"/>
      </w:pPr>
      <w:r>
        <w:t xml:space="preserve">While </w:t>
      </w:r>
      <w:r w:rsidR="0076480D">
        <w:t xml:space="preserve">a majority of </w:t>
      </w:r>
      <w:r>
        <w:t xml:space="preserve">reported </w:t>
      </w:r>
      <w:r w:rsidR="0076480D">
        <w:t xml:space="preserve">fall incidents are patient falls, a </w:t>
      </w:r>
      <w:r>
        <w:t>s</w:t>
      </w:r>
      <w:r w:rsidR="00CF15FB">
        <w:t xml:space="preserve">taff </w:t>
      </w:r>
      <w:r w:rsidR="0076480D">
        <w:t>fall is mo</w:t>
      </w:r>
      <w:r w:rsidR="00CF15FB">
        <w:t xml:space="preserve">re likely to involve an injury.  In FY14, a total of 243 individuals in care </w:t>
      </w:r>
      <w:r>
        <w:t xml:space="preserve">were reported for </w:t>
      </w:r>
      <w:r w:rsidR="00CF15FB">
        <w:t>f</w:t>
      </w:r>
      <w:r>
        <w:t>all incidents</w:t>
      </w:r>
      <w:r w:rsidR="00CF15FB">
        <w:t xml:space="preserve"> and a total of 30 </w:t>
      </w:r>
      <w:r>
        <w:t>employees</w:t>
      </w:r>
      <w:r w:rsidR="00CF15FB">
        <w:t xml:space="preserve"> </w:t>
      </w:r>
      <w:r>
        <w:t>were reported to have fallen</w:t>
      </w:r>
      <w:r w:rsidR="00CF15FB">
        <w:t>.</w:t>
      </w:r>
      <w:r w:rsidR="00930F33" w:rsidRPr="00930F33">
        <w:rPr>
          <w:rStyle w:val="FootnoteReference"/>
        </w:rPr>
        <w:t xml:space="preserve"> </w:t>
      </w:r>
      <w:r w:rsidR="00930F33">
        <w:rPr>
          <w:rStyle w:val="FootnoteReference"/>
        </w:rPr>
        <w:footnoteReference w:id="31"/>
      </w:r>
      <w:r w:rsidR="00CF15FB">
        <w:t xml:space="preserve">  </w:t>
      </w:r>
      <w:r w:rsidR="005668CD">
        <w:t>O</w:t>
      </w:r>
      <w:r w:rsidR="0076480D">
        <w:t>f th</w:t>
      </w:r>
      <w:r>
        <w:t>ose</w:t>
      </w:r>
      <w:r w:rsidR="0076480D">
        <w:t xml:space="preserve"> 2</w:t>
      </w:r>
      <w:r w:rsidR="005668CD">
        <w:t xml:space="preserve">43 </w:t>
      </w:r>
      <w:r w:rsidR="00C62398">
        <w:t>IICs</w:t>
      </w:r>
      <w:r>
        <w:t xml:space="preserve"> who fell</w:t>
      </w:r>
      <w:r w:rsidR="005668CD">
        <w:t xml:space="preserve">, </w:t>
      </w:r>
      <w:r w:rsidR="0076480D">
        <w:t xml:space="preserve">63 or 26% </w:t>
      </w:r>
      <w:r>
        <w:t xml:space="preserve">also </w:t>
      </w:r>
      <w:r w:rsidR="00215F8F">
        <w:t xml:space="preserve">had </w:t>
      </w:r>
      <w:r w:rsidR="00FB41E0">
        <w:t>some level of injury</w:t>
      </w:r>
      <w:r w:rsidR="00215F8F">
        <w:t xml:space="preserve"> </w:t>
      </w:r>
      <w:r>
        <w:t>reported</w:t>
      </w:r>
      <w:r w:rsidR="00C00E21">
        <w:t>, whereas</w:t>
      </w:r>
      <w:r w:rsidR="00215F8F">
        <w:t xml:space="preserve"> 20 </w:t>
      </w:r>
      <w:r w:rsidR="004C6C88">
        <w:t xml:space="preserve">or </w:t>
      </w:r>
      <w:r w:rsidR="00215F8F">
        <w:t>67</w:t>
      </w:r>
      <w:r w:rsidR="0076480D">
        <w:t xml:space="preserve">% of </w:t>
      </w:r>
      <w:r w:rsidR="00215F8F">
        <w:t>30</w:t>
      </w:r>
      <w:r w:rsidR="00AE5BB5">
        <w:t xml:space="preserve"> </w:t>
      </w:r>
      <w:r w:rsidR="00215F8F">
        <w:t xml:space="preserve">staff who fell </w:t>
      </w:r>
      <w:r w:rsidR="0076480D">
        <w:t xml:space="preserve">were reported to have injuries.  </w:t>
      </w:r>
      <w:r w:rsidR="006A3D95">
        <w:t xml:space="preserve">Further reviews indicate that half of those falls resulting </w:t>
      </w:r>
      <w:r w:rsidR="0076480D">
        <w:t xml:space="preserve">in </w:t>
      </w:r>
      <w:r w:rsidR="006A3D95">
        <w:t xml:space="preserve">staff </w:t>
      </w:r>
      <w:r w:rsidR="0076480D">
        <w:t>injuries</w:t>
      </w:r>
      <w:r w:rsidR="006A3D95">
        <w:t xml:space="preserve"> were</w:t>
      </w:r>
      <w:r w:rsidR="0076480D">
        <w:t xml:space="preserve"> caused by environmental factors </w:t>
      </w:r>
      <w:r w:rsidR="006A3D95">
        <w:t xml:space="preserve">such as </w:t>
      </w:r>
      <w:r w:rsidR="0076480D">
        <w:t>water</w:t>
      </w:r>
      <w:r w:rsidR="006A3D95">
        <w:t xml:space="preserve"> or </w:t>
      </w:r>
      <w:r w:rsidR="0076480D">
        <w:t xml:space="preserve">mat inside the hospital and ice around the parking lot of the campus. </w:t>
      </w:r>
      <w:r w:rsidR="006A3D95">
        <w:t xml:space="preserve"> </w:t>
      </w:r>
      <w:r>
        <w:t>It</w:t>
      </w:r>
      <w:r w:rsidR="006A3D95">
        <w:t xml:space="preserve"> is suspected </w:t>
      </w:r>
      <w:r w:rsidR="0076480D">
        <w:t>that staff falls may not have been always reported unless the fall incident resulted in an injury, contributing to a higher percentage in the likelihood of injury whe</w:t>
      </w:r>
      <w:r w:rsidR="00B25770">
        <w:t>n staff fell</w:t>
      </w:r>
      <w:r w:rsidR="0076480D">
        <w:t>.</w:t>
      </w:r>
    </w:p>
    <w:p w:rsidR="0076480D" w:rsidRDefault="0076480D" w:rsidP="003C2674">
      <w:pPr>
        <w:pStyle w:val="KeyFindings"/>
        <w:keepNext/>
        <w:numPr>
          <w:ilvl w:val="0"/>
          <w:numId w:val="0"/>
        </w:numPr>
        <w:rPr>
          <w:rStyle w:val="FigureChar"/>
        </w:rPr>
      </w:pPr>
      <w:bookmarkStart w:id="375" w:name="_Toc416357949"/>
      <w:r w:rsidRPr="00E269E2">
        <w:rPr>
          <w:rStyle w:val="FigureChar"/>
        </w:rPr>
        <w:t xml:space="preserve">Figure </w:t>
      </w:r>
      <w:r>
        <w:rPr>
          <w:rStyle w:val="FigureChar"/>
        </w:rPr>
        <w:fldChar w:fldCharType="begin"/>
      </w:r>
      <w:r>
        <w:rPr>
          <w:rStyle w:val="FigureChar"/>
        </w:rPr>
        <w:instrText xml:space="preserve"> SEQ Figure \* ARABIC </w:instrText>
      </w:r>
      <w:r>
        <w:rPr>
          <w:rStyle w:val="FigureChar"/>
        </w:rPr>
        <w:fldChar w:fldCharType="separate"/>
      </w:r>
      <w:r w:rsidR="007E3DB6">
        <w:rPr>
          <w:rStyle w:val="FigureChar"/>
          <w:noProof/>
        </w:rPr>
        <w:t>64</w:t>
      </w:r>
      <w:r>
        <w:rPr>
          <w:rStyle w:val="FigureChar"/>
        </w:rPr>
        <w:fldChar w:fldCharType="end"/>
      </w:r>
      <w:r w:rsidRPr="00E269E2">
        <w:rPr>
          <w:rStyle w:val="FigureChar"/>
        </w:rPr>
        <w:t xml:space="preserve">. </w:t>
      </w:r>
      <w:r>
        <w:rPr>
          <w:rStyle w:val="FigureChar"/>
        </w:rPr>
        <w:t>Individuals in Care who Fell by Unit (FY14)</w:t>
      </w:r>
      <w:bookmarkEnd w:id="375"/>
    </w:p>
    <w:p w:rsidR="0076480D" w:rsidRPr="003C2674" w:rsidRDefault="001E02D2" w:rsidP="003C2674">
      <w:pPr>
        <w:rPr>
          <w:rFonts w:eastAsia="SimSun"/>
        </w:rPr>
      </w:pPr>
      <w:r>
        <w:rPr>
          <w:noProof/>
        </w:rPr>
        <w:drawing>
          <wp:inline distT="0" distB="0" distL="0" distR="0" wp14:anchorId="6B0A8606" wp14:editId="0DC47537">
            <wp:extent cx="6574536" cy="2679192"/>
            <wp:effectExtent l="0" t="0" r="0" b="6985"/>
            <wp:docPr id="165" name="Chart 165"/>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FB41E0" w:rsidRPr="00E92215" w:rsidRDefault="00FB41E0" w:rsidP="00FB41E0">
      <w:pPr>
        <w:pStyle w:val="KeyFindings"/>
      </w:pPr>
      <w:bookmarkStart w:id="376" w:name="_Toc281989613"/>
      <w:bookmarkStart w:id="377" w:name="_Toc349913435"/>
      <w:bookmarkStart w:id="378" w:name="_Toc384134422"/>
      <w:bookmarkEnd w:id="371"/>
      <w:r>
        <w:t xml:space="preserve">Until FY13, nearly half of patient falls involved individuals from one of the geriatric units (1A and 1B).  In FY14, however, the percentage of falls involving individuals from a geriatric unit significantly decreased: from 45% in FY13 to 27% in FY14.  This reduction may be due to the enhanced application of fall prevention protocols, including close monitoring of geriatric patients at high risk for falls and installation of hand rails at the fall prone areas.  Falls involving individuals from most of admission units and some of the long-term units noticeably increased.  Particularly, individuals from 2D and 1D </w:t>
      </w:r>
      <w:r w:rsidR="00930F33">
        <w:t xml:space="preserve">were </w:t>
      </w:r>
      <w:r>
        <w:t xml:space="preserve">respectively involved in 16% and 13% of patient falls during FY14.  Unit 1C also reported a relatively large percentage of </w:t>
      </w:r>
      <w:proofErr w:type="gramStart"/>
      <w:r>
        <w:t>patient</w:t>
      </w:r>
      <w:proofErr w:type="gramEnd"/>
      <w:r>
        <w:t xml:space="preserve"> falls (12%).</w:t>
      </w:r>
    </w:p>
    <w:p w:rsidR="00F352EC" w:rsidRPr="00652211" w:rsidRDefault="00F352EC" w:rsidP="003F18B1">
      <w:pPr>
        <w:pStyle w:val="Heading2"/>
      </w:pPr>
      <w:bookmarkStart w:id="379" w:name="_Toc416357885"/>
      <w:r w:rsidRPr="00652211">
        <w:t>Physical Injur</w:t>
      </w:r>
      <w:r w:rsidR="00B22E89">
        <w:t>ies</w:t>
      </w:r>
      <w:bookmarkEnd w:id="376"/>
      <w:bookmarkEnd w:id="377"/>
      <w:bookmarkEnd w:id="378"/>
      <w:bookmarkEnd w:id="379"/>
    </w:p>
    <w:p w:rsidR="00E97346" w:rsidRPr="00E92215" w:rsidRDefault="00E97346" w:rsidP="00E97346">
      <w:pPr>
        <w:pStyle w:val="KeyFindings"/>
      </w:pPr>
      <w:bookmarkStart w:id="380" w:name="_Toc384134423"/>
      <w:r>
        <w:t xml:space="preserve">During FY14, a total of 418 incidents </w:t>
      </w:r>
      <w:r w:rsidR="0013681E">
        <w:t>(</w:t>
      </w:r>
      <w:r>
        <w:t xml:space="preserve">35 </w:t>
      </w:r>
      <w:r w:rsidR="0013681E">
        <w:t>per</w:t>
      </w:r>
      <w:r>
        <w:t xml:space="preserve"> month</w:t>
      </w:r>
      <w:r w:rsidR="0013681E">
        <w:t>)</w:t>
      </w:r>
      <w:r>
        <w:t xml:space="preserve"> </w:t>
      </w:r>
      <w:r w:rsidR="0013681E">
        <w:t xml:space="preserve">were </w:t>
      </w:r>
      <w:r>
        <w:t xml:space="preserve">reported </w:t>
      </w:r>
      <w:r w:rsidR="0013681E">
        <w:t xml:space="preserve">to have </w:t>
      </w:r>
      <w:r>
        <w:t>physical injuries</w:t>
      </w:r>
      <w:r w:rsidR="0013681E">
        <w:t xml:space="preserve"> involving at least one </w:t>
      </w:r>
      <w:r w:rsidR="00C62398">
        <w:t>IIC</w:t>
      </w:r>
      <w:r w:rsidR="0013681E">
        <w:t xml:space="preserve"> or one staff member</w:t>
      </w:r>
      <w:r>
        <w:t>.  This is a</w:t>
      </w:r>
      <w:r w:rsidR="0013681E">
        <w:t xml:space="preserve"> sizable</w:t>
      </w:r>
      <w:r>
        <w:t xml:space="preserve"> increase from</w:t>
      </w:r>
      <w:r w:rsidR="0013681E">
        <w:t xml:space="preserve"> 320 (27 per month) in FY13 after a decline from </w:t>
      </w:r>
      <w:r>
        <w:t>367 (31 per month) in FY12.</w:t>
      </w:r>
    </w:p>
    <w:p w:rsidR="00E97346" w:rsidRPr="00D0354B" w:rsidRDefault="00E97346" w:rsidP="00E97346">
      <w:pPr>
        <w:pStyle w:val="KeyFindings"/>
        <w:rPr>
          <w:b/>
        </w:rPr>
      </w:pPr>
      <w:r>
        <w:t>Of the 418 injury incidents</w:t>
      </w:r>
      <w:r w:rsidRPr="00266DA2">
        <w:t>, 249 or 60% involved one or more patient injuries and 14</w:t>
      </w:r>
      <w:r>
        <w:t>7</w:t>
      </w:r>
      <w:r w:rsidRPr="00266DA2">
        <w:t xml:space="preserve"> or 35% involved one or more staff injuries</w:t>
      </w:r>
      <w:r>
        <w:t>.  The remaining 22 or 5%</w:t>
      </w:r>
      <w:r w:rsidRPr="00266DA2">
        <w:t xml:space="preserve"> </w:t>
      </w:r>
      <w:r>
        <w:t xml:space="preserve">involved both patient and staff injuries.   </w:t>
      </w:r>
    </w:p>
    <w:p w:rsidR="00F352EC" w:rsidRPr="0013681E" w:rsidRDefault="00E97346" w:rsidP="00A01778">
      <w:pPr>
        <w:pStyle w:val="KeyFindings"/>
        <w:rPr>
          <w:b/>
        </w:rPr>
      </w:pPr>
      <w:r>
        <w:t>Some incidents results in an injury to more than one individual</w:t>
      </w:r>
      <w:r w:rsidR="0013681E">
        <w:t xml:space="preserve"> or staff.  A total of 271</w:t>
      </w:r>
      <w:r>
        <w:t xml:space="preserve"> injury incidents </w:t>
      </w:r>
      <w:r w:rsidR="0013681E">
        <w:t xml:space="preserve">(249 + 22) </w:t>
      </w:r>
      <w:r>
        <w:t>involved injury of a total of 287 individuals in care.  A majority of those 287 injuries, however, were minor</w:t>
      </w:r>
      <w:r w:rsidR="009336E1">
        <w:t xml:space="preserve">: they either required no treatment or </w:t>
      </w:r>
      <w:r>
        <w:t xml:space="preserve">were treated at the unit or medical clinic </w:t>
      </w:r>
      <w:r w:rsidR="0013681E">
        <w:t>within</w:t>
      </w:r>
      <w:r>
        <w:t xml:space="preserve"> the Hospital.  Any injury that requires a transfer to an external medical facility is considered to be a major injury and of the 287 patient injuries, 33 were coded</w:t>
      </w:r>
      <w:r w:rsidR="0013681E">
        <w:t xml:space="preserve"> as </w:t>
      </w:r>
      <w:r>
        <w:t xml:space="preserve">major injuries. </w:t>
      </w:r>
      <w:bookmarkEnd w:id="380"/>
      <w:r w:rsidR="00B24E80">
        <w:t xml:space="preserve">  </w:t>
      </w:r>
    </w:p>
    <w:p w:rsidR="0013681E" w:rsidRPr="0013681E" w:rsidRDefault="0013681E" w:rsidP="00A01778">
      <w:pPr>
        <w:pStyle w:val="KeyFindings"/>
        <w:rPr>
          <w:b/>
        </w:rPr>
      </w:pPr>
      <w:r>
        <w:t>The patient injury rate is calculated based on the number of these major injuries per 1,000 patient days and it shows a moderate increase from 0.24 in FY13.  However, the Hospital’s patient injury rate in FY14 (0.34) is still lower than the nation public rate (NPR, 0.38).</w:t>
      </w:r>
    </w:p>
    <w:tbl>
      <w:tblPr>
        <w:tblStyle w:val="TableGrid"/>
        <w:tblW w:w="0" w:type="auto"/>
        <w:tblInd w:w="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5"/>
        <w:gridCol w:w="5152"/>
      </w:tblGrid>
      <w:tr w:rsidR="00943D52" w:rsidTr="00B74E3E">
        <w:tc>
          <w:tcPr>
            <w:tcW w:w="4946" w:type="dxa"/>
          </w:tcPr>
          <w:p w:rsidR="00943D52" w:rsidRDefault="00943D52" w:rsidP="007005A8">
            <w:pPr>
              <w:pStyle w:val="KeyFindings"/>
              <w:numPr>
                <w:ilvl w:val="0"/>
                <w:numId w:val="0"/>
              </w:numPr>
              <w:ind w:left="720" w:hanging="720"/>
              <w:rPr>
                <w:rStyle w:val="FigureChar"/>
              </w:rPr>
            </w:pPr>
            <w:bookmarkStart w:id="381" w:name="_Toc384134429"/>
            <w:bookmarkStart w:id="382" w:name="_Toc416357950"/>
            <w:r w:rsidRPr="005C5577">
              <w:rPr>
                <w:rStyle w:val="FigureChar"/>
              </w:rPr>
              <w:t xml:space="preserve">Figure </w:t>
            </w:r>
            <w:r w:rsidRPr="005C5577">
              <w:rPr>
                <w:rStyle w:val="FigureChar"/>
              </w:rPr>
              <w:fldChar w:fldCharType="begin"/>
            </w:r>
            <w:r w:rsidRPr="005C5577">
              <w:rPr>
                <w:rStyle w:val="FigureChar"/>
              </w:rPr>
              <w:instrText xml:space="preserve"> SEQ Figure \* ARABIC </w:instrText>
            </w:r>
            <w:r w:rsidRPr="005C5577">
              <w:rPr>
                <w:rStyle w:val="FigureChar"/>
              </w:rPr>
              <w:fldChar w:fldCharType="separate"/>
            </w:r>
            <w:r w:rsidR="007E3DB6">
              <w:rPr>
                <w:rStyle w:val="FigureChar"/>
                <w:noProof/>
              </w:rPr>
              <w:t>65</w:t>
            </w:r>
            <w:r w:rsidRPr="005C5577">
              <w:rPr>
                <w:rStyle w:val="FigureChar"/>
              </w:rPr>
              <w:fldChar w:fldCharType="end"/>
            </w:r>
            <w:r w:rsidRPr="005C5577">
              <w:rPr>
                <w:rStyle w:val="FigureChar"/>
              </w:rPr>
              <w:t xml:space="preserve">. </w:t>
            </w:r>
            <w:r w:rsidRPr="003136D9">
              <w:rPr>
                <w:rStyle w:val="FigureChar"/>
              </w:rPr>
              <w:t>Physical Injury Associated with Assault and Falls (FY1</w:t>
            </w:r>
            <w:r>
              <w:rPr>
                <w:rStyle w:val="FigureChar"/>
              </w:rPr>
              <w:t>1</w:t>
            </w:r>
            <w:r w:rsidRPr="003136D9">
              <w:rPr>
                <w:rStyle w:val="FigureChar"/>
              </w:rPr>
              <w:t xml:space="preserve"> ~ FY1</w:t>
            </w:r>
            <w:r>
              <w:rPr>
                <w:rStyle w:val="FigureChar"/>
              </w:rPr>
              <w:t>4</w:t>
            </w:r>
            <w:r w:rsidRPr="003136D9">
              <w:rPr>
                <w:rStyle w:val="FigureChar"/>
              </w:rPr>
              <w:t>)</w:t>
            </w:r>
            <w:bookmarkEnd w:id="381"/>
            <w:bookmarkEnd w:id="382"/>
          </w:p>
          <w:p w:rsidR="00943D52" w:rsidRPr="00A01778" w:rsidRDefault="00943D52" w:rsidP="007005A8">
            <w:pPr>
              <w:rPr>
                <w:rFonts w:eastAsia="SimSun"/>
              </w:rPr>
            </w:pPr>
            <w:r>
              <w:rPr>
                <w:noProof/>
              </w:rPr>
              <w:drawing>
                <wp:inline distT="0" distB="0" distL="0" distR="0" wp14:anchorId="417F6144" wp14:editId="4EC35029">
                  <wp:extent cx="3191774" cy="2915728"/>
                  <wp:effectExtent l="0" t="0" r="889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tc>
        <w:tc>
          <w:tcPr>
            <w:tcW w:w="5271" w:type="dxa"/>
          </w:tcPr>
          <w:p w:rsidR="00943D52" w:rsidRDefault="00943D52" w:rsidP="007005A8">
            <w:pPr>
              <w:pStyle w:val="KeyFindings"/>
              <w:numPr>
                <w:ilvl w:val="0"/>
                <w:numId w:val="0"/>
              </w:numPr>
              <w:ind w:left="720" w:hanging="720"/>
              <w:rPr>
                <w:rStyle w:val="FigureChar"/>
              </w:rPr>
            </w:pPr>
            <w:bookmarkStart w:id="383" w:name="_Toc416357951"/>
            <w:r w:rsidRPr="00E269E2">
              <w:rPr>
                <w:rStyle w:val="FigureChar"/>
              </w:rPr>
              <w:t xml:space="preserve">Figure </w:t>
            </w:r>
            <w:r>
              <w:rPr>
                <w:rStyle w:val="FigureChar"/>
              </w:rPr>
              <w:fldChar w:fldCharType="begin"/>
            </w:r>
            <w:r>
              <w:rPr>
                <w:rStyle w:val="FigureChar"/>
              </w:rPr>
              <w:instrText xml:space="preserve"> SEQ Figure \* ARABIC </w:instrText>
            </w:r>
            <w:r>
              <w:rPr>
                <w:rStyle w:val="FigureChar"/>
              </w:rPr>
              <w:fldChar w:fldCharType="separate"/>
            </w:r>
            <w:r w:rsidR="007E3DB6">
              <w:rPr>
                <w:rStyle w:val="FigureChar"/>
                <w:noProof/>
              </w:rPr>
              <w:t>66</w:t>
            </w:r>
            <w:r>
              <w:rPr>
                <w:rStyle w:val="FigureChar"/>
              </w:rPr>
              <w:fldChar w:fldCharType="end"/>
            </w:r>
            <w:r w:rsidRPr="00E269E2">
              <w:rPr>
                <w:rStyle w:val="FigureChar"/>
              </w:rPr>
              <w:t xml:space="preserve">. </w:t>
            </w:r>
            <w:r>
              <w:rPr>
                <w:rStyle w:val="FigureChar"/>
              </w:rPr>
              <w:t>Percentage of Injuries from Fall Incidents (FY11 ~ FY14)</w:t>
            </w:r>
            <w:bookmarkEnd w:id="383"/>
          </w:p>
          <w:p w:rsidR="00943D52" w:rsidRDefault="00943D52" w:rsidP="007005A8">
            <w:pPr>
              <w:rPr>
                <w:rStyle w:val="FigureChar"/>
              </w:rPr>
            </w:pPr>
            <w:r>
              <w:rPr>
                <w:noProof/>
              </w:rPr>
              <w:drawing>
                <wp:inline distT="0" distB="0" distL="0" distR="0" wp14:anchorId="35E7024C" wp14:editId="7A4FE96F">
                  <wp:extent cx="3257549" cy="2914650"/>
                  <wp:effectExtent l="0" t="0" r="635"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tc>
      </w:tr>
    </w:tbl>
    <w:p w:rsidR="00B74E3E" w:rsidRPr="004E649D" w:rsidRDefault="001B07D1" w:rsidP="00B74E3E">
      <w:pPr>
        <w:pStyle w:val="KeyFindings"/>
        <w:rPr>
          <w:b/>
        </w:rPr>
      </w:pPr>
      <w:bookmarkStart w:id="384" w:name="_Toc384134427"/>
      <w:bookmarkStart w:id="385" w:name="_Toc384134431"/>
      <w:r>
        <w:t>The frequency of i</w:t>
      </w:r>
      <w:r w:rsidR="00B74E3E">
        <w:t xml:space="preserve">ncidents resulting in patient or staff injury increased </w:t>
      </w:r>
      <w:r>
        <w:t xml:space="preserve">in FY14 </w:t>
      </w:r>
      <w:r w:rsidR="00B74E3E">
        <w:t xml:space="preserve">after a </w:t>
      </w:r>
      <w:r>
        <w:t>consistent d</w:t>
      </w:r>
      <w:r w:rsidR="00B74E3E">
        <w:t>ecline between FY11 and FY13.  During FY14, on average, 24</w:t>
      </w:r>
      <w:r w:rsidR="00C62398">
        <w:t xml:space="preserve"> IICs </w:t>
      </w:r>
      <w:r w:rsidR="00B74E3E">
        <w:t xml:space="preserve">were reported for physical injury per month.  </w:t>
      </w:r>
      <w:r>
        <w:t xml:space="preserve">In FY13, </w:t>
      </w:r>
      <w:r w:rsidR="00B74E3E">
        <w:t xml:space="preserve">18 </w:t>
      </w:r>
      <w:r w:rsidR="009336E1">
        <w:t>individuals</w:t>
      </w:r>
      <w:r>
        <w:t xml:space="preserve"> were reported </w:t>
      </w:r>
      <w:r w:rsidR="009336E1">
        <w:t xml:space="preserve">for </w:t>
      </w:r>
      <w:r w:rsidR="00837138">
        <w:t>i</w:t>
      </w:r>
      <w:r w:rsidR="009336E1">
        <w:t>njury per mont</w:t>
      </w:r>
      <w:r w:rsidR="00B74E3E">
        <w:t xml:space="preserve">h </w:t>
      </w:r>
      <w:r>
        <w:t xml:space="preserve">and 22 per month </w:t>
      </w:r>
      <w:r w:rsidR="00B74E3E">
        <w:t>in FY1</w:t>
      </w:r>
      <w:r>
        <w:t>2</w:t>
      </w:r>
      <w:r w:rsidR="00B74E3E">
        <w:t xml:space="preserve">.  The number of staff </w:t>
      </w:r>
      <w:r w:rsidR="00837138">
        <w:t>injured</w:t>
      </w:r>
      <w:r w:rsidR="00B74E3E">
        <w:t xml:space="preserve"> also increased from 1</w:t>
      </w:r>
      <w:r>
        <w:t>3</w:t>
      </w:r>
      <w:r w:rsidR="00B74E3E">
        <w:t xml:space="preserve"> per month in FY13</w:t>
      </w:r>
      <w:r w:rsidR="00837138">
        <w:t xml:space="preserve"> to 17 per month in FY14</w:t>
      </w:r>
      <w:r w:rsidR="00B74E3E">
        <w:t>.</w:t>
      </w:r>
    </w:p>
    <w:p w:rsidR="00CE519D" w:rsidRDefault="001B07D1" w:rsidP="00CE519D">
      <w:pPr>
        <w:pStyle w:val="KeyFindings"/>
      </w:pPr>
      <w:r>
        <w:t xml:space="preserve">Many </w:t>
      </w:r>
      <w:r w:rsidR="00CE519D">
        <w:t xml:space="preserve">of the physical injury incidents are </w:t>
      </w:r>
      <w:r w:rsidR="0072634B">
        <w:t>related to</w:t>
      </w:r>
      <w:r w:rsidR="00CE519D">
        <w:t xml:space="preserve"> physical assaults and/or fall incidents.  Of the 287 </w:t>
      </w:r>
      <w:r w:rsidR="00C62398">
        <w:t>IICs</w:t>
      </w:r>
      <w:r w:rsidR="00CE519D">
        <w:t xml:space="preserve"> who were </w:t>
      </w:r>
      <w:r>
        <w:t xml:space="preserve">reported for </w:t>
      </w:r>
      <w:r w:rsidR="00CE519D">
        <w:t>injur</w:t>
      </w:r>
      <w:r>
        <w:t xml:space="preserve">ies </w:t>
      </w:r>
      <w:r w:rsidR="00CE519D">
        <w:t>in FY1</w:t>
      </w:r>
      <w:r>
        <w:t>4</w:t>
      </w:r>
      <w:r w:rsidR="00CE519D">
        <w:t xml:space="preserve">, 115 or </w:t>
      </w:r>
      <w:r>
        <w:t>40</w:t>
      </w:r>
      <w:r w:rsidR="00CE519D">
        <w:t>% were involved in physical assaults and 48 or 17% were injured from fall incidents.</w:t>
      </w:r>
      <w:r>
        <w:t xml:space="preserve">  Additionally, there were </w:t>
      </w:r>
      <w:r w:rsidR="00CE519D">
        <w:t>21</w:t>
      </w:r>
      <w:r w:rsidR="007E48EB">
        <w:t xml:space="preserve"> </w:t>
      </w:r>
      <w:r w:rsidR="00CE519D">
        <w:t>patient injuries</w:t>
      </w:r>
      <w:r>
        <w:t xml:space="preserve"> (7%) likely to be </w:t>
      </w:r>
      <w:r w:rsidR="00CE519D">
        <w:t xml:space="preserve">sustained from falls that occurred in conjunction with physical assaults.  The </w:t>
      </w:r>
      <w:r>
        <w:t xml:space="preserve">remaining </w:t>
      </w:r>
      <w:r w:rsidR="00CE519D">
        <w:t xml:space="preserve">103 or 36% </w:t>
      </w:r>
      <w:r>
        <w:t xml:space="preserve">of injuries </w:t>
      </w:r>
      <w:r w:rsidR="00CE519D">
        <w:t>were caused by other types of incidents, such as self-injurious behaviors</w:t>
      </w:r>
      <w:r>
        <w:t>,</w:t>
      </w:r>
      <w:r w:rsidR="00CE519D">
        <w:t xml:space="preserve"> </w:t>
      </w:r>
      <w:r w:rsidR="0072634B">
        <w:t xml:space="preserve">accidents, </w:t>
      </w:r>
      <w:r w:rsidR="00CE519D">
        <w:t>or the cause of injury was not identified or unknown.</w:t>
      </w:r>
    </w:p>
    <w:p w:rsidR="00943D52" w:rsidRDefault="00943D52" w:rsidP="00943D52">
      <w:pPr>
        <w:pStyle w:val="KeyFindings"/>
      </w:pPr>
      <w:r>
        <w:t xml:space="preserve">The </w:t>
      </w:r>
      <w:r w:rsidR="0096020E">
        <w:t xml:space="preserve">most </w:t>
      </w:r>
      <w:r w:rsidR="001B07D1">
        <w:t xml:space="preserve">prevalent </w:t>
      </w:r>
      <w:r>
        <w:t xml:space="preserve">cause of staff injury is also a physical assault. Of the </w:t>
      </w:r>
      <w:r w:rsidR="00402A3B">
        <w:t xml:space="preserve">total of </w:t>
      </w:r>
      <w:r w:rsidR="001B07D1">
        <w:t>206</w:t>
      </w:r>
      <w:r>
        <w:t xml:space="preserve"> staff injuries reported in FY14, 141 or 68% were related to physical assault incidents while 16 or 8% were related to fall incidents.  </w:t>
      </w:r>
      <w:r w:rsidR="00402A3B">
        <w:t>Additionally, 5% were likely to have been injured from falls associated with physical assaults.</w:t>
      </w:r>
    </w:p>
    <w:p w:rsidR="00B24E80" w:rsidRDefault="00B24E80" w:rsidP="00943D52">
      <w:pPr>
        <w:pStyle w:val="KeyFindings"/>
      </w:pPr>
      <w:r>
        <w:t>Like patient injuries, a majority of those 206 staff injuries were minor: they either required no treatment or were treated at the unit or medical clinic within the Hospital.  Of the 206, seven (7)</w:t>
      </w:r>
      <w:r w:rsidR="0021317C">
        <w:t xml:space="preserve"> or 3%</w:t>
      </w:r>
      <w:r>
        <w:t xml:space="preserve"> were considered to be major injuries that required a transfer to an external medical facility.   </w:t>
      </w:r>
    </w:p>
    <w:tbl>
      <w:tblPr>
        <w:tblStyle w:val="TableGrid"/>
        <w:tblW w:w="0" w:type="auto"/>
        <w:tblInd w:w="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8"/>
        <w:gridCol w:w="4649"/>
      </w:tblGrid>
      <w:tr w:rsidR="00943D52" w:rsidTr="007005A8">
        <w:tc>
          <w:tcPr>
            <w:tcW w:w="4346" w:type="dxa"/>
          </w:tcPr>
          <w:p w:rsidR="00943D52" w:rsidRDefault="00943D52" w:rsidP="007005A8">
            <w:pPr>
              <w:pStyle w:val="KeyFindings"/>
              <w:keepNext/>
              <w:numPr>
                <w:ilvl w:val="0"/>
                <w:numId w:val="0"/>
              </w:numPr>
              <w:ind w:left="720" w:hanging="720"/>
              <w:rPr>
                <w:rStyle w:val="FigureChar"/>
              </w:rPr>
            </w:pPr>
            <w:bookmarkStart w:id="386" w:name="_Toc416357952"/>
            <w:r w:rsidRPr="005C5577">
              <w:rPr>
                <w:rStyle w:val="FigureChar"/>
              </w:rPr>
              <w:t xml:space="preserve">Figure </w:t>
            </w:r>
            <w:r w:rsidRPr="005C5577">
              <w:rPr>
                <w:rStyle w:val="FigureChar"/>
              </w:rPr>
              <w:fldChar w:fldCharType="begin"/>
            </w:r>
            <w:r w:rsidRPr="005C5577">
              <w:rPr>
                <w:rStyle w:val="FigureChar"/>
              </w:rPr>
              <w:instrText xml:space="preserve"> SEQ Figure \* ARABIC </w:instrText>
            </w:r>
            <w:r w:rsidRPr="005C5577">
              <w:rPr>
                <w:rStyle w:val="FigureChar"/>
              </w:rPr>
              <w:fldChar w:fldCharType="separate"/>
            </w:r>
            <w:r w:rsidR="007E3DB6">
              <w:rPr>
                <w:rStyle w:val="FigureChar"/>
                <w:noProof/>
              </w:rPr>
              <w:t>67</w:t>
            </w:r>
            <w:r w:rsidRPr="005C5577">
              <w:rPr>
                <w:rStyle w:val="FigureChar"/>
              </w:rPr>
              <w:fldChar w:fldCharType="end"/>
            </w:r>
            <w:r w:rsidRPr="005C5577">
              <w:rPr>
                <w:rStyle w:val="FigureChar"/>
              </w:rPr>
              <w:t xml:space="preserve">. </w:t>
            </w:r>
            <w:r>
              <w:rPr>
                <w:rStyle w:val="FigureChar"/>
              </w:rPr>
              <w:t xml:space="preserve">Percent of </w:t>
            </w:r>
            <w:r w:rsidRPr="003136D9">
              <w:rPr>
                <w:rStyle w:val="FigureChar"/>
              </w:rPr>
              <w:t>P</w:t>
            </w:r>
            <w:r>
              <w:rPr>
                <w:rStyle w:val="FigureChar"/>
              </w:rPr>
              <w:t>atient</w:t>
            </w:r>
            <w:r w:rsidRPr="003136D9">
              <w:rPr>
                <w:rStyle w:val="FigureChar"/>
              </w:rPr>
              <w:t xml:space="preserve"> Injury Associated with Assault and</w:t>
            </w:r>
            <w:r>
              <w:rPr>
                <w:rStyle w:val="FigureChar"/>
              </w:rPr>
              <w:t>/or</w:t>
            </w:r>
            <w:r w:rsidRPr="003136D9">
              <w:rPr>
                <w:rStyle w:val="FigureChar"/>
              </w:rPr>
              <w:t xml:space="preserve"> Fall (FY1</w:t>
            </w:r>
            <w:r>
              <w:rPr>
                <w:rStyle w:val="FigureChar"/>
              </w:rPr>
              <w:t>4</w:t>
            </w:r>
            <w:r w:rsidRPr="003136D9">
              <w:rPr>
                <w:rStyle w:val="FigureChar"/>
              </w:rPr>
              <w:t>)</w:t>
            </w:r>
            <w:bookmarkEnd w:id="386"/>
          </w:p>
          <w:p w:rsidR="00943D52" w:rsidRPr="00A01778" w:rsidRDefault="00943D52" w:rsidP="007005A8">
            <w:pPr>
              <w:rPr>
                <w:rFonts w:eastAsia="SimSun"/>
              </w:rPr>
            </w:pPr>
            <w:r>
              <w:rPr>
                <w:noProof/>
              </w:rPr>
              <w:drawing>
                <wp:inline distT="0" distB="0" distL="0" distR="0" wp14:anchorId="56F397A2" wp14:editId="5A0D01C2">
                  <wp:extent cx="3588589" cy="27432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tc>
        <w:tc>
          <w:tcPr>
            <w:tcW w:w="5871" w:type="dxa"/>
          </w:tcPr>
          <w:p w:rsidR="00943D52" w:rsidRDefault="00943D52" w:rsidP="007005A8">
            <w:pPr>
              <w:pStyle w:val="KeyFindings"/>
              <w:keepNext/>
              <w:numPr>
                <w:ilvl w:val="0"/>
                <w:numId w:val="0"/>
              </w:numPr>
              <w:ind w:left="720" w:hanging="720"/>
              <w:rPr>
                <w:rStyle w:val="FigureChar"/>
              </w:rPr>
            </w:pPr>
            <w:bookmarkStart w:id="387" w:name="_Toc416357953"/>
            <w:r w:rsidRPr="00E269E2">
              <w:rPr>
                <w:rStyle w:val="FigureChar"/>
              </w:rPr>
              <w:t xml:space="preserve">Figure </w:t>
            </w:r>
            <w:r>
              <w:rPr>
                <w:rStyle w:val="FigureChar"/>
              </w:rPr>
              <w:fldChar w:fldCharType="begin"/>
            </w:r>
            <w:r>
              <w:rPr>
                <w:rStyle w:val="FigureChar"/>
              </w:rPr>
              <w:instrText xml:space="preserve"> SEQ Figure \* ARABIC </w:instrText>
            </w:r>
            <w:r>
              <w:rPr>
                <w:rStyle w:val="FigureChar"/>
              </w:rPr>
              <w:fldChar w:fldCharType="separate"/>
            </w:r>
            <w:r w:rsidR="007E3DB6">
              <w:rPr>
                <w:rStyle w:val="FigureChar"/>
                <w:noProof/>
              </w:rPr>
              <w:t>68</w:t>
            </w:r>
            <w:r>
              <w:rPr>
                <w:rStyle w:val="FigureChar"/>
              </w:rPr>
              <w:fldChar w:fldCharType="end"/>
            </w:r>
            <w:r w:rsidRPr="00E269E2">
              <w:rPr>
                <w:rStyle w:val="FigureChar"/>
              </w:rPr>
              <w:t xml:space="preserve">. </w:t>
            </w:r>
            <w:r>
              <w:rPr>
                <w:rStyle w:val="FigureChar"/>
              </w:rPr>
              <w:t>Percent of Staff</w:t>
            </w:r>
            <w:r w:rsidRPr="003136D9">
              <w:rPr>
                <w:rStyle w:val="FigureChar"/>
              </w:rPr>
              <w:t xml:space="preserve"> Injury Associated with Assault and</w:t>
            </w:r>
            <w:r>
              <w:rPr>
                <w:rStyle w:val="FigureChar"/>
              </w:rPr>
              <w:t>/or</w:t>
            </w:r>
            <w:r w:rsidRPr="003136D9">
              <w:rPr>
                <w:rStyle w:val="FigureChar"/>
              </w:rPr>
              <w:t xml:space="preserve"> Fall (FY1</w:t>
            </w:r>
            <w:r>
              <w:rPr>
                <w:rStyle w:val="FigureChar"/>
              </w:rPr>
              <w:t>4</w:t>
            </w:r>
            <w:r w:rsidRPr="003136D9">
              <w:rPr>
                <w:rStyle w:val="FigureChar"/>
              </w:rPr>
              <w:t>)</w:t>
            </w:r>
            <w:bookmarkEnd w:id="387"/>
          </w:p>
          <w:p w:rsidR="00943D52" w:rsidRDefault="00943D52" w:rsidP="007005A8">
            <w:pPr>
              <w:rPr>
                <w:rStyle w:val="FigureChar"/>
              </w:rPr>
            </w:pPr>
            <w:r>
              <w:rPr>
                <w:noProof/>
              </w:rPr>
              <w:drawing>
                <wp:inline distT="0" distB="0" distL="0" distR="0" wp14:anchorId="40095C7F" wp14:editId="422E58FE">
                  <wp:extent cx="2967487" cy="2743200"/>
                  <wp:effectExtent l="0" t="0" r="4445"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tc>
      </w:tr>
    </w:tbl>
    <w:p w:rsidR="00943D52" w:rsidRDefault="00943D52" w:rsidP="007E25C9">
      <w:pPr>
        <w:pStyle w:val="KeyFindings"/>
      </w:pPr>
      <w:r>
        <w:t>A majority of patient injuries are one time incidents but there are a fair number of individuals who are repeat</w:t>
      </w:r>
      <w:r w:rsidR="00402A3B">
        <w:t>ed</w:t>
      </w:r>
      <w:r>
        <w:t xml:space="preserve"> victims of injuries.  The 287 patient injuries reported in FY14 involved a total of 150 unique </w:t>
      </w:r>
      <w:r w:rsidR="00C62398">
        <w:t>IICs</w:t>
      </w:r>
      <w:r>
        <w:t xml:space="preserve"> and of those, 50 had more than one injury.  In particular, there were seven (7) individuals, each of whom was reported for more than six injuries during the year.  Of those, one (1) individual was injured from fall, and two (2) were injured from violence related incidents including </w:t>
      </w:r>
      <w:r w:rsidR="00402A3B">
        <w:t xml:space="preserve">physical </w:t>
      </w:r>
      <w:r>
        <w:t>assaults</w:t>
      </w:r>
      <w:r w:rsidR="00402A3B">
        <w:t xml:space="preserve"> and</w:t>
      </w:r>
      <w:r>
        <w:t xml:space="preserve"> self-injurious behaviors.</w:t>
      </w:r>
      <w:bookmarkEnd w:id="384"/>
      <w:bookmarkEnd w:id="385"/>
    </w:p>
    <w:sectPr w:rsidR="00943D52" w:rsidSect="000D51CE">
      <w:headerReference w:type="default" r:id="rId84"/>
      <w:footerReference w:type="default" r:id="rId85"/>
      <w:pgSz w:w="12240" w:h="15840" w:code="1"/>
      <w:pgMar w:top="1008" w:right="1080" w:bottom="1008" w:left="1080" w:header="576" w:footer="432" w:gutter="0"/>
      <w:pgBorders w:offsetFrom="page">
        <w:top w:val="threeDEngrave" w:sz="6" w:space="20" w:color="0F243E"/>
        <w:left w:val="threeDEngrave" w:sz="6" w:space="20" w:color="0F243E"/>
        <w:bottom w:val="threeDEmboss" w:sz="6" w:space="20" w:color="0F243E"/>
        <w:right w:val="threeDEmboss" w:sz="6" w:space="20" w:color="0F243E"/>
      </w:pgBorders>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3C5F" w:rsidRDefault="007A3C5F">
      <w:r>
        <w:separator/>
      </w:r>
    </w:p>
  </w:endnote>
  <w:endnote w:type="continuationSeparator" w:id="0">
    <w:p w:rsidR="007A3C5F" w:rsidRDefault="007A3C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890" w:type="dxa"/>
      <w:jc w:val="center"/>
      <w:tblBorders>
        <w:top w:val="thickThinSmallGap" w:sz="18" w:space="0" w:color="008000"/>
      </w:tblBorders>
      <w:tblLook w:val="01E0" w:firstRow="1" w:lastRow="1" w:firstColumn="1" w:lastColumn="1" w:noHBand="0" w:noVBand="0"/>
    </w:tblPr>
    <w:tblGrid>
      <w:gridCol w:w="4788"/>
      <w:gridCol w:w="6102"/>
    </w:tblGrid>
    <w:tr w:rsidR="005B4E16" w:rsidRPr="0050120C" w:rsidTr="00904CFE">
      <w:trPr>
        <w:jc w:val="center"/>
      </w:trPr>
      <w:tc>
        <w:tcPr>
          <w:tcW w:w="4788" w:type="dxa"/>
          <w:tcBorders>
            <w:top w:val="single" w:sz="4" w:space="0" w:color="4F81BD"/>
          </w:tcBorders>
        </w:tcPr>
        <w:p w:rsidR="005B4E16" w:rsidRPr="0050120C" w:rsidRDefault="005B4E16" w:rsidP="00170EF4">
          <w:pPr>
            <w:pStyle w:val="Header"/>
          </w:pPr>
          <w:r w:rsidRPr="0050120C">
            <w:t xml:space="preserve">Office of </w:t>
          </w:r>
          <w:r>
            <w:t>Statistics and Reporting</w:t>
          </w:r>
        </w:p>
      </w:tc>
      <w:tc>
        <w:tcPr>
          <w:tcW w:w="6102" w:type="dxa"/>
          <w:tcBorders>
            <w:top w:val="single" w:sz="4" w:space="0" w:color="4F81BD"/>
          </w:tcBorders>
        </w:tcPr>
        <w:p w:rsidR="005B4E16" w:rsidRPr="0050120C" w:rsidRDefault="005B4E16" w:rsidP="00170EF4">
          <w:pPr>
            <w:pStyle w:val="Header"/>
          </w:pPr>
          <w:r w:rsidRPr="0050120C">
            <w:tab/>
            <w:t xml:space="preserve">Page </w:t>
          </w:r>
          <w:r w:rsidRPr="0050120C">
            <w:fldChar w:fldCharType="begin"/>
          </w:r>
          <w:r w:rsidRPr="0050120C">
            <w:instrText xml:space="preserve"> PAGE </w:instrText>
          </w:r>
          <w:r w:rsidRPr="0050120C">
            <w:fldChar w:fldCharType="separate"/>
          </w:r>
          <w:r w:rsidR="007A17C8">
            <w:rPr>
              <w:noProof/>
            </w:rPr>
            <w:t>15</w:t>
          </w:r>
          <w:r w:rsidRPr="0050120C">
            <w:fldChar w:fldCharType="end"/>
          </w:r>
          <w:r w:rsidRPr="0050120C">
            <w:t xml:space="preserve"> of </w:t>
          </w:r>
          <w:r w:rsidR="007A17C8">
            <w:fldChar w:fldCharType="begin"/>
          </w:r>
          <w:r w:rsidR="007A17C8">
            <w:instrText xml:space="preserve"> NUMPAGES </w:instrText>
          </w:r>
          <w:r w:rsidR="007A17C8">
            <w:fldChar w:fldCharType="separate"/>
          </w:r>
          <w:r w:rsidR="007A17C8">
            <w:rPr>
              <w:noProof/>
            </w:rPr>
            <w:t>17</w:t>
          </w:r>
          <w:r w:rsidR="007A17C8">
            <w:rPr>
              <w:noProof/>
            </w:rPr>
            <w:fldChar w:fldCharType="end"/>
          </w:r>
        </w:p>
      </w:tc>
    </w:tr>
  </w:tbl>
  <w:p w:rsidR="005B4E16" w:rsidRPr="00395D6F" w:rsidRDefault="005B4E16" w:rsidP="00395D6F">
    <w:pPr>
      <w:pStyle w:val="Footer"/>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3C5F" w:rsidRDefault="007A3C5F">
      <w:r>
        <w:separator/>
      </w:r>
    </w:p>
  </w:footnote>
  <w:footnote w:type="continuationSeparator" w:id="0">
    <w:p w:rsidR="007A3C5F" w:rsidRDefault="007A3C5F">
      <w:r>
        <w:continuationSeparator/>
      </w:r>
    </w:p>
  </w:footnote>
  <w:footnote w:id="1">
    <w:p w:rsidR="005B4E16" w:rsidRDefault="005B4E16" w:rsidP="002C324D">
      <w:pPr>
        <w:pStyle w:val="FootnoteText"/>
      </w:pPr>
      <w:r>
        <w:rPr>
          <w:rStyle w:val="FootnoteReference"/>
        </w:rPr>
        <w:footnoteRef/>
      </w:r>
      <w:r>
        <w:tab/>
        <w:t xml:space="preserve">OSR was previously known as Office of </w:t>
      </w:r>
      <w:r w:rsidRPr="00060B7F">
        <w:t xml:space="preserve">Monitoring Systems (OMS) </w:t>
      </w:r>
      <w:r>
        <w:t xml:space="preserve">in </w:t>
      </w:r>
      <w:r w:rsidRPr="00060B7F">
        <w:t>the Performance Improvement Department (PID)</w:t>
      </w:r>
      <w:r>
        <w:t>.  The trend analysis reports prior to FY11 were published under OMS.</w:t>
      </w:r>
    </w:p>
  </w:footnote>
  <w:footnote w:id="2">
    <w:p w:rsidR="005B4E16" w:rsidRDefault="005B4E16" w:rsidP="001405B6">
      <w:pPr>
        <w:pStyle w:val="FootnoteText"/>
      </w:pPr>
      <w:r>
        <w:rPr>
          <w:rStyle w:val="FootnoteReference"/>
        </w:rPr>
        <w:footnoteRef/>
      </w:r>
      <w:r>
        <w:t xml:space="preserve"> </w:t>
      </w:r>
      <w:r>
        <w:tab/>
        <w:t>NPR</w:t>
      </w:r>
      <w:r w:rsidRPr="00FE39DC">
        <w:t>: National Public Rate as of June 2013 was published in November 2013 by National Association of State Mental Health Program Directors Research Institute (NRI), based on data collected from a number of state psychiatric hospitals nationwide.</w:t>
      </w:r>
      <w:r>
        <w:t xml:space="preserve">  This is the most recent NPR data available at the time of publishing this report.  This report will include comparison of the Hospital’s data with NPR wherever possible.</w:t>
      </w:r>
    </w:p>
  </w:footnote>
  <w:footnote w:id="3">
    <w:p w:rsidR="005B4E16" w:rsidRPr="00123970" w:rsidRDefault="005B4E16" w:rsidP="008B2193">
      <w:pPr>
        <w:pStyle w:val="FootnoteText"/>
      </w:pPr>
      <w:r>
        <w:rPr>
          <w:rStyle w:val="FootnoteReference"/>
        </w:rPr>
        <w:footnoteRef/>
      </w:r>
      <w:r>
        <w:tab/>
        <w:t>Patient days are the sum of individuals who were present on the unit of the facility at 11:59 p.m. of each day.  Patient days do not include</w:t>
      </w:r>
      <w:r w:rsidRPr="00123970">
        <w:t xml:space="preserve"> </w:t>
      </w:r>
      <w:r>
        <w:t xml:space="preserve">individuals </w:t>
      </w:r>
      <w:r w:rsidRPr="00123970">
        <w:t xml:space="preserve">on authorized or unauthorized leave at </w:t>
      </w:r>
      <w:r>
        <w:t>that time although those individuals on such temporary leaves are included in our ADC calculation.</w:t>
      </w:r>
    </w:p>
  </w:footnote>
  <w:footnote w:id="4">
    <w:p w:rsidR="005B4E16" w:rsidRDefault="005B4E16" w:rsidP="008B2193">
      <w:pPr>
        <w:pStyle w:val="FootnoteText"/>
      </w:pPr>
      <w:r>
        <w:rPr>
          <w:rStyle w:val="FootnoteReference"/>
        </w:rPr>
        <w:footnoteRef/>
      </w:r>
      <w:r>
        <w:t xml:space="preserve"> </w:t>
      </w:r>
      <w:r>
        <w:tab/>
        <w:t>This counts only those transfers from one unit to another unit and does not include bed changes that may have occurred within the same unit.</w:t>
      </w:r>
    </w:p>
  </w:footnote>
  <w:footnote w:id="5">
    <w:p w:rsidR="005B4E16" w:rsidRDefault="005B4E16">
      <w:pPr>
        <w:pStyle w:val="FootnoteText"/>
      </w:pPr>
      <w:r>
        <w:rPr>
          <w:rStyle w:val="FootnoteReference"/>
        </w:rPr>
        <w:footnoteRef/>
      </w:r>
      <w:r>
        <w:t xml:space="preserve"> </w:t>
      </w:r>
      <w:r>
        <w:tab/>
        <w:t>This reconfiguration was necessary to comply with the CMS (Centers for Medicare &amp; Medicaid Services) regulations and guidelines.</w:t>
      </w:r>
    </w:p>
  </w:footnote>
  <w:footnote w:id="6">
    <w:p w:rsidR="005B4E16" w:rsidRDefault="005B4E16">
      <w:pPr>
        <w:pStyle w:val="FootnoteText"/>
      </w:pPr>
      <w:r>
        <w:rPr>
          <w:rStyle w:val="FootnoteReference"/>
        </w:rPr>
        <w:footnoteRef/>
      </w:r>
      <w:r>
        <w:t xml:space="preserve"> </w:t>
      </w:r>
      <w:r>
        <w:tab/>
      </w:r>
      <w:r w:rsidRPr="00BC533C">
        <w:t xml:space="preserve">While </w:t>
      </w:r>
      <w:r>
        <w:t>typically 65</w:t>
      </w:r>
      <w:r w:rsidRPr="00BC533C">
        <w:t xml:space="preserve"> years of age is used to identify </w:t>
      </w:r>
      <w:r>
        <w:t>“</w:t>
      </w:r>
      <w:r w:rsidRPr="00BC533C">
        <w:t>elderly</w:t>
      </w:r>
      <w:r>
        <w:t>” or “older” population, historically the Hospital and this Trend Analysis Report has monitored age distribution by 10-year increments.  For consistent trend analysis, in this report, the term “elderly” population refers to the population 60 years and over.</w:t>
      </w:r>
    </w:p>
  </w:footnote>
  <w:footnote w:id="7">
    <w:p w:rsidR="005B4E16" w:rsidRDefault="005B4E16" w:rsidP="008B2193">
      <w:pPr>
        <w:pStyle w:val="FootnoteText"/>
      </w:pPr>
      <w:r>
        <w:rPr>
          <w:rStyle w:val="FootnoteReference"/>
        </w:rPr>
        <w:footnoteRef/>
      </w:r>
      <w:r>
        <w:t xml:space="preserve"> </w:t>
      </w:r>
      <w:r>
        <w:tab/>
        <w:t xml:space="preserve">The median is the middle value of the set when they are ordered by rank, separating the higher half of a sample from the lower half, whereas the average is the arithmetic mean </w:t>
      </w:r>
      <w:r w:rsidRPr="003441D6">
        <w:t>that is computed by dividing the sum of a set of terms by the number of terms</w:t>
      </w:r>
      <w:r>
        <w:t xml:space="preserve">.  The average is not appropriate for describing skewed distributions as it is greatly influenced by outliers.  For example, a few cases with extremely high LOS can contribute to increasing the average LOS.  The median is </w:t>
      </w:r>
      <w:r w:rsidRPr="0063576D">
        <w:t xml:space="preserve">used </w:t>
      </w:r>
      <w:r>
        <w:t xml:space="preserve">more often </w:t>
      </w:r>
      <w:r w:rsidRPr="0063576D">
        <w:t>as a better measure of central tendency</w:t>
      </w:r>
      <w:r>
        <w:t xml:space="preserve"> as it is </w:t>
      </w:r>
      <w:r w:rsidRPr="0063576D">
        <w:t>influenced less than the average by outlier observations.</w:t>
      </w:r>
    </w:p>
  </w:footnote>
  <w:footnote w:id="8">
    <w:p w:rsidR="005B4E16" w:rsidRDefault="005B4E16">
      <w:pPr>
        <w:pStyle w:val="FootnoteText"/>
      </w:pPr>
      <w:r>
        <w:rPr>
          <w:rStyle w:val="FootnoteReference"/>
        </w:rPr>
        <w:footnoteRef/>
      </w:r>
      <w:r>
        <w:t xml:space="preserve"> </w:t>
      </w:r>
      <w:r>
        <w:tab/>
        <w:t>It should be noted that we compiled admissions only between FY12 and FY14 for this analysis, and thus it does not include individuals who were admitted prior to FY12 and still remaining in care at the time of analysis.</w:t>
      </w:r>
    </w:p>
  </w:footnote>
  <w:footnote w:id="9">
    <w:p w:rsidR="005B4E16" w:rsidRDefault="005B4E16">
      <w:pPr>
        <w:pStyle w:val="FootnoteText"/>
      </w:pPr>
      <w:r>
        <w:rPr>
          <w:rStyle w:val="FootnoteReference"/>
        </w:rPr>
        <w:footnoteRef/>
      </w:r>
      <w:r>
        <w:t xml:space="preserve"> </w:t>
      </w:r>
      <w:r>
        <w:tab/>
        <w:t>The number of repeated admissions is counted in the readmission group of a longer timeframe only. For example, if an individual was readmitted within 30 days and may have another episode of 90-day readmission during the respective fiscal year, (s)he won’t be counted as one with repeated admissions within 30-day timeframe but will be counted in the 90-day timeframe group.</w:t>
      </w:r>
    </w:p>
  </w:footnote>
  <w:footnote w:id="10">
    <w:p w:rsidR="005B4E16" w:rsidRDefault="005B4E16" w:rsidP="008B2193">
      <w:pPr>
        <w:pStyle w:val="FootnoteText"/>
      </w:pPr>
      <w:r>
        <w:rPr>
          <w:rStyle w:val="FootnoteReference"/>
        </w:rPr>
        <w:footnoteRef/>
      </w:r>
      <w:r>
        <w:t xml:space="preserve"> </w:t>
      </w:r>
      <w:r>
        <w:tab/>
        <w:t>Axis I</w:t>
      </w:r>
      <w:r w:rsidRPr="00EF5616">
        <w:t xml:space="preserve"> diagnoses were grouped as guided by the DSM-IV-TR Classification of the American Psychiatric Association.</w:t>
      </w:r>
      <w:r>
        <w:t xml:space="preserve">  Data for each classification herein includes all of those diagnosed with each type of disorder in their Axis I regardless of whether it is identified as their principal diagnosis.  APA published the fifth edition of DSM (DSM-5) in May 2013, which is currently in the process of implementation nation-wide and SEH is in the process of updating its diagnostic coding system.</w:t>
      </w:r>
    </w:p>
  </w:footnote>
  <w:footnote w:id="11">
    <w:p w:rsidR="005B4E16" w:rsidRPr="00F81925" w:rsidRDefault="005B4E16" w:rsidP="008B2193">
      <w:pPr>
        <w:pStyle w:val="FootnoteText"/>
      </w:pPr>
      <w:r>
        <w:rPr>
          <w:rStyle w:val="FootnoteReference"/>
        </w:rPr>
        <w:footnoteRef/>
      </w:r>
      <w:r>
        <w:t xml:space="preserve">  An NOS diagnosis reflects that there is enough information available to indicate the class of disorder that is present, but further specification is not possible, either because there is no sufficient information to make a more specific diagnosis or because the clinical feature of the disorder does not meet the criteria for any of the specific categories in that class. (</w:t>
      </w:r>
      <w:r w:rsidRPr="000644A1">
        <w:rPr>
          <w:i/>
        </w:rPr>
        <w:t>DSM-IV-TR, American Psychiatric Association.</w:t>
      </w:r>
      <w:r>
        <w:rPr>
          <w:i/>
        </w:rPr>
        <w:t xml:space="preserve">) </w:t>
      </w:r>
      <w:r>
        <w:t>The most frequent NOS diagnoses among SEH patients include ‘298.9 Psychotic Disorder NOS’, ‘294.8 Dementia NOS’ and ‘294.9 Cognitive Disorder NOS.</w:t>
      </w:r>
    </w:p>
  </w:footnote>
  <w:footnote w:id="12">
    <w:p w:rsidR="005B4E16" w:rsidRDefault="005B4E16" w:rsidP="008B2193">
      <w:pPr>
        <w:pStyle w:val="FootnoteText"/>
      </w:pPr>
      <w:r>
        <w:rPr>
          <w:rStyle w:val="FootnoteReference"/>
        </w:rPr>
        <w:footnoteRef/>
      </w:r>
      <w:r>
        <w:tab/>
      </w:r>
      <w:r w:rsidRPr="008538E4">
        <w:t>“This category can be used when the focus of clinical attention is noncompliance with an important aspect of the treatment for a mental disorder or a general medical condition. The reasons for noncompliance may include discomfort resulting from treatment, expense of treatment, decisions based on personal value judgments or religious or cultural beliefs about the advantages and disadvantages of the proposed treatment, maladaptive personality traits or coping styles, or the presence of a mental disorder. This category should be used only when the problem is sufficiently severe to warrant independent clinical attention.”</w:t>
      </w:r>
      <w:r>
        <w:t xml:space="preserve"> </w:t>
      </w:r>
      <w:r w:rsidRPr="000644A1">
        <w:rPr>
          <w:color w:val="000000"/>
        </w:rPr>
        <w:t>DSM-IV-TR, American Psychiatric Association.</w:t>
      </w:r>
    </w:p>
  </w:footnote>
  <w:footnote w:id="13">
    <w:p w:rsidR="005B4E16" w:rsidRPr="00690913" w:rsidRDefault="005B4E16">
      <w:pPr>
        <w:pStyle w:val="FootnoteText"/>
        <w:rPr>
          <w:color w:val="000000"/>
        </w:rPr>
      </w:pPr>
      <w:r>
        <w:rPr>
          <w:rStyle w:val="FootnoteReference"/>
        </w:rPr>
        <w:footnoteRef/>
      </w:r>
      <w:r>
        <w:t xml:space="preserve"> “Indicates insufficient information to make an Axis-II diagnosis”, </w:t>
      </w:r>
      <w:r>
        <w:rPr>
          <w:color w:val="000000"/>
        </w:rPr>
        <w:t xml:space="preserve">DSM-IV-TR, </w:t>
      </w:r>
      <w:r w:rsidRPr="000644A1">
        <w:rPr>
          <w:color w:val="000000"/>
        </w:rPr>
        <w:t>American Psychiatric Association.</w:t>
      </w:r>
    </w:p>
  </w:footnote>
  <w:footnote w:id="14">
    <w:p w:rsidR="005B4E16" w:rsidRDefault="005B4E16" w:rsidP="008B2193">
      <w:pPr>
        <w:pStyle w:val="FootnoteText"/>
      </w:pPr>
      <w:r w:rsidRPr="00690913">
        <w:rPr>
          <w:rStyle w:val="FootnoteReference"/>
        </w:rPr>
        <w:footnoteRef/>
      </w:r>
      <w:r w:rsidRPr="00690913">
        <w:rPr>
          <w:rStyle w:val="FootnoteReference"/>
        </w:rPr>
        <w:t xml:space="preserve"> </w:t>
      </w:r>
      <w:r w:rsidRPr="00690913">
        <w:rPr>
          <w:color w:val="000000"/>
        </w:rPr>
        <w:t xml:space="preserve">“This category can be used when the focus of clinical attention is associated with borderline intellectual functioning, that is, an IQ in the 71–84 range.” </w:t>
      </w:r>
      <w:r w:rsidRPr="000644A1">
        <w:rPr>
          <w:color w:val="000000"/>
        </w:rPr>
        <w:t>DSM-IV-TR, American Psychiatric Association.</w:t>
      </w:r>
    </w:p>
  </w:footnote>
  <w:footnote w:id="15">
    <w:p w:rsidR="005B4E16" w:rsidRDefault="005B4E16" w:rsidP="008B2193">
      <w:pPr>
        <w:pStyle w:val="FootnoteText"/>
      </w:pPr>
      <w:r>
        <w:rPr>
          <w:rStyle w:val="FootnoteReference"/>
        </w:rPr>
        <w:footnoteRef/>
      </w:r>
      <w:r>
        <w:t xml:space="preserve"> “</w:t>
      </w:r>
      <w:r w:rsidRPr="00944DC5">
        <w:t>Tardive Dyskinesia is a neurological disorder caused by the long-term use of neuroleptic drugs, or anti-psychotic medications. Neuroleptic drugs are generally prescribed for psychiatric disorders, as well as for some gastrointestinal and neurological disorders. The prevalence of Tardive Dyskinesia is estimated to be 10 to 20 percent of individuals treated with anti-psychotic medications. The elderly are more susceptible to persistent and irreversible TD than younger people.</w:t>
      </w:r>
      <w:r>
        <w:t xml:space="preserve">” </w:t>
      </w:r>
      <w:r w:rsidRPr="00EC43E9">
        <w:t>National Mental Health Association</w:t>
      </w:r>
      <w:r>
        <w:t>.</w:t>
      </w:r>
    </w:p>
  </w:footnote>
  <w:footnote w:id="16">
    <w:p w:rsidR="005B4E16" w:rsidRDefault="005B4E16" w:rsidP="008B2193">
      <w:pPr>
        <w:pStyle w:val="FootnoteText"/>
      </w:pPr>
      <w:r>
        <w:rPr>
          <w:rStyle w:val="FootnoteReference"/>
        </w:rPr>
        <w:footnoteRef/>
      </w:r>
      <w:r>
        <w:t xml:space="preserve"> According to the Centers for Disease Control and Prevention (CDC), an adult who has a BMI of 30 or higher is considered obese and an adult who has a BMI between 25 and 29.9 is considered overweight. </w:t>
      </w:r>
    </w:p>
  </w:footnote>
  <w:footnote w:id="17">
    <w:p w:rsidR="005B4E16" w:rsidRDefault="005B4E16" w:rsidP="008B2193">
      <w:pPr>
        <w:pStyle w:val="FootnoteText"/>
      </w:pPr>
      <w:r>
        <w:rPr>
          <w:rStyle w:val="FootnoteReference"/>
        </w:rPr>
        <w:footnoteRef/>
      </w:r>
      <w:r>
        <w:t xml:space="preserve"> GAF</w:t>
      </w:r>
      <w:r w:rsidRPr="004A2ED5">
        <w:t xml:space="preserve"> is a </w:t>
      </w:r>
      <w:r w:rsidRPr="0088241F">
        <w:t>numeric scale (0 through 100) used by mental health clinicians and doctors to rate the social, occupational and psychological functioning of adults</w:t>
      </w:r>
      <w:r w:rsidRPr="004A2ED5">
        <w:t>.</w:t>
      </w:r>
      <w:r>
        <w:t xml:space="preserve"> H</w:t>
      </w:r>
      <w:r w:rsidRPr="00AB7B17">
        <w:t xml:space="preserve">igher scores indicate </w:t>
      </w:r>
      <w:r>
        <w:t>higher</w:t>
      </w:r>
      <w:r w:rsidRPr="00AB7B17">
        <w:t xml:space="preserve"> functioning</w:t>
      </w:r>
      <w:r>
        <w:t xml:space="preserve">.  It should be noted, however, </w:t>
      </w:r>
      <w:r w:rsidRPr="00895D91">
        <w:t>the GAF scale is a subjective scale</w:t>
      </w:r>
      <w:r>
        <w:t xml:space="preserve"> and it could vary from one physician to another and over time.  In fact, it is no longer included in the DSM V but the Hospital was still using Axis V as of FY14.</w:t>
      </w:r>
    </w:p>
  </w:footnote>
  <w:footnote w:id="18">
    <w:p w:rsidR="005B4E16" w:rsidRDefault="005B4E16" w:rsidP="003D5D58">
      <w:pPr>
        <w:pStyle w:val="FootnoteText"/>
      </w:pPr>
      <w:r>
        <w:rPr>
          <w:rStyle w:val="FootnoteReference"/>
        </w:rPr>
        <w:footnoteRef/>
      </w:r>
      <w:r>
        <w:t xml:space="preserve"> </w:t>
      </w:r>
      <w:r w:rsidRPr="00C475EA">
        <w:t>Prevalence of Childhood and Adult Obesity in the United States, 2011-2012</w:t>
      </w:r>
      <w:r>
        <w:t xml:space="preserve">, </w:t>
      </w:r>
      <w:r w:rsidRPr="00C475EA">
        <w:t>National Center for Health Statistics, Centers for Disease Control and Prevention, Hyattsville, Maryland</w:t>
      </w:r>
    </w:p>
  </w:footnote>
  <w:footnote w:id="19">
    <w:p w:rsidR="005B4E16" w:rsidRDefault="005B4E16" w:rsidP="00984255">
      <w:pPr>
        <w:pStyle w:val="FootnoteText"/>
      </w:pPr>
      <w:r>
        <w:rPr>
          <w:rStyle w:val="FootnoteReference"/>
        </w:rPr>
        <w:footnoteRef/>
      </w:r>
      <w:r>
        <w:t xml:space="preserve"> </w:t>
      </w:r>
      <w:r w:rsidRPr="00054CAB">
        <w:t>Weight-Gain in Psychiatric Treatment: Risks, Implications, and Strategies for Prevention and Management</w:t>
      </w:r>
      <w:r>
        <w:t xml:space="preserve">, </w:t>
      </w:r>
      <w:proofErr w:type="spellStart"/>
      <w:r w:rsidRPr="00F26253">
        <w:t>Amresh</w:t>
      </w:r>
      <w:proofErr w:type="spellEnd"/>
      <w:r w:rsidRPr="00F26253">
        <w:t xml:space="preserve"> </w:t>
      </w:r>
      <w:proofErr w:type="spellStart"/>
      <w:r w:rsidRPr="00F26253">
        <w:t>Shrivastava</w:t>
      </w:r>
      <w:proofErr w:type="spellEnd"/>
      <w:r w:rsidRPr="00F26253">
        <w:t xml:space="preserve"> and Megan E. Johnston</w:t>
      </w:r>
      <w:r>
        <w:t xml:space="preserve">, </w:t>
      </w:r>
      <w:proofErr w:type="spellStart"/>
      <w:r w:rsidRPr="00F26253">
        <w:t>Mens</w:t>
      </w:r>
      <w:proofErr w:type="spellEnd"/>
      <w:r w:rsidRPr="00F26253">
        <w:t xml:space="preserve"> Sana Monographs</w:t>
      </w:r>
      <w:r>
        <w:t xml:space="preserve"> (Vol.8), </w:t>
      </w:r>
      <w:hyperlink r:id="rId1" w:tooltip="US National Library of Medicine" w:history="1">
        <w:r w:rsidRPr="00F26253">
          <w:t>US National Library of Medicine</w:t>
        </w:r>
      </w:hyperlink>
      <w:r>
        <w:t xml:space="preserve">, </w:t>
      </w:r>
      <w:hyperlink r:id="rId2" w:tooltip="National Institutes of Health" w:history="1">
        <w:r w:rsidRPr="00F26253">
          <w:t>National Institutes of Health</w:t>
        </w:r>
      </w:hyperlink>
      <w:r>
        <w:t>, December 2010.</w:t>
      </w:r>
    </w:p>
  </w:footnote>
  <w:footnote w:id="20">
    <w:p w:rsidR="005B4E16" w:rsidRDefault="005B4E16" w:rsidP="00256582">
      <w:pPr>
        <w:pStyle w:val="FootnoteText"/>
      </w:pPr>
      <w:r>
        <w:rPr>
          <w:rStyle w:val="FootnoteReference"/>
        </w:rPr>
        <w:footnoteRef/>
      </w:r>
      <w:r>
        <w:t xml:space="preserve"> This analysis includes a total of 411 individuals who had been </w:t>
      </w:r>
      <w:r w:rsidRPr="004B7C22">
        <w:t>admi</w:t>
      </w:r>
      <w:r>
        <w:t xml:space="preserve">tted during FY14 (10/01/13~09/30/14) and who had </w:t>
      </w:r>
      <w:r w:rsidRPr="001A0A79">
        <w:t xml:space="preserve">weight and height records available </w:t>
      </w:r>
      <w:r>
        <w:t xml:space="preserve">either </w:t>
      </w:r>
      <w:r w:rsidRPr="001A0A79">
        <w:t xml:space="preserve">from the </w:t>
      </w:r>
      <w:r w:rsidRPr="004B4F0F">
        <w:rPr>
          <w:i/>
        </w:rPr>
        <w:t>History &amp; Physical Assessment</w:t>
      </w:r>
      <w:r>
        <w:t xml:space="preserve"> (H&amp;P)</w:t>
      </w:r>
      <w:r w:rsidRPr="001A0A79">
        <w:t xml:space="preserve"> </w:t>
      </w:r>
      <w:r>
        <w:t>or</w:t>
      </w:r>
      <w:r w:rsidRPr="001A0A79">
        <w:t xml:space="preserve"> </w:t>
      </w:r>
      <w:r w:rsidRPr="004B4F0F">
        <w:rPr>
          <w:i/>
        </w:rPr>
        <w:t>Vital Sign</w:t>
      </w:r>
      <w:r w:rsidRPr="001A0A79">
        <w:t xml:space="preserve"> </w:t>
      </w:r>
      <w:r>
        <w:t>records</w:t>
      </w:r>
      <w:r w:rsidRPr="001A0A79">
        <w:t xml:space="preserve"> in Avatar.  Weight and height data </w:t>
      </w:r>
      <w:r>
        <w:t xml:space="preserve">measured at </w:t>
      </w:r>
      <w:r w:rsidRPr="001A0A79">
        <w:t>admission</w:t>
      </w:r>
      <w:r>
        <w:t xml:space="preserve"> (within 2 days from admission)</w:t>
      </w:r>
      <w:r w:rsidRPr="001A0A79">
        <w:t xml:space="preserve"> was used as baseline data and all of the </w:t>
      </w:r>
      <w:r>
        <w:t xml:space="preserve">following </w:t>
      </w:r>
      <w:r w:rsidRPr="001A0A79">
        <w:t xml:space="preserve">weight records available from the vital sign table were </w:t>
      </w:r>
      <w:r>
        <w:t xml:space="preserve">grouped </w:t>
      </w:r>
      <w:r w:rsidRPr="001A0A79">
        <w:t>by 30 day increment</w:t>
      </w:r>
      <w:r>
        <w:t>s</w:t>
      </w:r>
      <w:r w:rsidRPr="001A0A79">
        <w:t xml:space="preserve">. </w:t>
      </w:r>
      <w:r>
        <w:t xml:space="preserve">It should be noted that </w:t>
      </w:r>
      <w:r w:rsidRPr="001A0A79">
        <w:t xml:space="preserve">not </w:t>
      </w:r>
      <w:r>
        <w:t xml:space="preserve">all of the 411 admissions with weight </w:t>
      </w:r>
      <w:r w:rsidRPr="001A0A79">
        <w:t xml:space="preserve">data </w:t>
      </w:r>
      <w:r>
        <w:t xml:space="preserve">available at admission had their subsequent weight data measured by 30 day increments. </w:t>
      </w:r>
      <w:r w:rsidRPr="001A0A79">
        <w:t>If the weight data was not available for a particular time period for a</w:t>
      </w:r>
      <w:r>
        <w:t>n</w:t>
      </w:r>
      <w:r w:rsidRPr="001A0A79">
        <w:t xml:space="preserve"> individual or </w:t>
      </w:r>
      <w:r>
        <w:t>the individual</w:t>
      </w:r>
      <w:r w:rsidRPr="001A0A79">
        <w:t xml:space="preserve"> had been already discharged, that case was excluded from the denominator for the respective time period so the result herein is based on available data only and the denominator (n) for each respective time period is indicated in each figure.  Any noticeable outliers (i.e. extremely low or high numbers) caused by apparent data entry error were removed from analysis to increase the data reliability</w:t>
      </w:r>
      <w:r>
        <w:t xml:space="preserve">.  Also, if somebody had their weight data measure more than once within the respective time frame, the later one was used. Finally, this analysis is based on observations only for admissions that occurred in FY14.  Nearly two out of three admissions were discharged within 90 days and some of them may have been in care for less than a year from their admission, at the time of data extraction.  </w:t>
      </w:r>
      <w:r w:rsidRPr="001A0A79">
        <w:t>Accordingly, the total number of cases with available weight data</w:t>
      </w:r>
      <w:r>
        <w:t xml:space="preserve"> decreased for every incremental period.  Particularly,</w:t>
      </w:r>
      <w:r w:rsidRPr="001A0A79">
        <w:t xml:space="preserve"> </w:t>
      </w:r>
      <w:r>
        <w:t xml:space="preserve">the total number of cases available </w:t>
      </w:r>
      <w:r w:rsidRPr="001A0A79">
        <w:t xml:space="preserve">for 150 days of admissions or thereafter </w:t>
      </w:r>
      <w:r>
        <w:t xml:space="preserve">is </w:t>
      </w:r>
      <w:r w:rsidRPr="001A0A79">
        <w:t>too small and the margin of error would be larger.</w:t>
      </w:r>
    </w:p>
  </w:footnote>
  <w:footnote w:id="21">
    <w:p w:rsidR="005B4E16" w:rsidRDefault="005B4E16">
      <w:pPr>
        <w:pStyle w:val="FootnoteText"/>
      </w:pPr>
      <w:r>
        <w:rPr>
          <w:rStyle w:val="FootnoteReference"/>
        </w:rPr>
        <w:footnoteRef/>
      </w:r>
      <w:r>
        <w:t xml:space="preserve"> A single unusual incident can involve multiple types of events.  For example, a physical assault may accompany an injury or an aggressive behavior incident may accompany a psychiatric emergency.  The total number of incidents herein is a distinct count of unique incidents regardless of how many types of events were identified for each incident.</w:t>
      </w:r>
    </w:p>
  </w:footnote>
  <w:footnote w:id="22">
    <w:p w:rsidR="005B4E16" w:rsidRDefault="005B4E16" w:rsidP="004E2D41">
      <w:pPr>
        <w:pStyle w:val="FootnoteText"/>
      </w:pPr>
      <w:r>
        <w:rPr>
          <w:rStyle w:val="FootnoteReference"/>
        </w:rPr>
        <w:footnoteRef/>
      </w:r>
      <w:r>
        <w:t xml:space="preserve"> UI data in this report excludes all medication variance (MV) events, and medication or vital sign refusal events that used to be reported as UIs until FY13.  A mediation variance event was no longer reported as an UI since October 2013, nor was a medication or vital sign refusal since May 2014.  While our previous Trend Analysis reports included them, this report re-analyzed the prior years’ UI trend data after excluding them, unless the incident involved other types of UIs, for more accurate assessment of the trend.  Also, it should be noted that the trend of MV or medication/vital sign refusal events often reflected more the reporting pattern than actual frequencies of incident.</w:t>
      </w:r>
    </w:p>
  </w:footnote>
  <w:footnote w:id="23">
    <w:p w:rsidR="005B4E16" w:rsidRDefault="005B4E16">
      <w:pPr>
        <w:pStyle w:val="FootnoteText"/>
      </w:pPr>
      <w:r>
        <w:rPr>
          <w:rStyle w:val="FootnoteReference"/>
        </w:rPr>
        <w:footnoteRef/>
      </w:r>
      <w:r>
        <w:t xml:space="preserve"> The patient UI rate measures the n</w:t>
      </w:r>
      <w:r w:rsidRPr="00C24A58">
        <w:t xml:space="preserve">umber of </w:t>
      </w:r>
      <w:r>
        <w:t>p</w:t>
      </w:r>
      <w:r w:rsidRPr="00C24A58">
        <w:t>atient</w:t>
      </w:r>
      <w:r>
        <w:t>-involved incidents</w:t>
      </w:r>
      <w:r w:rsidRPr="00C24A58">
        <w:t xml:space="preserve"> occurr</w:t>
      </w:r>
      <w:r>
        <w:t>ing</w:t>
      </w:r>
      <w:r w:rsidRPr="00C24A58">
        <w:t xml:space="preserve"> per 1</w:t>
      </w:r>
      <w:r>
        <w:t>,</w:t>
      </w:r>
      <w:r w:rsidRPr="00C24A58">
        <w:t xml:space="preserve">000 </w:t>
      </w:r>
      <w:r>
        <w:t>p</w:t>
      </w:r>
      <w:r w:rsidRPr="00C24A58">
        <w:t xml:space="preserve">atient </w:t>
      </w:r>
      <w:r>
        <w:t>days and thus factors in the number of patients served each month, allowing us to assess the UI trend more objectively than the monthly total number of UIs.</w:t>
      </w:r>
    </w:p>
  </w:footnote>
  <w:footnote w:id="24">
    <w:p w:rsidR="005B4E16" w:rsidRDefault="005B4E16" w:rsidP="00E74B72">
      <w:pPr>
        <w:pStyle w:val="FootnoteText"/>
      </w:pPr>
      <w:r>
        <w:rPr>
          <w:rStyle w:val="FootnoteReference"/>
        </w:rPr>
        <w:footnoteRef/>
      </w:r>
      <w:r>
        <w:t xml:space="preserve"> Unusual Incident Reporting and Documentation Policy, Saint </w:t>
      </w:r>
      <w:proofErr w:type="spellStart"/>
      <w:r>
        <w:t>Elizabeths</w:t>
      </w:r>
      <w:proofErr w:type="spellEnd"/>
      <w:r>
        <w:t xml:space="preserve"> Hospital, Effective 1/22/2003 and revised 10/31/2013.</w:t>
      </w:r>
    </w:p>
  </w:footnote>
  <w:footnote w:id="25">
    <w:p w:rsidR="005B4E16" w:rsidRDefault="005B4E16" w:rsidP="00E74B72">
      <w:pPr>
        <w:pStyle w:val="FootnoteText"/>
      </w:pPr>
      <w:r>
        <w:rPr>
          <w:rStyle w:val="FootnoteReference"/>
        </w:rPr>
        <w:footnoteRef/>
      </w:r>
      <w:r>
        <w:t xml:space="preserve"> This is after excluding medication refusal and vital sign refusal events, most of which were considered to be non-major UIs.</w:t>
      </w:r>
    </w:p>
  </w:footnote>
  <w:footnote w:id="26">
    <w:p w:rsidR="005B4E16" w:rsidRDefault="005B4E16" w:rsidP="0037178D">
      <w:pPr>
        <w:pStyle w:val="FootnoteText"/>
      </w:pPr>
      <w:r>
        <w:rPr>
          <w:rStyle w:val="FootnoteReference"/>
        </w:rPr>
        <w:footnoteRef/>
      </w:r>
      <w:r>
        <w:t xml:space="preserve"> A catastrophic UI is an incident where there is a death or major permanent loss of function for an individual involved.</w:t>
      </w:r>
    </w:p>
  </w:footnote>
  <w:footnote w:id="27">
    <w:p w:rsidR="005B4E16" w:rsidRDefault="005B4E16">
      <w:pPr>
        <w:pStyle w:val="FootnoteText"/>
      </w:pPr>
      <w:r>
        <w:rPr>
          <w:rStyle w:val="FootnoteReference"/>
        </w:rPr>
        <w:footnoteRef/>
      </w:r>
      <w:r>
        <w:t xml:space="preserve"> For data consistency and fair assessment of the trend, the proportion of violence related UIs for FY11 through FY13 has been recalculated after excluding MVs and medication/vital sign refusal events, which used to be part of UIs prior to FY14.</w:t>
      </w:r>
    </w:p>
  </w:footnote>
  <w:footnote w:id="28">
    <w:p w:rsidR="005B4E16" w:rsidRDefault="005B4E16" w:rsidP="00CE6D6C">
      <w:pPr>
        <w:pStyle w:val="FootnoteText"/>
      </w:pPr>
      <w:r>
        <w:rPr>
          <w:rStyle w:val="FootnoteReference"/>
        </w:rPr>
        <w:footnoteRef/>
      </w:r>
      <w:r>
        <w:t xml:space="preserve"> Once an aggressive behavior becomes a physical assault, it is reported and counted only as a physical assault while the incident remains as an aggressive behavior if it does not result in any physical contact.  The Hospital is conducting a further study to analyze this trend in detail in FY15.</w:t>
      </w:r>
    </w:p>
  </w:footnote>
  <w:footnote w:id="29">
    <w:p w:rsidR="005B4E16" w:rsidRDefault="005B4E16" w:rsidP="00126A14">
      <w:pPr>
        <w:pStyle w:val="FootnoteText"/>
      </w:pPr>
      <w:r>
        <w:rPr>
          <w:rStyle w:val="FootnoteReference"/>
        </w:rPr>
        <w:footnoteRef/>
      </w:r>
      <w:r>
        <w:t xml:space="preserve"> An incident may involve both a seclusion event and a restraint event.  Such a case is counted only once herein.</w:t>
      </w:r>
    </w:p>
  </w:footnote>
  <w:footnote w:id="30">
    <w:p w:rsidR="005B4E16" w:rsidRDefault="005B4E16" w:rsidP="00272216">
      <w:pPr>
        <w:pStyle w:val="FootnoteText"/>
      </w:pPr>
      <w:r>
        <w:rPr>
          <w:rStyle w:val="FootnoteReference"/>
        </w:rPr>
        <w:footnoteRef/>
      </w:r>
      <w:r>
        <w:t xml:space="preserve"> A code 13 is called and broadcasted hospital-wide for additional help to deal with the crisis that is exceeding the capacity of the staff surrounding the situation.  Not every psychiatric emergency incident involves a code 13 but any incident resulting in a code 13 is considered to be a psychiatric emergency incident.</w:t>
      </w:r>
    </w:p>
  </w:footnote>
  <w:footnote w:id="31">
    <w:p w:rsidR="005B4E16" w:rsidRDefault="005B4E16" w:rsidP="00930F33">
      <w:pPr>
        <w:pStyle w:val="FootnoteText"/>
      </w:pPr>
      <w:r>
        <w:rPr>
          <w:rStyle w:val="FootnoteReference"/>
        </w:rPr>
        <w:footnoteRef/>
      </w:r>
      <w:r>
        <w:t xml:space="preserve"> There were a total of 239 incidents that involved a patient fall and some incidents involved more than one individual who fell.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890" w:type="dxa"/>
      <w:jc w:val="center"/>
      <w:tblInd w:w="-612" w:type="dxa"/>
      <w:tblBorders>
        <w:bottom w:val="single" w:sz="2" w:space="0" w:color="008000"/>
      </w:tblBorders>
      <w:tblLook w:val="01E0" w:firstRow="1" w:lastRow="1" w:firstColumn="1" w:lastColumn="1" w:noHBand="0" w:noVBand="0"/>
    </w:tblPr>
    <w:tblGrid>
      <w:gridCol w:w="3708"/>
      <w:gridCol w:w="7182"/>
    </w:tblGrid>
    <w:tr w:rsidR="005B4E16" w:rsidRPr="0050120C" w:rsidTr="00904CFE">
      <w:trPr>
        <w:jc w:val="center"/>
      </w:trPr>
      <w:tc>
        <w:tcPr>
          <w:tcW w:w="3708" w:type="dxa"/>
          <w:tcBorders>
            <w:bottom w:val="single" w:sz="4" w:space="0" w:color="4F81BD"/>
          </w:tcBorders>
        </w:tcPr>
        <w:p w:rsidR="005B4E16" w:rsidRPr="0050120C" w:rsidRDefault="005B4E16" w:rsidP="00170EF4">
          <w:pPr>
            <w:pStyle w:val="Header"/>
          </w:pPr>
          <w:r w:rsidRPr="0050120C">
            <w:t xml:space="preserve">Saint </w:t>
          </w:r>
          <w:proofErr w:type="spellStart"/>
          <w:r w:rsidRPr="0050120C">
            <w:t>Elizabeths</w:t>
          </w:r>
          <w:proofErr w:type="spellEnd"/>
          <w:r w:rsidRPr="0050120C">
            <w:t xml:space="preserve"> Hospital</w:t>
          </w:r>
        </w:p>
      </w:tc>
      <w:tc>
        <w:tcPr>
          <w:tcW w:w="7182" w:type="dxa"/>
          <w:tcBorders>
            <w:bottom w:val="single" w:sz="4" w:space="0" w:color="4F81BD"/>
          </w:tcBorders>
        </w:tcPr>
        <w:p w:rsidR="005B4E16" w:rsidRPr="0050120C" w:rsidRDefault="005B4E16" w:rsidP="00133EFC">
          <w:pPr>
            <w:pStyle w:val="Header"/>
          </w:pPr>
          <w:r w:rsidRPr="0050120C">
            <w:t xml:space="preserve"> </w:t>
          </w:r>
          <w:r w:rsidRPr="0050120C">
            <w:tab/>
          </w:r>
          <w:r>
            <w:t xml:space="preserve">FY14 Trend Analysis </w:t>
          </w:r>
          <w:r w:rsidRPr="00406DB2">
            <w:rPr>
              <w:b/>
              <w:color w:val="C00000"/>
            </w:rPr>
            <w:t>(0</w:t>
          </w:r>
          <w:r>
            <w:rPr>
              <w:b/>
              <w:color w:val="C00000"/>
            </w:rPr>
            <w:t>4</w:t>
          </w:r>
          <w:r w:rsidRPr="00406DB2">
            <w:rPr>
              <w:b/>
              <w:color w:val="C00000"/>
            </w:rPr>
            <w:t>/</w:t>
          </w:r>
          <w:r>
            <w:rPr>
              <w:b/>
              <w:color w:val="C00000"/>
            </w:rPr>
            <w:t>13</w:t>
          </w:r>
          <w:r w:rsidRPr="00406DB2">
            <w:rPr>
              <w:b/>
              <w:color w:val="C00000"/>
            </w:rPr>
            <w:t>/15</w:t>
          </w:r>
          <w:r w:rsidR="009D1AF6">
            <w:rPr>
              <w:b/>
              <w:color w:val="C00000"/>
            </w:rPr>
            <w:t xml:space="preserve"> DRAFT</w:t>
          </w:r>
          <w:r w:rsidRPr="00406DB2">
            <w:rPr>
              <w:b/>
              <w:color w:val="C00000"/>
            </w:rPr>
            <w:t>)</w:t>
          </w:r>
        </w:p>
      </w:tc>
    </w:tr>
  </w:tbl>
  <w:p w:rsidR="005B4E16" w:rsidRPr="00E62237" w:rsidRDefault="005B4E16" w:rsidP="00170EF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8F1EE6"/>
    <w:multiLevelType w:val="hybridMultilevel"/>
    <w:tmpl w:val="1E84396A"/>
    <w:lvl w:ilvl="0" w:tplc="007AA44C">
      <w:start w:val="1"/>
      <w:numFmt w:val="bullet"/>
      <w:pStyle w:val="IntenseQuote"/>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43D16DE"/>
    <w:multiLevelType w:val="hybridMultilevel"/>
    <w:tmpl w:val="1A8CECEC"/>
    <w:lvl w:ilvl="0" w:tplc="DB7EF18E">
      <w:start w:val="1"/>
      <w:numFmt w:val="bullet"/>
      <w:pStyle w:val="KeyFindings"/>
      <w:lvlText w:val=""/>
      <w:lvlJc w:val="left"/>
      <w:pPr>
        <w:tabs>
          <w:tab w:val="num" w:pos="288"/>
        </w:tabs>
        <w:ind w:left="288" w:hanging="288"/>
      </w:pPr>
      <w:rPr>
        <w:rFonts w:ascii="Wingdings 2" w:hAnsi="Wingdings 2"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4B5C4E11"/>
    <w:multiLevelType w:val="multilevel"/>
    <w:tmpl w:val="C2A491BA"/>
    <w:lvl w:ilvl="0">
      <w:start w:val="1"/>
      <w:numFmt w:val="upperRoman"/>
      <w:pStyle w:val="Heading1"/>
      <w:lvlText w:val="%1."/>
      <w:lvlJc w:val="right"/>
      <w:pPr>
        <w:ind w:left="648" w:hanging="360"/>
      </w:pPr>
      <w:rPr>
        <w:rFonts w:hint="default"/>
      </w:rPr>
    </w:lvl>
    <w:lvl w:ilvl="1">
      <w:start w:val="1"/>
      <w:numFmt w:val="decimal"/>
      <w:pStyle w:val="Heading2"/>
      <w:lvlText w:val="%2."/>
      <w:lvlJc w:val="left"/>
      <w:pPr>
        <w:tabs>
          <w:tab w:val="num" w:pos="360"/>
        </w:tabs>
        <w:ind w:left="360" w:hanging="36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rPr>
        <w:rFonts w:hint="default"/>
      </w:rPr>
    </w:lvl>
    <w:lvl w:ilvl="4">
      <w:start w:val="1"/>
      <w:numFmt w:val="decimal"/>
      <w:pStyle w:val="Heading5"/>
      <w:lvlText w:val="(%5)"/>
      <w:lvlJc w:val="left"/>
      <w:pPr>
        <w:tabs>
          <w:tab w:val="num" w:pos="3240"/>
        </w:tabs>
        <w:ind w:left="2880" w:firstLine="0"/>
      </w:pPr>
      <w:rPr>
        <w:rFonts w:hint="default"/>
      </w:rPr>
    </w:lvl>
    <w:lvl w:ilvl="5">
      <w:start w:val="1"/>
      <w:numFmt w:val="lowerLetter"/>
      <w:pStyle w:val="Heading6"/>
      <w:lvlText w:val="(%6)"/>
      <w:lvlJc w:val="left"/>
      <w:pPr>
        <w:tabs>
          <w:tab w:val="num" w:pos="3960"/>
        </w:tabs>
        <w:ind w:left="3600" w:firstLine="0"/>
      </w:pPr>
      <w:rPr>
        <w:rFonts w:hint="default"/>
      </w:rPr>
    </w:lvl>
    <w:lvl w:ilvl="6">
      <w:start w:val="1"/>
      <w:numFmt w:val="lowerRoman"/>
      <w:pStyle w:val="Heading7"/>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3">
    <w:nsid w:val="4CF755D1"/>
    <w:multiLevelType w:val="hybridMultilevel"/>
    <w:tmpl w:val="68EC8D64"/>
    <w:lvl w:ilvl="0" w:tplc="AB264584">
      <w:start w:val="1"/>
      <w:numFmt w:val="decimal"/>
      <w:pStyle w:val="Section"/>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7F15238D"/>
    <w:multiLevelType w:val="hybridMultilevel"/>
    <w:tmpl w:val="2CBEBF06"/>
    <w:lvl w:ilvl="0" w:tplc="1A822D74">
      <w:start w:val="19"/>
      <w:numFmt w:val="bullet"/>
      <w:lvlText w:val="-"/>
      <w:lvlJc w:val="left"/>
      <w:pPr>
        <w:ind w:left="720" w:hanging="360"/>
      </w:pPr>
      <w:rPr>
        <w:rFonts w:ascii="Calibri" w:eastAsia="Malgun Gothic"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1"/>
  </w:num>
  <w:num w:numId="8">
    <w:abstractNumId w:val="0"/>
  </w:num>
  <w:num w:numId="9">
    <w:abstractNumId w:val="0"/>
  </w:num>
  <w:num w:numId="10">
    <w:abstractNumId w:val="0"/>
  </w:num>
  <w:num w:numId="11">
    <w:abstractNumId w:val="0"/>
  </w:num>
  <w:num w:numId="12">
    <w:abstractNumId w:val="0"/>
  </w:num>
  <w:num w:numId="13">
    <w:abstractNumId w:val="1"/>
  </w:num>
  <w:num w:numId="14">
    <w:abstractNumId w:val="1"/>
  </w:num>
  <w:num w:numId="15">
    <w:abstractNumId w:val="1"/>
  </w:num>
  <w:num w:numId="16">
    <w:abstractNumId w:val="1"/>
  </w:num>
  <w:num w:numId="17">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214F"/>
    <w:rsid w:val="000000E8"/>
    <w:rsid w:val="000003CA"/>
    <w:rsid w:val="0000060E"/>
    <w:rsid w:val="000007E5"/>
    <w:rsid w:val="00000929"/>
    <w:rsid w:val="00000C29"/>
    <w:rsid w:val="00000ED6"/>
    <w:rsid w:val="000010B6"/>
    <w:rsid w:val="000010D5"/>
    <w:rsid w:val="00001737"/>
    <w:rsid w:val="00001E57"/>
    <w:rsid w:val="000023BC"/>
    <w:rsid w:val="0000294A"/>
    <w:rsid w:val="00003718"/>
    <w:rsid w:val="00003F48"/>
    <w:rsid w:val="00003F9D"/>
    <w:rsid w:val="00004554"/>
    <w:rsid w:val="000046A8"/>
    <w:rsid w:val="000049B4"/>
    <w:rsid w:val="00004A94"/>
    <w:rsid w:val="00004FF6"/>
    <w:rsid w:val="00005729"/>
    <w:rsid w:val="00005919"/>
    <w:rsid w:val="0000622D"/>
    <w:rsid w:val="00006377"/>
    <w:rsid w:val="00006497"/>
    <w:rsid w:val="00006A7A"/>
    <w:rsid w:val="00006B3A"/>
    <w:rsid w:val="00006DA1"/>
    <w:rsid w:val="00006DAA"/>
    <w:rsid w:val="000074A0"/>
    <w:rsid w:val="0000750F"/>
    <w:rsid w:val="000102D4"/>
    <w:rsid w:val="000115CF"/>
    <w:rsid w:val="000116F1"/>
    <w:rsid w:val="00012078"/>
    <w:rsid w:val="0001238D"/>
    <w:rsid w:val="0001280C"/>
    <w:rsid w:val="00012C71"/>
    <w:rsid w:val="00012F75"/>
    <w:rsid w:val="00012FDE"/>
    <w:rsid w:val="000137EF"/>
    <w:rsid w:val="00013863"/>
    <w:rsid w:val="00013D46"/>
    <w:rsid w:val="00013E47"/>
    <w:rsid w:val="00013FDB"/>
    <w:rsid w:val="000141C5"/>
    <w:rsid w:val="00014299"/>
    <w:rsid w:val="000148D8"/>
    <w:rsid w:val="00015489"/>
    <w:rsid w:val="00015584"/>
    <w:rsid w:val="00015AB9"/>
    <w:rsid w:val="00015BDA"/>
    <w:rsid w:val="00015D3E"/>
    <w:rsid w:val="00015DE2"/>
    <w:rsid w:val="000168A1"/>
    <w:rsid w:val="00016AAE"/>
    <w:rsid w:val="00016F86"/>
    <w:rsid w:val="000170FC"/>
    <w:rsid w:val="00017534"/>
    <w:rsid w:val="00017818"/>
    <w:rsid w:val="00017C0E"/>
    <w:rsid w:val="00017DB0"/>
    <w:rsid w:val="00017DF4"/>
    <w:rsid w:val="0002010C"/>
    <w:rsid w:val="00020261"/>
    <w:rsid w:val="0002035F"/>
    <w:rsid w:val="00020991"/>
    <w:rsid w:val="00020A2D"/>
    <w:rsid w:val="00020AD9"/>
    <w:rsid w:val="00020CA3"/>
    <w:rsid w:val="0002204A"/>
    <w:rsid w:val="0002222D"/>
    <w:rsid w:val="0002235F"/>
    <w:rsid w:val="000224B2"/>
    <w:rsid w:val="000226F0"/>
    <w:rsid w:val="0002283F"/>
    <w:rsid w:val="000229AC"/>
    <w:rsid w:val="00022BDE"/>
    <w:rsid w:val="0002346F"/>
    <w:rsid w:val="00023706"/>
    <w:rsid w:val="0002396F"/>
    <w:rsid w:val="00023C44"/>
    <w:rsid w:val="00023C80"/>
    <w:rsid w:val="00023CC8"/>
    <w:rsid w:val="00023F61"/>
    <w:rsid w:val="00024A07"/>
    <w:rsid w:val="00024A36"/>
    <w:rsid w:val="0002504F"/>
    <w:rsid w:val="0002534C"/>
    <w:rsid w:val="000255B4"/>
    <w:rsid w:val="00025A2C"/>
    <w:rsid w:val="00025BED"/>
    <w:rsid w:val="00025C95"/>
    <w:rsid w:val="0002601C"/>
    <w:rsid w:val="000260F6"/>
    <w:rsid w:val="000268EF"/>
    <w:rsid w:val="00026B18"/>
    <w:rsid w:val="000271CD"/>
    <w:rsid w:val="0002753D"/>
    <w:rsid w:val="00027960"/>
    <w:rsid w:val="000279DD"/>
    <w:rsid w:val="00027AEF"/>
    <w:rsid w:val="00027DEC"/>
    <w:rsid w:val="000300BF"/>
    <w:rsid w:val="00030569"/>
    <w:rsid w:val="00030730"/>
    <w:rsid w:val="00030731"/>
    <w:rsid w:val="000308C5"/>
    <w:rsid w:val="00030D0F"/>
    <w:rsid w:val="00030DC7"/>
    <w:rsid w:val="000311B0"/>
    <w:rsid w:val="00031710"/>
    <w:rsid w:val="00031B74"/>
    <w:rsid w:val="00031C1B"/>
    <w:rsid w:val="00032103"/>
    <w:rsid w:val="00032393"/>
    <w:rsid w:val="000323DD"/>
    <w:rsid w:val="00032429"/>
    <w:rsid w:val="0003252C"/>
    <w:rsid w:val="000329DE"/>
    <w:rsid w:val="00032A21"/>
    <w:rsid w:val="00032FAA"/>
    <w:rsid w:val="00032FDF"/>
    <w:rsid w:val="00033963"/>
    <w:rsid w:val="00033A5D"/>
    <w:rsid w:val="00033E55"/>
    <w:rsid w:val="0003406A"/>
    <w:rsid w:val="000345E0"/>
    <w:rsid w:val="00034782"/>
    <w:rsid w:val="0003524D"/>
    <w:rsid w:val="0003550E"/>
    <w:rsid w:val="00035A10"/>
    <w:rsid w:val="00035F3C"/>
    <w:rsid w:val="00035F9E"/>
    <w:rsid w:val="00036427"/>
    <w:rsid w:val="00036AFA"/>
    <w:rsid w:val="00036D18"/>
    <w:rsid w:val="00036DD1"/>
    <w:rsid w:val="00036E58"/>
    <w:rsid w:val="0003777E"/>
    <w:rsid w:val="00037FC2"/>
    <w:rsid w:val="000408E7"/>
    <w:rsid w:val="00040CEC"/>
    <w:rsid w:val="0004137C"/>
    <w:rsid w:val="0004177C"/>
    <w:rsid w:val="0004192D"/>
    <w:rsid w:val="00041A02"/>
    <w:rsid w:val="00041A37"/>
    <w:rsid w:val="00041E59"/>
    <w:rsid w:val="00042491"/>
    <w:rsid w:val="000426AD"/>
    <w:rsid w:val="00042A6B"/>
    <w:rsid w:val="00042B14"/>
    <w:rsid w:val="00042DF2"/>
    <w:rsid w:val="00042E3F"/>
    <w:rsid w:val="00043030"/>
    <w:rsid w:val="00043151"/>
    <w:rsid w:val="00043246"/>
    <w:rsid w:val="00043484"/>
    <w:rsid w:val="000436E1"/>
    <w:rsid w:val="00043BBE"/>
    <w:rsid w:val="00043EF1"/>
    <w:rsid w:val="00044BB2"/>
    <w:rsid w:val="00044EFF"/>
    <w:rsid w:val="00046295"/>
    <w:rsid w:val="00046B6E"/>
    <w:rsid w:val="00046B80"/>
    <w:rsid w:val="00046ED1"/>
    <w:rsid w:val="000472A9"/>
    <w:rsid w:val="000476B4"/>
    <w:rsid w:val="00047A3A"/>
    <w:rsid w:val="00047A94"/>
    <w:rsid w:val="00047DF4"/>
    <w:rsid w:val="000503E7"/>
    <w:rsid w:val="000510B8"/>
    <w:rsid w:val="00051328"/>
    <w:rsid w:val="000517FF"/>
    <w:rsid w:val="00051A2D"/>
    <w:rsid w:val="000521A8"/>
    <w:rsid w:val="00052423"/>
    <w:rsid w:val="00052F97"/>
    <w:rsid w:val="0005331F"/>
    <w:rsid w:val="0005362E"/>
    <w:rsid w:val="000539C6"/>
    <w:rsid w:val="00053CCB"/>
    <w:rsid w:val="00053F67"/>
    <w:rsid w:val="00053FF5"/>
    <w:rsid w:val="0005407F"/>
    <w:rsid w:val="0005426F"/>
    <w:rsid w:val="00054417"/>
    <w:rsid w:val="0005486B"/>
    <w:rsid w:val="00054C7C"/>
    <w:rsid w:val="00054CAB"/>
    <w:rsid w:val="00054EDD"/>
    <w:rsid w:val="00055A32"/>
    <w:rsid w:val="00055D74"/>
    <w:rsid w:val="000563C3"/>
    <w:rsid w:val="00056741"/>
    <w:rsid w:val="00056C6B"/>
    <w:rsid w:val="0005780B"/>
    <w:rsid w:val="000578A4"/>
    <w:rsid w:val="00057F07"/>
    <w:rsid w:val="000602D0"/>
    <w:rsid w:val="0006037B"/>
    <w:rsid w:val="00060511"/>
    <w:rsid w:val="000607C8"/>
    <w:rsid w:val="00060B7F"/>
    <w:rsid w:val="00060D90"/>
    <w:rsid w:val="00060F42"/>
    <w:rsid w:val="00061679"/>
    <w:rsid w:val="00061911"/>
    <w:rsid w:val="00061B35"/>
    <w:rsid w:val="00062C06"/>
    <w:rsid w:val="0006356E"/>
    <w:rsid w:val="00063AF4"/>
    <w:rsid w:val="00063F12"/>
    <w:rsid w:val="000644A1"/>
    <w:rsid w:val="0006493E"/>
    <w:rsid w:val="00064E3C"/>
    <w:rsid w:val="0006541C"/>
    <w:rsid w:val="00065978"/>
    <w:rsid w:val="00065CA1"/>
    <w:rsid w:val="00066AF0"/>
    <w:rsid w:val="000670E5"/>
    <w:rsid w:val="00067160"/>
    <w:rsid w:val="000679D7"/>
    <w:rsid w:val="00067D78"/>
    <w:rsid w:val="00070103"/>
    <w:rsid w:val="00070380"/>
    <w:rsid w:val="00070660"/>
    <w:rsid w:val="0007093D"/>
    <w:rsid w:val="00070B50"/>
    <w:rsid w:val="00070D49"/>
    <w:rsid w:val="000711AC"/>
    <w:rsid w:val="0007178D"/>
    <w:rsid w:val="00071C10"/>
    <w:rsid w:val="00071EB3"/>
    <w:rsid w:val="00072292"/>
    <w:rsid w:val="000725A7"/>
    <w:rsid w:val="000728FE"/>
    <w:rsid w:val="00072913"/>
    <w:rsid w:val="00072BE5"/>
    <w:rsid w:val="00072C95"/>
    <w:rsid w:val="00072F24"/>
    <w:rsid w:val="000735DA"/>
    <w:rsid w:val="00073B22"/>
    <w:rsid w:val="00073B47"/>
    <w:rsid w:val="00073BCE"/>
    <w:rsid w:val="00073BE4"/>
    <w:rsid w:val="00074165"/>
    <w:rsid w:val="000741DD"/>
    <w:rsid w:val="000749D9"/>
    <w:rsid w:val="00074F17"/>
    <w:rsid w:val="00075AF4"/>
    <w:rsid w:val="0007634D"/>
    <w:rsid w:val="00076637"/>
    <w:rsid w:val="00076B02"/>
    <w:rsid w:val="00077163"/>
    <w:rsid w:val="000776BC"/>
    <w:rsid w:val="00077855"/>
    <w:rsid w:val="00077A6F"/>
    <w:rsid w:val="00077C88"/>
    <w:rsid w:val="00077CC7"/>
    <w:rsid w:val="00077F88"/>
    <w:rsid w:val="0008010E"/>
    <w:rsid w:val="00080143"/>
    <w:rsid w:val="000803EA"/>
    <w:rsid w:val="00080B17"/>
    <w:rsid w:val="00080B59"/>
    <w:rsid w:val="00080C04"/>
    <w:rsid w:val="00080C15"/>
    <w:rsid w:val="00080EBA"/>
    <w:rsid w:val="00081FD9"/>
    <w:rsid w:val="0008201E"/>
    <w:rsid w:val="00082315"/>
    <w:rsid w:val="00082587"/>
    <w:rsid w:val="000826D1"/>
    <w:rsid w:val="00082865"/>
    <w:rsid w:val="00082EB3"/>
    <w:rsid w:val="0008327A"/>
    <w:rsid w:val="00083906"/>
    <w:rsid w:val="00083BA3"/>
    <w:rsid w:val="00083E67"/>
    <w:rsid w:val="00083F47"/>
    <w:rsid w:val="000845E0"/>
    <w:rsid w:val="0008477B"/>
    <w:rsid w:val="00084992"/>
    <w:rsid w:val="00084AA4"/>
    <w:rsid w:val="000850EA"/>
    <w:rsid w:val="0008514C"/>
    <w:rsid w:val="00085173"/>
    <w:rsid w:val="00085224"/>
    <w:rsid w:val="000859BA"/>
    <w:rsid w:val="00086F05"/>
    <w:rsid w:val="00087665"/>
    <w:rsid w:val="00087C79"/>
    <w:rsid w:val="00087CAF"/>
    <w:rsid w:val="0009066D"/>
    <w:rsid w:val="00090B61"/>
    <w:rsid w:val="00090C4B"/>
    <w:rsid w:val="00090C62"/>
    <w:rsid w:val="00090DFE"/>
    <w:rsid w:val="00090EEA"/>
    <w:rsid w:val="00091671"/>
    <w:rsid w:val="000917E6"/>
    <w:rsid w:val="000919D9"/>
    <w:rsid w:val="00092166"/>
    <w:rsid w:val="00092597"/>
    <w:rsid w:val="000929C1"/>
    <w:rsid w:val="00092FE9"/>
    <w:rsid w:val="00093391"/>
    <w:rsid w:val="00093A39"/>
    <w:rsid w:val="00093BBA"/>
    <w:rsid w:val="00093F3E"/>
    <w:rsid w:val="00094400"/>
    <w:rsid w:val="000944D3"/>
    <w:rsid w:val="00094A40"/>
    <w:rsid w:val="00094E42"/>
    <w:rsid w:val="000951BF"/>
    <w:rsid w:val="000951F5"/>
    <w:rsid w:val="0009525F"/>
    <w:rsid w:val="00095A76"/>
    <w:rsid w:val="00095A8C"/>
    <w:rsid w:val="00095ED3"/>
    <w:rsid w:val="00096552"/>
    <w:rsid w:val="000965A7"/>
    <w:rsid w:val="00096A98"/>
    <w:rsid w:val="0009776A"/>
    <w:rsid w:val="0009798C"/>
    <w:rsid w:val="000979CC"/>
    <w:rsid w:val="00097C1D"/>
    <w:rsid w:val="000A0168"/>
    <w:rsid w:val="000A0D13"/>
    <w:rsid w:val="000A135C"/>
    <w:rsid w:val="000A1939"/>
    <w:rsid w:val="000A1B40"/>
    <w:rsid w:val="000A1FB6"/>
    <w:rsid w:val="000A281E"/>
    <w:rsid w:val="000A2A67"/>
    <w:rsid w:val="000A2AE9"/>
    <w:rsid w:val="000A2AEC"/>
    <w:rsid w:val="000A2E9B"/>
    <w:rsid w:val="000A3007"/>
    <w:rsid w:val="000A318E"/>
    <w:rsid w:val="000A341A"/>
    <w:rsid w:val="000A350E"/>
    <w:rsid w:val="000A36A4"/>
    <w:rsid w:val="000A391D"/>
    <w:rsid w:val="000A46DB"/>
    <w:rsid w:val="000A47E9"/>
    <w:rsid w:val="000A481F"/>
    <w:rsid w:val="000A4856"/>
    <w:rsid w:val="000A4939"/>
    <w:rsid w:val="000A4E0E"/>
    <w:rsid w:val="000A4E2C"/>
    <w:rsid w:val="000A4EBB"/>
    <w:rsid w:val="000A5A61"/>
    <w:rsid w:val="000A6318"/>
    <w:rsid w:val="000A692C"/>
    <w:rsid w:val="000A6D68"/>
    <w:rsid w:val="000A6F15"/>
    <w:rsid w:val="000A6FDB"/>
    <w:rsid w:val="000A72B6"/>
    <w:rsid w:val="000A75BE"/>
    <w:rsid w:val="000A783C"/>
    <w:rsid w:val="000A7EDD"/>
    <w:rsid w:val="000A7F69"/>
    <w:rsid w:val="000B0AD5"/>
    <w:rsid w:val="000B0B3E"/>
    <w:rsid w:val="000B0CE7"/>
    <w:rsid w:val="000B0D2D"/>
    <w:rsid w:val="000B0F76"/>
    <w:rsid w:val="000B1357"/>
    <w:rsid w:val="000B13DE"/>
    <w:rsid w:val="000B1A10"/>
    <w:rsid w:val="000B22B0"/>
    <w:rsid w:val="000B230D"/>
    <w:rsid w:val="000B2368"/>
    <w:rsid w:val="000B267A"/>
    <w:rsid w:val="000B278F"/>
    <w:rsid w:val="000B2CCC"/>
    <w:rsid w:val="000B2DB0"/>
    <w:rsid w:val="000B2E05"/>
    <w:rsid w:val="000B32ED"/>
    <w:rsid w:val="000B34AF"/>
    <w:rsid w:val="000B368C"/>
    <w:rsid w:val="000B3B88"/>
    <w:rsid w:val="000B3FAF"/>
    <w:rsid w:val="000B40FF"/>
    <w:rsid w:val="000B42EF"/>
    <w:rsid w:val="000B481C"/>
    <w:rsid w:val="000B4C1D"/>
    <w:rsid w:val="000B4C21"/>
    <w:rsid w:val="000B4CA7"/>
    <w:rsid w:val="000B4ECD"/>
    <w:rsid w:val="000B4F97"/>
    <w:rsid w:val="000B5198"/>
    <w:rsid w:val="000B5311"/>
    <w:rsid w:val="000B5953"/>
    <w:rsid w:val="000B59A7"/>
    <w:rsid w:val="000B5AB9"/>
    <w:rsid w:val="000B5C1C"/>
    <w:rsid w:val="000B5C87"/>
    <w:rsid w:val="000B5CFE"/>
    <w:rsid w:val="000B60F8"/>
    <w:rsid w:val="000B63E2"/>
    <w:rsid w:val="000B7488"/>
    <w:rsid w:val="000B7638"/>
    <w:rsid w:val="000B7B47"/>
    <w:rsid w:val="000B7F10"/>
    <w:rsid w:val="000C0B1F"/>
    <w:rsid w:val="000C0B74"/>
    <w:rsid w:val="000C100A"/>
    <w:rsid w:val="000C132F"/>
    <w:rsid w:val="000C1922"/>
    <w:rsid w:val="000C19BA"/>
    <w:rsid w:val="000C1C89"/>
    <w:rsid w:val="000C1DFE"/>
    <w:rsid w:val="000C2168"/>
    <w:rsid w:val="000C3AEF"/>
    <w:rsid w:val="000C3D88"/>
    <w:rsid w:val="000C40CB"/>
    <w:rsid w:val="000C4F7F"/>
    <w:rsid w:val="000C5667"/>
    <w:rsid w:val="000C59D1"/>
    <w:rsid w:val="000C5DEC"/>
    <w:rsid w:val="000C6091"/>
    <w:rsid w:val="000C61BE"/>
    <w:rsid w:val="000C6424"/>
    <w:rsid w:val="000C64B1"/>
    <w:rsid w:val="000C6807"/>
    <w:rsid w:val="000C684D"/>
    <w:rsid w:val="000C6DF2"/>
    <w:rsid w:val="000C71A7"/>
    <w:rsid w:val="000C7CFD"/>
    <w:rsid w:val="000D05C8"/>
    <w:rsid w:val="000D15E1"/>
    <w:rsid w:val="000D17A2"/>
    <w:rsid w:val="000D1B18"/>
    <w:rsid w:val="000D1DD2"/>
    <w:rsid w:val="000D1FE8"/>
    <w:rsid w:val="000D233E"/>
    <w:rsid w:val="000D238D"/>
    <w:rsid w:val="000D2A3D"/>
    <w:rsid w:val="000D2D21"/>
    <w:rsid w:val="000D2DB8"/>
    <w:rsid w:val="000D2EA6"/>
    <w:rsid w:val="000D3369"/>
    <w:rsid w:val="000D38C0"/>
    <w:rsid w:val="000D38D6"/>
    <w:rsid w:val="000D3DB8"/>
    <w:rsid w:val="000D3E8C"/>
    <w:rsid w:val="000D44BE"/>
    <w:rsid w:val="000D49F4"/>
    <w:rsid w:val="000D51CE"/>
    <w:rsid w:val="000D55E5"/>
    <w:rsid w:val="000D633A"/>
    <w:rsid w:val="000D667C"/>
    <w:rsid w:val="000D6B13"/>
    <w:rsid w:val="000D6CBA"/>
    <w:rsid w:val="000D6F63"/>
    <w:rsid w:val="000D70A9"/>
    <w:rsid w:val="000D72D7"/>
    <w:rsid w:val="000D7455"/>
    <w:rsid w:val="000D7F49"/>
    <w:rsid w:val="000E04E9"/>
    <w:rsid w:val="000E0952"/>
    <w:rsid w:val="000E0B5B"/>
    <w:rsid w:val="000E0C03"/>
    <w:rsid w:val="000E0E5C"/>
    <w:rsid w:val="000E1632"/>
    <w:rsid w:val="000E1E3B"/>
    <w:rsid w:val="000E24AA"/>
    <w:rsid w:val="000E2656"/>
    <w:rsid w:val="000E2A47"/>
    <w:rsid w:val="000E2C6B"/>
    <w:rsid w:val="000E2DF2"/>
    <w:rsid w:val="000E33DF"/>
    <w:rsid w:val="000E35A6"/>
    <w:rsid w:val="000E381D"/>
    <w:rsid w:val="000E43E2"/>
    <w:rsid w:val="000E4538"/>
    <w:rsid w:val="000E4553"/>
    <w:rsid w:val="000E579E"/>
    <w:rsid w:val="000E5975"/>
    <w:rsid w:val="000E5A75"/>
    <w:rsid w:val="000E5B49"/>
    <w:rsid w:val="000E5C59"/>
    <w:rsid w:val="000E5C63"/>
    <w:rsid w:val="000E6306"/>
    <w:rsid w:val="000E67A0"/>
    <w:rsid w:val="000E693C"/>
    <w:rsid w:val="000E6C14"/>
    <w:rsid w:val="000E779A"/>
    <w:rsid w:val="000E78F9"/>
    <w:rsid w:val="000E79C1"/>
    <w:rsid w:val="000E7ADD"/>
    <w:rsid w:val="000E7F91"/>
    <w:rsid w:val="000F01A2"/>
    <w:rsid w:val="000F01FE"/>
    <w:rsid w:val="000F022F"/>
    <w:rsid w:val="000F0B5C"/>
    <w:rsid w:val="000F0C35"/>
    <w:rsid w:val="000F0E6E"/>
    <w:rsid w:val="000F11C3"/>
    <w:rsid w:val="000F1507"/>
    <w:rsid w:val="000F16D1"/>
    <w:rsid w:val="000F176A"/>
    <w:rsid w:val="000F18BA"/>
    <w:rsid w:val="000F1958"/>
    <w:rsid w:val="000F1F8A"/>
    <w:rsid w:val="000F23E0"/>
    <w:rsid w:val="000F302F"/>
    <w:rsid w:val="000F3254"/>
    <w:rsid w:val="000F32D5"/>
    <w:rsid w:val="000F3F86"/>
    <w:rsid w:val="000F4016"/>
    <w:rsid w:val="000F429F"/>
    <w:rsid w:val="000F42D0"/>
    <w:rsid w:val="000F487D"/>
    <w:rsid w:val="000F49B9"/>
    <w:rsid w:val="000F49C9"/>
    <w:rsid w:val="000F4B4B"/>
    <w:rsid w:val="000F4BC5"/>
    <w:rsid w:val="000F4BDF"/>
    <w:rsid w:val="000F4BFA"/>
    <w:rsid w:val="000F4F35"/>
    <w:rsid w:val="000F50B4"/>
    <w:rsid w:val="000F5629"/>
    <w:rsid w:val="000F5739"/>
    <w:rsid w:val="000F61F7"/>
    <w:rsid w:val="000F6592"/>
    <w:rsid w:val="000F6D30"/>
    <w:rsid w:val="000F786E"/>
    <w:rsid w:val="000F78D8"/>
    <w:rsid w:val="000F7CBD"/>
    <w:rsid w:val="00100200"/>
    <w:rsid w:val="00100466"/>
    <w:rsid w:val="0010092B"/>
    <w:rsid w:val="001009A8"/>
    <w:rsid w:val="00100BF5"/>
    <w:rsid w:val="00100F71"/>
    <w:rsid w:val="00100F7C"/>
    <w:rsid w:val="00101068"/>
    <w:rsid w:val="00101640"/>
    <w:rsid w:val="00101776"/>
    <w:rsid w:val="001019F4"/>
    <w:rsid w:val="00101B40"/>
    <w:rsid w:val="00101B46"/>
    <w:rsid w:val="00101B91"/>
    <w:rsid w:val="00101CD7"/>
    <w:rsid w:val="00101E78"/>
    <w:rsid w:val="00102251"/>
    <w:rsid w:val="001026FE"/>
    <w:rsid w:val="0010291E"/>
    <w:rsid w:val="00102993"/>
    <w:rsid w:val="00102AFE"/>
    <w:rsid w:val="00102D81"/>
    <w:rsid w:val="00102E59"/>
    <w:rsid w:val="001032DA"/>
    <w:rsid w:val="00103332"/>
    <w:rsid w:val="001033B1"/>
    <w:rsid w:val="00103579"/>
    <w:rsid w:val="001035E7"/>
    <w:rsid w:val="00103A28"/>
    <w:rsid w:val="00103B0A"/>
    <w:rsid w:val="00103EFC"/>
    <w:rsid w:val="001043AE"/>
    <w:rsid w:val="00104BEB"/>
    <w:rsid w:val="001053DA"/>
    <w:rsid w:val="00105900"/>
    <w:rsid w:val="0010595B"/>
    <w:rsid w:val="001074F9"/>
    <w:rsid w:val="00107A81"/>
    <w:rsid w:val="00107EE6"/>
    <w:rsid w:val="00110522"/>
    <w:rsid w:val="00110654"/>
    <w:rsid w:val="00110F69"/>
    <w:rsid w:val="00111335"/>
    <w:rsid w:val="00111560"/>
    <w:rsid w:val="00111576"/>
    <w:rsid w:val="00111913"/>
    <w:rsid w:val="00111DEF"/>
    <w:rsid w:val="0011206F"/>
    <w:rsid w:val="0011274B"/>
    <w:rsid w:val="001127FC"/>
    <w:rsid w:val="00112AF4"/>
    <w:rsid w:val="00112D6A"/>
    <w:rsid w:val="001139D4"/>
    <w:rsid w:val="00113C38"/>
    <w:rsid w:val="00113C8D"/>
    <w:rsid w:val="00113DD1"/>
    <w:rsid w:val="00113FE6"/>
    <w:rsid w:val="00114EEA"/>
    <w:rsid w:val="00115583"/>
    <w:rsid w:val="001156AF"/>
    <w:rsid w:val="00115AEB"/>
    <w:rsid w:val="00115EFD"/>
    <w:rsid w:val="00116204"/>
    <w:rsid w:val="0011641D"/>
    <w:rsid w:val="001166FC"/>
    <w:rsid w:val="00116FCB"/>
    <w:rsid w:val="001171BC"/>
    <w:rsid w:val="001172BD"/>
    <w:rsid w:val="00117848"/>
    <w:rsid w:val="00117BFA"/>
    <w:rsid w:val="001200D9"/>
    <w:rsid w:val="001204A5"/>
    <w:rsid w:val="00120A34"/>
    <w:rsid w:val="00120A39"/>
    <w:rsid w:val="00120D91"/>
    <w:rsid w:val="0012197F"/>
    <w:rsid w:val="00121C4D"/>
    <w:rsid w:val="00121F13"/>
    <w:rsid w:val="00122531"/>
    <w:rsid w:val="00122707"/>
    <w:rsid w:val="00122EA0"/>
    <w:rsid w:val="00122EC5"/>
    <w:rsid w:val="0012300F"/>
    <w:rsid w:val="001231EF"/>
    <w:rsid w:val="00123970"/>
    <w:rsid w:val="00123A15"/>
    <w:rsid w:val="00124023"/>
    <w:rsid w:val="0012461A"/>
    <w:rsid w:val="0012463F"/>
    <w:rsid w:val="00124A59"/>
    <w:rsid w:val="00124B66"/>
    <w:rsid w:val="001252A5"/>
    <w:rsid w:val="00125499"/>
    <w:rsid w:val="001256B1"/>
    <w:rsid w:val="0012575F"/>
    <w:rsid w:val="001257B9"/>
    <w:rsid w:val="00125C81"/>
    <w:rsid w:val="00125E08"/>
    <w:rsid w:val="00125E82"/>
    <w:rsid w:val="00125F56"/>
    <w:rsid w:val="0012601E"/>
    <w:rsid w:val="001261D1"/>
    <w:rsid w:val="0012661F"/>
    <w:rsid w:val="0012698C"/>
    <w:rsid w:val="00126A14"/>
    <w:rsid w:val="0012751D"/>
    <w:rsid w:val="00127928"/>
    <w:rsid w:val="00127FDD"/>
    <w:rsid w:val="001306FC"/>
    <w:rsid w:val="00130CAE"/>
    <w:rsid w:val="001310F1"/>
    <w:rsid w:val="001312AA"/>
    <w:rsid w:val="001313D8"/>
    <w:rsid w:val="001315D6"/>
    <w:rsid w:val="0013177C"/>
    <w:rsid w:val="00131A73"/>
    <w:rsid w:val="00131D2E"/>
    <w:rsid w:val="00131DCF"/>
    <w:rsid w:val="00131E11"/>
    <w:rsid w:val="0013227D"/>
    <w:rsid w:val="00132D12"/>
    <w:rsid w:val="00133084"/>
    <w:rsid w:val="00133395"/>
    <w:rsid w:val="001338DF"/>
    <w:rsid w:val="001338F6"/>
    <w:rsid w:val="00133BF0"/>
    <w:rsid w:val="00133BF1"/>
    <w:rsid w:val="00133EFC"/>
    <w:rsid w:val="00134085"/>
    <w:rsid w:val="001341EB"/>
    <w:rsid w:val="0013484E"/>
    <w:rsid w:val="00134EBC"/>
    <w:rsid w:val="00134F47"/>
    <w:rsid w:val="00135222"/>
    <w:rsid w:val="0013530A"/>
    <w:rsid w:val="001353A2"/>
    <w:rsid w:val="0013554E"/>
    <w:rsid w:val="00135933"/>
    <w:rsid w:val="0013627A"/>
    <w:rsid w:val="001364CE"/>
    <w:rsid w:val="001366B9"/>
    <w:rsid w:val="0013681E"/>
    <w:rsid w:val="0013702B"/>
    <w:rsid w:val="0013742D"/>
    <w:rsid w:val="00137A9A"/>
    <w:rsid w:val="00137C01"/>
    <w:rsid w:val="00137D90"/>
    <w:rsid w:val="00137E4F"/>
    <w:rsid w:val="001405B6"/>
    <w:rsid w:val="001405DB"/>
    <w:rsid w:val="00140998"/>
    <w:rsid w:val="00140CDD"/>
    <w:rsid w:val="00140F83"/>
    <w:rsid w:val="0014146C"/>
    <w:rsid w:val="00141AA2"/>
    <w:rsid w:val="00141B6A"/>
    <w:rsid w:val="00141C4B"/>
    <w:rsid w:val="00141F33"/>
    <w:rsid w:val="001426D4"/>
    <w:rsid w:val="00142840"/>
    <w:rsid w:val="0014285C"/>
    <w:rsid w:val="00142B36"/>
    <w:rsid w:val="00142C39"/>
    <w:rsid w:val="00142D70"/>
    <w:rsid w:val="00142E0B"/>
    <w:rsid w:val="0014306F"/>
    <w:rsid w:val="001430D8"/>
    <w:rsid w:val="00143524"/>
    <w:rsid w:val="00143BED"/>
    <w:rsid w:val="00143D12"/>
    <w:rsid w:val="00143E2A"/>
    <w:rsid w:val="0014403F"/>
    <w:rsid w:val="00144133"/>
    <w:rsid w:val="0014421E"/>
    <w:rsid w:val="0014447F"/>
    <w:rsid w:val="001445AA"/>
    <w:rsid w:val="001447C1"/>
    <w:rsid w:val="0014503B"/>
    <w:rsid w:val="00145270"/>
    <w:rsid w:val="0014534F"/>
    <w:rsid w:val="0014628C"/>
    <w:rsid w:val="00146CE6"/>
    <w:rsid w:val="001470EF"/>
    <w:rsid w:val="00147A1C"/>
    <w:rsid w:val="00147A57"/>
    <w:rsid w:val="00147AA7"/>
    <w:rsid w:val="00150713"/>
    <w:rsid w:val="001508E3"/>
    <w:rsid w:val="0015120B"/>
    <w:rsid w:val="00151E02"/>
    <w:rsid w:val="00152A1B"/>
    <w:rsid w:val="00153474"/>
    <w:rsid w:val="0015363C"/>
    <w:rsid w:val="00153698"/>
    <w:rsid w:val="00153829"/>
    <w:rsid w:val="00153B9C"/>
    <w:rsid w:val="00153C85"/>
    <w:rsid w:val="001541EA"/>
    <w:rsid w:val="00154648"/>
    <w:rsid w:val="001546C4"/>
    <w:rsid w:val="001547D2"/>
    <w:rsid w:val="0015513E"/>
    <w:rsid w:val="00155C0B"/>
    <w:rsid w:val="00156068"/>
    <w:rsid w:val="001561EE"/>
    <w:rsid w:val="0015652D"/>
    <w:rsid w:val="00156F81"/>
    <w:rsid w:val="0015739E"/>
    <w:rsid w:val="00157923"/>
    <w:rsid w:val="00157E2A"/>
    <w:rsid w:val="00157F7D"/>
    <w:rsid w:val="0016048A"/>
    <w:rsid w:val="00160739"/>
    <w:rsid w:val="001608FD"/>
    <w:rsid w:val="00160997"/>
    <w:rsid w:val="00161834"/>
    <w:rsid w:val="0016193D"/>
    <w:rsid w:val="00161996"/>
    <w:rsid w:val="00161B19"/>
    <w:rsid w:val="00161CA6"/>
    <w:rsid w:val="00161F5B"/>
    <w:rsid w:val="00161FD0"/>
    <w:rsid w:val="001629DC"/>
    <w:rsid w:val="00162A2F"/>
    <w:rsid w:val="00163006"/>
    <w:rsid w:val="001631C8"/>
    <w:rsid w:val="001634AC"/>
    <w:rsid w:val="00163964"/>
    <w:rsid w:val="00163B5D"/>
    <w:rsid w:val="0016402D"/>
    <w:rsid w:val="0016435C"/>
    <w:rsid w:val="001649C7"/>
    <w:rsid w:val="00164DC9"/>
    <w:rsid w:val="00164F82"/>
    <w:rsid w:val="00165154"/>
    <w:rsid w:val="00165644"/>
    <w:rsid w:val="00165A62"/>
    <w:rsid w:val="00165A84"/>
    <w:rsid w:val="00165B9A"/>
    <w:rsid w:val="0016667D"/>
    <w:rsid w:val="001671C4"/>
    <w:rsid w:val="001673DB"/>
    <w:rsid w:val="00167749"/>
    <w:rsid w:val="001677E1"/>
    <w:rsid w:val="00167E90"/>
    <w:rsid w:val="00170301"/>
    <w:rsid w:val="0017049B"/>
    <w:rsid w:val="00170A22"/>
    <w:rsid w:val="00170B97"/>
    <w:rsid w:val="00170BAF"/>
    <w:rsid w:val="00170EF4"/>
    <w:rsid w:val="001710E4"/>
    <w:rsid w:val="00171AC6"/>
    <w:rsid w:val="00172054"/>
    <w:rsid w:val="00172440"/>
    <w:rsid w:val="00173276"/>
    <w:rsid w:val="001732F2"/>
    <w:rsid w:val="001733B6"/>
    <w:rsid w:val="001736AA"/>
    <w:rsid w:val="001737B3"/>
    <w:rsid w:val="00173E97"/>
    <w:rsid w:val="001748C7"/>
    <w:rsid w:val="00174F3E"/>
    <w:rsid w:val="00174F87"/>
    <w:rsid w:val="0017582C"/>
    <w:rsid w:val="00175A7D"/>
    <w:rsid w:val="00175B21"/>
    <w:rsid w:val="00175BAE"/>
    <w:rsid w:val="00176070"/>
    <w:rsid w:val="0017638D"/>
    <w:rsid w:val="00176625"/>
    <w:rsid w:val="00176A14"/>
    <w:rsid w:val="00176A24"/>
    <w:rsid w:val="00176F69"/>
    <w:rsid w:val="00177D4A"/>
    <w:rsid w:val="00180180"/>
    <w:rsid w:val="0018070B"/>
    <w:rsid w:val="00180F82"/>
    <w:rsid w:val="00181B67"/>
    <w:rsid w:val="00181F61"/>
    <w:rsid w:val="0018238E"/>
    <w:rsid w:val="0018271F"/>
    <w:rsid w:val="00182D76"/>
    <w:rsid w:val="00182F31"/>
    <w:rsid w:val="0018325E"/>
    <w:rsid w:val="0018359E"/>
    <w:rsid w:val="00184C0F"/>
    <w:rsid w:val="00184EC1"/>
    <w:rsid w:val="0018524F"/>
    <w:rsid w:val="001852C7"/>
    <w:rsid w:val="001852D4"/>
    <w:rsid w:val="00185317"/>
    <w:rsid w:val="00185A38"/>
    <w:rsid w:val="00185A92"/>
    <w:rsid w:val="001879DA"/>
    <w:rsid w:val="00187AC3"/>
    <w:rsid w:val="00187B0D"/>
    <w:rsid w:val="00190178"/>
    <w:rsid w:val="00190944"/>
    <w:rsid w:val="00190B1B"/>
    <w:rsid w:val="001912AB"/>
    <w:rsid w:val="001913BF"/>
    <w:rsid w:val="00191614"/>
    <w:rsid w:val="001918F4"/>
    <w:rsid w:val="00191919"/>
    <w:rsid w:val="00191A5A"/>
    <w:rsid w:val="00191AAA"/>
    <w:rsid w:val="001922DB"/>
    <w:rsid w:val="00192590"/>
    <w:rsid w:val="00192757"/>
    <w:rsid w:val="00192ADD"/>
    <w:rsid w:val="00192C3C"/>
    <w:rsid w:val="00193264"/>
    <w:rsid w:val="00193641"/>
    <w:rsid w:val="0019370E"/>
    <w:rsid w:val="00193FAB"/>
    <w:rsid w:val="00194086"/>
    <w:rsid w:val="001941BA"/>
    <w:rsid w:val="0019432A"/>
    <w:rsid w:val="00194C35"/>
    <w:rsid w:val="00194CA0"/>
    <w:rsid w:val="0019507B"/>
    <w:rsid w:val="00195122"/>
    <w:rsid w:val="00195BBD"/>
    <w:rsid w:val="00195D23"/>
    <w:rsid w:val="00195D24"/>
    <w:rsid w:val="00195DF6"/>
    <w:rsid w:val="0019604D"/>
    <w:rsid w:val="00196423"/>
    <w:rsid w:val="00196453"/>
    <w:rsid w:val="00196474"/>
    <w:rsid w:val="00196566"/>
    <w:rsid w:val="00196AD7"/>
    <w:rsid w:val="00196F7F"/>
    <w:rsid w:val="00196F94"/>
    <w:rsid w:val="00197240"/>
    <w:rsid w:val="001978AD"/>
    <w:rsid w:val="00197943"/>
    <w:rsid w:val="00197D53"/>
    <w:rsid w:val="001A01B4"/>
    <w:rsid w:val="001A020F"/>
    <w:rsid w:val="001A038A"/>
    <w:rsid w:val="001A0788"/>
    <w:rsid w:val="001A07EF"/>
    <w:rsid w:val="001A08CA"/>
    <w:rsid w:val="001A0A79"/>
    <w:rsid w:val="001A14E4"/>
    <w:rsid w:val="001A1B85"/>
    <w:rsid w:val="001A25E9"/>
    <w:rsid w:val="001A261F"/>
    <w:rsid w:val="001A2C6F"/>
    <w:rsid w:val="001A3371"/>
    <w:rsid w:val="001A33CC"/>
    <w:rsid w:val="001A3433"/>
    <w:rsid w:val="001A3854"/>
    <w:rsid w:val="001A39F7"/>
    <w:rsid w:val="001A4393"/>
    <w:rsid w:val="001A4A5A"/>
    <w:rsid w:val="001A4E4E"/>
    <w:rsid w:val="001A5573"/>
    <w:rsid w:val="001A5C15"/>
    <w:rsid w:val="001A5FDE"/>
    <w:rsid w:val="001A6B09"/>
    <w:rsid w:val="001A71F8"/>
    <w:rsid w:val="001A7342"/>
    <w:rsid w:val="001A7382"/>
    <w:rsid w:val="001A7613"/>
    <w:rsid w:val="001B06B0"/>
    <w:rsid w:val="001B07D1"/>
    <w:rsid w:val="001B083C"/>
    <w:rsid w:val="001B0C8C"/>
    <w:rsid w:val="001B1052"/>
    <w:rsid w:val="001B136E"/>
    <w:rsid w:val="001B168B"/>
    <w:rsid w:val="001B17DD"/>
    <w:rsid w:val="001B1971"/>
    <w:rsid w:val="001B1DC1"/>
    <w:rsid w:val="001B203D"/>
    <w:rsid w:val="001B2A62"/>
    <w:rsid w:val="001B31D5"/>
    <w:rsid w:val="001B32FF"/>
    <w:rsid w:val="001B3307"/>
    <w:rsid w:val="001B3775"/>
    <w:rsid w:val="001B3B88"/>
    <w:rsid w:val="001B3E71"/>
    <w:rsid w:val="001B40F1"/>
    <w:rsid w:val="001B46D2"/>
    <w:rsid w:val="001B488C"/>
    <w:rsid w:val="001B4BE9"/>
    <w:rsid w:val="001B4DF0"/>
    <w:rsid w:val="001B4E5A"/>
    <w:rsid w:val="001B50AE"/>
    <w:rsid w:val="001B510A"/>
    <w:rsid w:val="001B5A96"/>
    <w:rsid w:val="001B5BB1"/>
    <w:rsid w:val="001B5BE4"/>
    <w:rsid w:val="001B6320"/>
    <w:rsid w:val="001B635E"/>
    <w:rsid w:val="001B7098"/>
    <w:rsid w:val="001B70BC"/>
    <w:rsid w:val="001B725B"/>
    <w:rsid w:val="001B76EE"/>
    <w:rsid w:val="001B7750"/>
    <w:rsid w:val="001B78AA"/>
    <w:rsid w:val="001B7DDD"/>
    <w:rsid w:val="001C0229"/>
    <w:rsid w:val="001C0290"/>
    <w:rsid w:val="001C0301"/>
    <w:rsid w:val="001C09D0"/>
    <w:rsid w:val="001C15C9"/>
    <w:rsid w:val="001C1A09"/>
    <w:rsid w:val="001C1BF5"/>
    <w:rsid w:val="001C1CC5"/>
    <w:rsid w:val="001C1E06"/>
    <w:rsid w:val="001C1EE9"/>
    <w:rsid w:val="001C2038"/>
    <w:rsid w:val="001C3021"/>
    <w:rsid w:val="001C330B"/>
    <w:rsid w:val="001C428B"/>
    <w:rsid w:val="001C4496"/>
    <w:rsid w:val="001C4621"/>
    <w:rsid w:val="001C4748"/>
    <w:rsid w:val="001C4A7D"/>
    <w:rsid w:val="001C4AE1"/>
    <w:rsid w:val="001C517B"/>
    <w:rsid w:val="001C552F"/>
    <w:rsid w:val="001C5BBC"/>
    <w:rsid w:val="001C60C2"/>
    <w:rsid w:val="001C654A"/>
    <w:rsid w:val="001C668C"/>
    <w:rsid w:val="001C687C"/>
    <w:rsid w:val="001C6C41"/>
    <w:rsid w:val="001C6CFF"/>
    <w:rsid w:val="001C6D0D"/>
    <w:rsid w:val="001C72EE"/>
    <w:rsid w:val="001C7B97"/>
    <w:rsid w:val="001C7E6E"/>
    <w:rsid w:val="001C7EB2"/>
    <w:rsid w:val="001C7F0E"/>
    <w:rsid w:val="001D053F"/>
    <w:rsid w:val="001D05FB"/>
    <w:rsid w:val="001D0D51"/>
    <w:rsid w:val="001D1431"/>
    <w:rsid w:val="001D194F"/>
    <w:rsid w:val="001D1A53"/>
    <w:rsid w:val="001D1D39"/>
    <w:rsid w:val="001D1FC0"/>
    <w:rsid w:val="001D2270"/>
    <w:rsid w:val="001D2646"/>
    <w:rsid w:val="001D2AF0"/>
    <w:rsid w:val="001D2DD8"/>
    <w:rsid w:val="001D3475"/>
    <w:rsid w:val="001D361C"/>
    <w:rsid w:val="001D3891"/>
    <w:rsid w:val="001D3E0D"/>
    <w:rsid w:val="001D4048"/>
    <w:rsid w:val="001D44B9"/>
    <w:rsid w:val="001D507B"/>
    <w:rsid w:val="001D51D6"/>
    <w:rsid w:val="001D5720"/>
    <w:rsid w:val="001D5D66"/>
    <w:rsid w:val="001D620E"/>
    <w:rsid w:val="001D6235"/>
    <w:rsid w:val="001D62E4"/>
    <w:rsid w:val="001D6A1F"/>
    <w:rsid w:val="001D6A2C"/>
    <w:rsid w:val="001D6C35"/>
    <w:rsid w:val="001D6F76"/>
    <w:rsid w:val="001D70A6"/>
    <w:rsid w:val="001D737B"/>
    <w:rsid w:val="001D7953"/>
    <w:rsid w:val="001D7D2A"/>
    <w:rsid w:val="001D7DD2"/>
    <w:rsid w:val="001D7FA6"/>
    <w:rsid w:val="001E02D2"/>
    <w:rsid w:val="001E02FE"/>
    <w:rsid w:val="001E07C1"/>
    <w:rsid w:val="001E150C"/>
    <w:rsid w:val="001E17AD"/>
    <w:rsid w:val="001E1814"/>
    <w:rsid w:val="001E1A98"/>
    <w:rsid w:val="001E1F9A"/>
    <w:rsid w:val="001E1FB1"/>
    <w:rsid w:val="001E2154"/>
    <w:rsid w:val="001E2812"/>
    <w:rsid w:val="001E2ADE"/>
    <w:rsid w:val="001E3168"/>
    <w:rsid w:val="001E346B"/>
    <w:rsid w:val="001E34E8"/>
    <w:rsid w:val="001E3AB1"/>
    <w:rsid w:val="001E3B94"/>
    <w:rsid w:val="001E3FFB"/>
    <w:rsid w:val="001E4046"/>
    <w:rsid w:val="001E4CFF"/>
    <w:rsid w:val="001E4FC1"/>
    <w:rsid w:val="001E5167"/>
    <w:rsid w:val="001E5215"/>
    <w:rsid w:val="001E534B"/>
    <w:rsid w:val="001E557F"/>
    <w:rsid w:val="001E55A3"/>
    <w:rsid w:val="001E5E45"/>
    <w:rsid w:val="001E602C"/>
    <w:rsid w:val="001E63B5"/>
    <w:rsid w:val="001E6A82"/>
    <w:rsid w:val="001E72BB"/>
    <w:rsid w:val="001E7701"/>
    <w:rsid w:val="001E7E62"/>
    <w:rsid w:val="001F0980"/>
    <w:rsid w:val="001F0D4B"/>
    <w:rsid w:val="001F0FF3"/>
    <w:rsid w:val="001F12A4"/>
    <w:rsid w:val="001F152F"/>
    <w:rsid w:val="001F1D55"/>
    <w:rsid w:val="001F2402"/>
    <w:rsid w:val="001F2947"/>
    <w:rsid w:val="001F30F3"/>
    <w:rsid w:val="001F314E"/>
    <w:rsid w:val="001F3204"/>
    <w:rsid w:val="001F4124"/>
    <w:rsid w:val="001F4342"/>
    <w:rsid w:val="001F4516"/>
    <w:rsid w:val="001F469A"/>
    <w:rsid w:val="001F47CA"/>
    <w:rsid w:val="001F4C8A"/>
    <w:rsid w:val="001F4DCC"/>
    <w:rsid w:val="001F4E9F"/>
    <w:rsid w:val="001F506D"/>
    <w:rsid w:val="001F5AC4"/>
    <w:rsid w:val="001F5B37"/>
    <w:rsid w:val="001F5CB0"/>
    <w:rsid w:val="001F6307"/>
    <w:rsid w:val="001F634F"/>
    <w:rsid w:val="001F6376"/>
    <w:rsid w:val="001F65F7"/>
    <w:rsid w:val="001F7239"/>
    <w:rsid w:val="001F7D35"/>
    <w:rsid w:val="001F7D43"/>
    <w:rsid w:val="00200247"/>
    <w:rsid w:val="002002FC"/>
    <w:rsid w:val="00201507"/>
    <w:rsid w:val="00201A6D"/>
    <w:rsid w:val="00202340"/>
    <w:rsid w:val="00202390"/>
    <w:rsid w:val="002035CD"/>
    <w:rsid w:val="0020373A"/>
    <w:rsid w:val="0020381D"/>
    <w:rsid w:val="002046DB"/>
    <w:rsid w:val="002046E0"/>
    <w:rsid w:val="00204717"/>
    <w:rsid w:val="00204863"/>
    <w:rsid w:val="00204CBA"/>
    <w:rsid w:val="00205085"/>
    <w:rsid w:val="002056BE"/>
    <w:rsid w:val="00205C6C"/>
    <w:rsid w:val="00205CCE"/>
    <w:rsid w:val="00205D99"/>
    <w:rsid w:val="00206A55"/>
    <w:rsid w:val="00206ED2"/>
    <w:rsid w:val="002070A2"/>
    <w:rsid w:val="002072DB"/>
    <w:rsid w:val="002078B9"/>
    <w:rsid w:val="00207A21"/>
    <w:rsid w:val="00207B25"/>
    <w:rsid w:val="00210918"/>
    <w:rsid w:val="0021095A"/>
    <w:rsid w:val="00210BCC"/>
    <w:rsid w:val="00210C57"/>
    <w:rsid w:val="00210DD4"/>
    <w:rsid w:val="00210E2B"/>
    <w:rsid w:val="0021111C"/>
    <w:rsid w:val="002114BD"/>
    <w:rsid w:val="00211FD4"/>
    <w:rsid w:val="00212167"/>
    <w:rsid w:val="0021270E"/>
    <w:rsid w:val="002128E8"/>
    <w:rsid w:val="00212BD0"/>
    <w:rsid w:val="00212BED"/>
    <w:rsid w:val="0021317C"/>
    <w:rsid w:val="002132A4"/>
    <w:rsid w:val="002137B4"/>
    <w:rsid w:val="0021398B"/>
    <w:rsid w:val="00213CB1"/>
    <w:rsid w:val="00213FE6"/>
    <w:rsid w:val="00214195"/>
    <w:rsid w:val="0021425D"/>
    <w:rsid w:val="0021441D"/>
    <w:rsid w:val="0021464B"/>
    <w:rsid w:val="00214786"/>
    <w:rsid w:val="00214EE7"/>
    <w:rsid w:val="002152F4"/>
    <w:rsid w:val="00215348"/>
    <w:rsid w:val="00215561"/>
    <w:rsid w:val="00215839"/>
    <w:rsid w:val="00215EF2"/>
    <w:rsid w:val="00215F8F"/>
    <w:rsid w:val="0021674D"/>
    <w:rsid w:val="00216D7C"/>
    <w:rsid w:val="00216E0E"/>
    <w:rsid w:val="00217424"/>
    <w:rsid w:val="00217A0F"/>
    <w:rsid w:val="00217CE0"/>
    <w:rsid w:val="002200C2"/>
    <w:rsid w:val="00220274"/>
    <w:rsid w:val="0022054D"/>
    <w:rsid w:val="002206F1"/>
    <w:rsid w:val="00220848"/>
    <w:rsid w:val="00220B3E"/>
    <w:rsid w:val="00220E56"/>
    <w:rsid w:val="002213AD"/>
    <w:rsid w:val="00221481"/>
    <w:rsid w:val="0022149C"/>
    <w:rsid w:val="0022173F"/>
    <w:rsid w:val="00221825"/>
    <w:rsid w:val="00221A2F"/>
    <w:rsid w:val="00222348"/>
    <w:rsid w:val="002226B4"/>
    <w:rsid w:val="00222728"/>
    <w:rsid w:val="0022288C"/>
    <w:rsid w:val="0022373B"/>
    <w:rsid w:val="002237B4"/>
    <w:rsid w:val="00223F13"/>
    <w:rsid w:val="002241AA"/>
    <w:rsid w:val="002243CA"/>
    <w:rsid w:val="002244AE"/>
    <w:rsid w:val="00224694"/>
    <w:rsid w:val="00224864"/>
    <w:rsid w:val="00224C4F"/>
    <w:rsid w:val="00225230"/>
    <w:rsid w:val="002254CD"/>
    <w:rsid w:val="0022578B"/>
    <w:rsid w:val="00225C3C"/>
    <w:rsid w:val="00225F2C"/>
    <w:rsid w:val="0022614C"/>
    <w:rsid w:val="002263DC"/>
    <w:rsid w:val="00226610"/>
    <w:rsid w:val="00226A71"/>
    <w:rsid w:val="00226FC9"/>
    <w:rsid w:val="0022728C"/>
    <w:rsid w:val="00227622"/>
    <w:rsid w:val="00227712"/>
    <w:rsid w:val="0022778F"/>
    <w:rsid w:val="00227E4A"/>
    <w:rsid w:val="00230190"/>
    <w:rsid w:val="00230D5C"/>
    <w:rsid w:val="00231048"/>
    <w:rsid w:val="0023124F"/>
    <w:rsid w:val="002313F9"/>
    <w:rsid w:val="00231426"/>
    <w:rsid w:val="0023142E"/>
    <w:rsid w:val="0023158E"/>
    <w:rsid w:val="00231626"/>
    <w:rsid w:val="002318AA"/>
    <w:rsid w:val="00231DF5"/>
    <w:rsid w:val="00232064"/>
    <w:rsid w:val="002322E4"/>
    <w:rsid w:val="002324A9"/>
    <w:rsid w:val="002325E3"/>
    <w:rsid w:val="002327D8"/>
    <w:rsid w:val="002327DB"/>
    <w:rsid w:val="00232AE3"/>
    <w:rsid w:val="00232BCB"/>
    <w:rsid w:val="00232C3A"/>
    <w:rsid w:val="00232D3A"/>
    <w:rsid w:val="0023369D"/>
    <w:rsid w:val="00233990"/>
    <w:rsid w:val="002344FF"/>
    <w:rsid w:val="002345ED"/>
    <w:rsid w:val="002353A4"/>
    <w:rsid w:val="0023541C"/>
    <w:rsid w:val="0023555F"/>
    <w:rsid w:val="00235D73"/>
    <w:rsid w:val="00236505"/>
    <w:rsid w:val="00236752"/>
    <w:rsid w:val="00236A6A"/>
    <w:rsid w:val="00237436"/>
    <w:rsid w:val="00237589"/>
    <w:rsid w:val="00237F26"/>
    <w:rsid w:val="00240209"/>
    <w:rsid w:val="00240C66"/>
    <w:rsid w:val="00240F37"/>
    <w:rsid w:val="00241382"/>
    <w:rsid w:val="0024172F"/>
    <w:rsid w:val="00241F1A"/>
    <w:rsid w:val="0024201A"/>
    <w:rsid w:val="0024220D"/>
    <w:rsid w:val="00243BDD"/>
    <w:rsid w:val="002443BE"/>
    <w:rsid w:val="002445EA"/>
    <w:rsid w:val="00244CD9"/>
    <w:rsid w:val="0024541B"/>
    <w:rsid w:val="00245611"/>
    <w:rsid w:val="00245FC7"/>
    <w:rsid w:val="00246237"/>
    <w:rsid w:val="0024624E"/>
    <w:rsid w:val="0024677D"/>
    <w:rsid w:val="002468D4"/>
    <w:rsid w:val="00246A0F"/>
    <w:rsid w:val="00247215"/>
    <w:rsid w:val="0024726E"/>
    <w:rsid w:val="00247489"/>
    <w:rsid w:val="002476FB"/>
    <w:rsid w:val="0024793B"/>
    <w:rsid w:val="0025015B"/>
    <w:rsid w:val="00250214"/>
    <w:rsid w:val="00250CD1"/>
    <w:rsid w:val="00250DC9"/>
    <w:rsid w:val="00251733"/>
    <w:rsid w:val="00252029"/>
    <w:rsid w:val="002520AD"/>
    <w:rsid w:val="00252649"/>
    <w:rsid w:val="00252821"/>
    <w:rsid w:val="002529A4"/>
    <w:rsid w:val="00252A69"/>
    <w:rsid w:val="002530F5"/>
    <w:rsid w:val="0025336F"/>
    <w:rsid w:val="00253506"/>
    <w:rsid w:val="00253719"/>
    <w:rsid w:val="00253B47"/>
    <w:rsid w:val="00253E23"/>
    <w:rsid w:val="00254353"/>
    <w:rsid w:val="002548B5"/>
    <w:rsid w:val="00254C7D"/>
    <w:rsid w:val="00254E1B"/>
    <w:rsid w:val="002555C9"/>
    <w:rsid w:val="002556E0"/>
    <w:rsid w:val="00255BA3"/>
    <w:rsid w:val="00255E35"/>
    <w:rsid w:val="00255F0E"/>
    <w:rsid w:val="00255F25"/>
    <w:rsid w:val="00256582"/>
    <w:rsid w:val="00256732"/>
    <w:rsid w:val="00256A02"/>
    <w:rsid w:val="00256D37"/>
    <w:rsid w:val="00256E68"/>
    <w:rsid w:val="00256EA1"/>
    <w:rsid w:val="00257290"/>
    <w:rsid w:val="0025747A"/>
    <w:rsid w:val="002575DE"/>
    <w:rsid w:val="002577D1"/>
    <w:rsid w:val="00257D36"/>
    <w:rsid w:val="00257F40"/>
    <w:rsid w:val="002603E8"/>
    <w:rsid w:val="00260FE4"/>
    <w:rsid w:val="0026109E"/>
    <w:rsid w:val="00261246"/>
    <w:rsid w:val="002616D5"/>
    <w:rsid w:val="002616EF"/>
    <w:rsid w:val="00261B57"/>
    <w:rsid w:val="00261BF7"/>
    <w:rsid w:val="00261C90"/>
    <w:rsid w:val="002622B5"/>
    <w:rsid w:val="0026230E"/>
    <w:rsid w:val="0026276A"/>
    <w:rsid w:val="00262924"/>
    <w:rsid w:val="00262A48"/>
    <w:rsid w:val="00262A96"/>
    <w:rsid w:val="002630AC"/>
    <w:rsid w:val="00263238"/>
    <w:rsid w:val="00263310"/>
    <w:rsid w:val="00263731"/>
    <w:rsid w:val="00263825"/>
    <w:rsid w:val="0026396B"/>
    <w:rsid w:val="00263B84"/>
    <w:rsid w:val="0026420B"/>
    <w:rsid w:val="00264469"/>
    <w:rsid w:val="00264472"/>
    <w:rsid w:val="00264B12"/>
    <w:rsid w:val="00264CFD"/>
    <w:rsid w:val="0026513B"/>
    <w:rsid w:val="00265661"/>
    <w:rsid w:val="002657F2"/>
    <w:rsid w:val="002659C7"/>
    <w:rsid w:val="00265C78"/>
    <w:rsid w:val="00265E02"/>
    <w:rsid w:val="00265F49"/>
    <w:rsid w:val="0026600D"/>
    <w:rsid w:val="00266393"/>
    <w:rsid w:val="002663E2"/>
    <w:rsid w:val="00266400"/>
    <w:rsid w:val="00266419"/>
    <w:rsid w:val="0026666E"/>
    <w:rsid w:val="00266A80"/>
    <w:rsid w:val="00266AEE"/>
    <w:rsid w:val="00266D76"/>
    <w:rsid w:val="00267452"/>
    <w:rsid w:val="00267E71"/>
    <w:rsid w:val="0027038E"/>
    <w:rsid w:val="00270B19"/>
    <w:rsid w:val="002718B0"/>
    <w:rsid w:val="002718B4"/>
    <w:rsid w:val="00271C8E"/>
    <w:rsid w:val="00271CEB"/>
    <w:rsid w:val="00272170"/>
    <w:rsid w:val="00272216"/>
    <w:rsid w:val="00272D14"/>
    <w:rsid w:val="0027307D"/>
    <w:rsid w:val="002730CC"/>
    <w:rsid w:val="0027338C"/>
    <w:rsid w:val="00273508"/>
    <w:rsid w:val="00273CD6"/>
    <w:rsid w:val="00273ECD"/>
    <w:rsid w:val="0027425B"/>
    <w:rsid w:val="0027462D"/>
    <w:rsid w:val="00274989"/>
    <w:rsid w:val="00274CF4"/>
    <w:rsid w:val="00274FCF"/>
    <w:rsid w:val="002751AC"/>
    <w:rsid w:val="00275349"/>
    <w:rsid w:val="0027669F"/>
    <w:rsid w:val="0027679D"/>
    <w:rsid w:val="00276861"/>
    <w:rsid w:val="00276D48"/>
    <w:rsid w:val="00276EF5"/>
    <w:rsid w:val="00276FCD"/>
    <w:rsid w:val="002775C5"/>
    <w:rsid w:val="00277B49"/>
    <w:rsid w:val="00277BEC"/>
    <w:rsid w:val="00280464"/>
    <w:rsid w:val="002807B4"/>
    <w:rsid w:val="00280BBB"/>
    <w:rsid w:val="00280CE9"/>
    <w:rsid w:val="0028118D"/>
    <w:rsid w:val="0028143C"/>
    <w:rsid w:val="00281615"/>
    <w:rsid w:val="0028185B"/>
    <w:rsid w:val="00281880"/>
    <w:rsid w:val="00281968"/>
    <w:rsid w:val="00281B70"/>
    <w:rsid w:val="00281DE9"/>
    <w:rsid w:val="00282552"/>
    <w:rsid w:val="002825DD"/>
    <w:rsid w:val="0028279D"/>
    <w:rsid w:val="0028281C"/>
    <w:rsid w:val="00282883"/>
    <w:rsid w:val="0028346E"/>
    <w:rsid w:val="00283804"/>
    <w:rsid w:val="00283E15"/>
    <w:rsid w:val="00283E88"/>
    <w:rsid w:val="0028419E"/>
    <w:rsid w:val="00284298"/>
    <w:rsid w:val="00284A1F"/>
    <w:rsid w:val="00284A6F"/>
    <w:rsid w:val="00284EC8"/>
    <w:rsid w:val="00284F97"/>
    <w:rsid w:val="002853E5"/>
    <w:rsid w:val="00285CEF"/>
    <w:rsid w:val="002860D3"/>
    <w:rsid w:val="00286380"/>
    <w:rsid w:val="0028698B"/>
    <w:rsid w:val="00286C3C"/>
    <w:rsid w:val="00286D55"/>
    <w:rsid w:val="002879DA"/>
    <w:rsid w:val="00287A3B"/>
    <w:rsid w:val="00287A80"/>
    <w:rsid w:val="00287FAF"/>
    <w:rsid w:val="0029019F"/>
    <w:rsid w:val="00290974"/>
    <w:rsid w:val="00291281"/>
    <w:rsid w:val="00291388"/>
    <w:rsid w:val="00291515"/>
    <w:rsid w:val="002915E2"/>
    <w:rsid w:val="0029185A"/>
    <w:rsid w:val="0029260B"/>
    <w:rsid w:val="00292B31"/>
    <w:rsid w:val="00292C44"/>
    <w:rsid w:val="00292DAE"/>
    <w:rsid w:val="0029345C"/>
    <w:rsid w:val="00293BD8"/>
    <w:rsid w:val="002949DC"/>
    <w:rsid w:val="00294B95"/>
    <w:rsid w:val="00295435"/>
    <w:rsid w:val="002954BA"/>
    <w:rsid w:val="00295566"/>
    <w:rsid w:val="00295843"/>
    <w:rsid w:val="00295A82"/>
    <w:rsid w:val="002960E9"/>
    <w:rsid w:val="00296831"/>
    <w:rsid w:val="0029686C"/>
    <w:rsid w:val="0029686E"/>
    <w:rsid w:val="0029688F"/>
    <w:rsid w:val="002971D6"/>
    <w:rsid w:val="0029731F"/>
    <w:rsid w:val="002979CC"/>
    <w:rsid w:val="002A016C"/>
    <w:rsid w:val="002A0508"/>
    <w:rsid w:val="002A090E"/>
    <w:rsid w:val="002A09F3"/>
    <w:rsid w:val="002A0D9D"/>
    <w:rsid w:val="002A11F2"/>
    <w:rsid w:val="002A1357"/>
    <w:rsid w:val="002A1501"/>
    <w:rsid w:val="002A1C94"/>
    <w:rsid w:val="002A23B0"/>
    <w:rsid w:val="002A2898"/>
    <w:rsid w:val="002A2DAE"/>
    <w:rsid w:val="002A2ED4"/>
    <w:rsid w:val="002A302A"/>
    <w:rsid w:val="002A3790"/>
    <w:rsid w:val="002A3C18"/>
    <w:rsid w:val="002A3F59"/>
    <w:rsid w:val="002A40A4"/>
    <w:rsid w:val="002A452A"/>
    <w:rsid w:val="002A4623"/>
    <w:rsid w:val="002A4747"/>
    <w:rsid w:val="002A4915"/>
    <w:rsid w:val="002A4EBA"/>
    <w:rsid w:val="002A51E0"/>
    <w:rsid w:val="002A535B"/>
    <w:rsid w:val="002A55CC"/>
    <w:rsid w:val="002A5A56"/>
    <w:rsid w:val="002A5EB3"/>
    <w:rsid w:val="002A6398"/>
    <w:rsid w:val="002A66B3"/>
    <w:rsid w:val="002A68EE"/>
    <w:rsid w:val="002A7632"/>
    <w:rsid w:val="002A7787"/>
    <w:rsid w:val="002A7812"/>
    <w:rsid w:val="002A7C48"/>
    <w:rsid w:val="002B0219"/>
    <w:rsid w:val="002B0475"/>
    <w:rsid w:val="002B0AB7"/>
    <w:rsid w:val="002B0C53"/>
    <w:rsid w:val="002B19C4"/>
    <w:rsid w:val="002B1AC8"/>
    <w:rsid w:val="002B1FCC"/>
    <w:rsid w:val="002B2648"/>
    <w:rsid w:val="002B28F6"/>
    <w:rsid w:val="002B2992"/>
    <w:rsid w:val="002B29C5"/>
    <w:rsid w:val="002B2CB3"/>
    <w:rsid w:val="002B2E75"/>
    <w:rsid w:val="002B2F7A"/>
    <w:rsid w:val="002B2F82"/>
    <w:rsid w:val="002B34BE"/>
    <w:rsid w:val="002B3764"/>
    <w:rsid w:val="002B3887"/>
    <w:rsid w:val="002B3B43"/>
    <w:rsid w:val="002B43C8"/>
    <w:rsid w:val="002B4487"/>
    <w:rsid w:val="002B463C"/>
    <w:rsid w:val="002B4DC5"/>
    <w:rsid w:val="002B4EB0"/>
    <w:rsid w:val="002B55C5"/>
    <w:rsid w:val="002B5C7E"/>
    <w:rsid w:val="002B5FB3"/>
    <w:rsid w:val="002B603D"/>
    <w:rsid w:val="002B6F9E"/>
    <w:rsid w:val="002B7313"/>
    <w:rsid w:val="002B750A"/>
    <w:rsid w:val="002B76CA"/>
    <w:rsid w:val="002B76D2"/>
    <w:rsid w:val="002C004A"/>
    <w:rsid w:val="002C0298"/>
    <w:rsid w:val="002C0396"/>
    <w:rsid w:val="002C045D"/>
    <w:rsid w:val="002C054E"/>
    <w:rsid w:val="002C075F"/>
    <w:rsid w:val="002C0901"/>
    <w:rsid w:val="002C0FFD"/>
    <w:rsid w:val="002C1446"/>
    <w:rsid w:val="002C17BA"/>
    <w:rsid w:val="002C1858"/>
    <w:rsid w:val="002C1864"/>
    <w:rsid w:val="002C1D4D"/>
    <w:rsid w:val="002C205B"/>
    <w:rsid w:val="002C225C"/>
    <w:rsid w:val="002C324D"/>
    <w:rsid w:val="002C33D0"/>
    <w:rsid w:val="002C3531"/>
    <w:rsid w:val="002C386C"/>
    <w:rsid w:val="002C3CE6"/>
    <w:rsid w:val="002C3CE8"/>
    <w:rsid w:val="002C4828"/>
    <w:rsid w:val="002C48D6"/>
    <w:rsid w:val="002C4D03"/>
    <w:rsid w:val="002C4E67"/>
    <w:rsid w:val="002C4EAC"/>
    <w:rsid w:val="002C4F0D"/>
    <w:rsid w:val="002C50C0"/>
    <w:rsid w:val="002C5436"/>
    <w:rsid w:val="002C6D94"/>
    <w:rsid w:val="002C707B"/>
    <w:rsid w:val="002C7092"/>
    <w:rsid w:val="002C71B1"/>
    <w:rsid w:val="002C72AC"/>
    <w:rsid w:val="002C7C61"/>
    <w:rsid w:val="002D0003"/>
    <w:rsid w:val="002D010D"/>
    <w:rsid w:val="002D038A"/>
    <w:rsid w:val="002D04E4"/>
    <w:rsid w:val="002D063C"/>
    <w:rsid w:val="002D090F"/>
    <w:rsid w:val="002D095B"/>
    <w:rsid w:val="002D0DB0"/>
    <w:rsid w:val="002D0EF0"/>
    <w:rsid w:val="002D140C"/>
    <w:rsid w:val="002D1584"/>
    <w:rsid w:val="002D1744"/>
    <w:rsid w:val="002D1BA2"/>
    <w:rsid w:val="002D21D2"/>
    <w:rsid w:val="002D222A"/>
    <w:rsid w:val="002D247A"/>
    <w:rsid w:val="002D25D8"/>
    <w:rsid w:val="002D279F"/>
    <w:rsid w:val="002D27DF"/>
    <w:rsid w:val="002D2D81"/>
    <w:rsid w:val="002D322B"/>
    <w:rsid w:val="002D3486"/>
    <w:rsid w:val="002D3BEB"/>
    <w:rsid w:val="002D3DC2"/>
    <w:rsid w:val="002D4E53"/>
    <w:rsid w:val="002D5D2F"/>
    <w:rsid w:val="002D65DC"/>
    <w:rsid w:val="002D6F0B"/>
    <w:rsid w:val="002D709F"/>
    <w:rsid w:val="002D789B"/>
    <w:rsid w:val="002D7DF2"/>
    <w:rsid w:val="002D7E9F"/>
    <w:rsid w:val="002D7EAE"/>
    <w:rsid w:val="002E0960"/>
    <w:rsid w:val="002E0DE0"/>
    <w:rsid w:val="002E0ED4"/>
    <w:rsid w:val="002E106E"/>
    <w:rsid w:val="002E188C"/>
    <w:rsid w:val="002E1CDD"/>
    <w:rsid w:val="002E1D08"/>
    <w:rsid w:val="002E1D56"/>
    <w:rsid w:val="002E1F40"/>
    <w:rsid w:val="002E2BC1"/>
    <w:rsid w:val="002E2F00"/>
    <w:rsid w:val="002E2FDD"/>
    <w:rsid w:val="002E302D"/>
    <w:rsid w:val="002E32A3"/>
    <w:rsid w:val="002E36E2"/>
    <w:rsid w:val="002E3B93"/>
    <w:rsid w:val="002E40A8"/>
    <w:rsid w:val="002E41F2"/>
    <w:rsid w:val="002E429C"/>
    <w:rsid w:val="002E42D4"/>
    <w:rsid w:val="002E43B0"/>
    <w:rsid w:val="002E48DE"/>
    <w:rsid w:val="002E4943"/>
    <w:rsid w:val="002E4C3B"/>
    <w:rsid w:val="002E4D5C"/>
    <w:rsid w:val="002E50B2"/>
    <w:rsid w:val="002E511A"/>
    <w:rsid w:val="002E516D"/>
    <w:rsid w:val="002E5640"/>
    <w:rsid w:val="002E566B"/>
    <w:rsid w:val="002E59BA"/>
    <w:rsid w:val="002E5D91"/>
    <w:rsid w:val="002E5D99"/>
    <w:rsid w:val="002E5FBA"/>
    <w:rsid w:val="002E6039"/>
    <w:rsid w:val="002E637C"/>
    <w:rsid w:val="002E65BE"/>
    <w:rsid w:val="002E69BF"/>
    <w:rsid w:val="002E6B44"/>
    <w:rsid w:val="002E6CE0"/>
    <w:rsid w:val="002E6D70"/>
    <w:rsid w:val="002E7182"/>
    <w:rsid w:val="002E7EFB"/>
    <w:rsid w:val="002F0185"/>
    <w:rsid w:val="002F09A8"/>
    <w:rsid w:val="002F0F37"/>
    <w:rsid w:val="002F104D"/>
    <w:rsid w:val="002F133D"/>
    <w:rsid w:val="002F13A2"/>
    <w:rsid w:val="002F18DE"/>
    <w:rsid w:val="002F1B4C"/>
    <w:rsid w:val="002F1F50"/>
    <w:rsid w:val="002F1FD7"/>
    <w:rsid w:val="002F24AD"/>
    <w:rsid w:val="002F2665"/>
    <w:rsid w:val="002F2713"/>
    <w:rsid w:val="002F285F"/>
    <w:rsid w:val="002F2870"/>
    <w:rsid w:val="002F29A6"/>
    <w:rsid w:val="002F2DCA"/>
    <w:rsid w:val="002F2E3A"/>
    <w:rsid w:val="002F362E"/>
    <w:rsid w:val="002F36E5"/>
    <w:rsid w:val="002F37DC"/>
    <w:rsid w:val="002F3B06"/>
    <w:rsid w:val="002F4AAB"/>
    <w:rsid w:val="002F5ABC"/>
    <w:rsid w:val="002F5E51"/>
    <w:rsid w:val="002F5EBF"/>
    <w:rsid w:val="002F5F73"/>
    <w:rsid w:val="002F6622"/>
    <w:rsid w:val="002F68F8"/>
    <w:rsid w:val="002F69DD"/>
    <w:rsid w:val="002F709E"/>
    <w:rsid w:val="002F75AB"/>
    <w:rsid w:val="002F780C"/>
    <w:rsid w:val="002F7BD6"/>
    <w:rsid w:val="00300232"/>
    <w:rsid w:val="003003F1"/>
    <w:rsid w:val="0030148F"/>
    <w:rsid w:val="003014EB"/>
    <w:rsid w:val="00301726"/>
    <w:rsid w:val="003018D7"/>
    <w:rsid w:val="00301C95"/>
    <w:rsid w:val="00301D59"/>
    <w:rsid w:val="0030202C"/>
    <w:rsid w:val="0030205B"/>
    <w:rsid w:val="003028F3"/>
    <w:rsid w:val="0030334E"/>
    <w:rsid w:val="00303388"/>
    <w:rsid w:val="0030359A"/>
    <w:rsid w:val="0030361E"/>
    <w:rsid w:val="00303B9F"/>
    <w:rsid w:val="0030467D"/>
    <w:rsid w:val="00304CF6"/>
    <w:rsid w:val="0030583E"/>
    <w:rsid w:val="003062D7"/>
    <w:rsid w:val="00306B2E"/>
    <w:rsid w:val="00306DC7"/>
    <w:rsid w:val="00306F0B"/>
    <w:rsid w:val="003071E4"/>
    <w:rsid w:val="00307310"/>
    <w:rsid w:val="003073EB"/>
    <w:rsid w:val="00307A7F"/>
    <w:rsid w:val="0031019D"/>
    <w:rsid w:val="00310887"/>
    <w:rsid w:val="00310AA1"/>
    <w:rsid w:val="00310B3A"/>
    <w:rsid w:val="00310C57"/>
    <w:rsid w:val="0031171F"/>
    <w:rsid w:val="00311ED1"/>
    <w:rsid w:val="003127D5"/>
    <w:rsid w:val="003128C0"/>
    <w:rsid w:val="003128DF"/>
    <w:rsid w:val="00312D50"/>
    <w:rsid w:val="0031306C"/>
    <w:rsid w:val="00313227"/>
    <w:rsid w:val="00313272"/>
    <w:rsid w:val="003133B6"/>
    <w:rsid w:val="00313486"/>
    <w:rsid w:val="003138E0"/>
    <w:rsid w:val="00313CEC"/>
    <w:rsid w:val="00313D63"/>
    <w:rsid w:val="00313D64"/>
    <w:rsid w:val="003147A7"/>
    <w:rsid w:val="00314B03"/>
    <w:rsid w:val="00315041"/>
    <w:rsid w:val="00315DA8"/>
    <w:rsid w:val="00315E04"/>
    <w:rsid w:val="00315FFF"/>
    <w:rsid w:val="00316290"/>
    <w:rsid w:val="00316656"/>
    <w:rsid w:val="0031688C"/>
    <w:rsid w:val="00317158"/>
    <w:rsid w:val="003171F0"/>
    <w:rsid w:val="0032008E"/>
    <w:rsid w:val="0032051D"/>
    <w:rsid w:val="00320D0E"/>
    <w:rsid w:val="0032194B"/>
    <w:rsid w:val="003219F2"/>
    <w:rsid w:val="00321A8C"/>
    <w:rsid w:val="00321DCD"/>
    <w:rsid w:val="003222D3"/>
    <w:rsid w:val="00322DF7"/>
    <w:rsid w:val="00322FA3"/>
    <w:rsid w:val="0032305D"/>
    <w:rsid w:val="003235D4"/>
    <w:rsid w:val="003237C7"/>
    <w:rsid w:val="00323998"/>
    <w:rsid w:val="00323C25"/>
    <w:rsid w:val="003240C8"/>
    <w:rsid w:val="00324417"/>
    <w:rsid w:val="003247F6"/>
    <w:rsid w:val="00325167"/>
    <w:rsid w:val="003257D9"/>
    <w:rsid w:val="003259AE"/>
    <w:rsid w:val="00325A96"/>
    <w:rsid w:val="00325BA0"/>
    <w:rsid w:val="00326032"/>
    <w:rsid w:val="003261D7"/>
    <w:rsid w:val="0032655E"/>
    <w:rsid w:val="003266D5"/>
    <w:rsid w:val="00326CC2"/>
    <w:rsid w:val="00327347"/>
    <w:rsid w:val="00330031"/>
    <w:rsid w:val="003301DF"/>
    <w:rsid w:val="003302B0"/>
    <w:rsid w:val="00330510"/>
    <w:rsid w:val="003305BB"/>
    <w:rsid w:val="00330750"/>
    <w:rsid w:val="00330F9D"/>
    <w:rsid w:val="00330FAD"/>
    <w:rsid w:val="00331D3C"/>
    <w:rsid w:val="00331EA1"/>
    <w:rsid w:val="003321A3"/>
    <w:rsid w:val="003329A8"/>
    <w:rsid w:val="00332F9C"/>
    <w:rsid w:val="003336FA"/>
    <w:rsid w:val="00333783"/>
    <w:rsid w:val="003337D9"/>
    <w:rsid w:val="00333A09"/>
    <w:rsid w:val="00333C2C"/>
    <w:rsid w:val="00333EEA"/>
    <w:rsid w:val="003340A9"/>
    <w:rsid w:val="003340F5"/>
    <w:rsid w:val="0033436B"/>
    <w:rsid w:val="00334F0A"/>
    <w:rsid w:val="0033519E"/>
    <w:rsid w:val="003351E5"/>
    <w:rsid w:val="003358C8"/>
    <w:rsid w:val="00335B71"/>
    <w:rsid w:val="0033666B"/>
    <w:rsid w:val="003376F5"/>
    <w:rsid w:val="00337777"/>
    <w:rsid w:val="00337CC0"/>
    <w:rsid w:val="00337E24"/>
    <w:rsid w:val="003403C9"/>
    <w:rsid w:val="00340A2D"/>
    <w:rsid w:val="00340B49"/>
    <w:rsid w:val="0034102B"/>
    <w:rsid w:val="003416F5"/>
    <w:rsid w:val="0034172C"/>
    <w:rsid w:val="00341C18"/>
    <w:rsid w:val="00341C3A"/>
    <w:rsid w:val="00341C64"/>
    <w:rsid w:val="00341CB8"/>
    <w:rsid w:val="00341E95"/>
    <w:rsid w:val="00342135"/>
    <w:rsid w:val="003427C5"/>
    <w:rsid w:val="0034389C"/>
    <w:rsid w:val="00343CBC"/>
    <w:rsid w:val="00343F89"/>
    <w:rsid w:val="0034409B"/>
    <w:rsid w:val="0034413E"/>
    <w:rsid w:val="003441D6"/>
    <w:rsid w:val="00344689"/>
    <w:rsid w:val="003448F6"/>
    <w:rsid w:val="00344930"/>
    <w:rsid w:val="00344DC1"/>
    <w:rsid w:val="00344F52"/>
    <w:rsid w:val="00344FAA"/>
    <w:rsid w:val="00345982"/>
    <w:rsid w:val="00345C5E"/>
    <w:rsid w:val="00345D60"/>
    <w:rsid w:val="00345DA7"/>
    <w:rsid w:val="00345F3A"/>
    <w:rsid w:val="00346C5B"/>
    <w:rsid w:val="00346F75"/>
    <w:rsid w:val="00347081"/>
    <w:rsid w:val="00347E02"/>
    <w:rsid w:val="00350970"/>
    <w:rsid w:val="00350DEC"/>
    <w:rsid w:val="00351BA5"/>
    <w:rsid w:val="00351C20"/>
    <w:rsid w:val="00352787"/>
    <w:rsid w:val="00352825"/>
    <w:rsid w:val="00352BEA"/>
    <w:rsid w:val="00352F9E"/>
    <w:rsid w:val="003532AB"/>
    <w:rsid w:val="003536E9"/>
    <w:rsid w:val="003537B7"/>
    <w:rsid w:val="0035399A"/>
    <w:rsid w:val="0035410D"/>
    <w:rsid w:val="00354341"/>
    <w:rsid w:val="003543AD"/>
    <w:rsid w:val="0035453D"/>
    <w:rsid w:val="00354570"/>
    <w:rsid w:val="00354849"/>
    <w:rsid w:val="003548DD"/>
    <w:rsid w:val="00354D36"/>
    <w:rsid w:val="00354FFD"/>
    <w:rsid w:val="0035541D"/>
    <w:rsid w:val="00355733"/>
    <w:rsid w:val="003559A0"/>
    <w:rsid w:val="00355BA0"/>
    <w:rsid w:val="003564F9"/>
    <w:rsid w:val="00356534"/>
    <w:rsid w:val="00356535"/>
    <w:rsid w:val="003567A6"/>
    <w:rsid w:val="00356A90"/>
    <w:rsid w:val="00357579"/>
    <w:rsid w:val="00357E39"/>
    <w:rsid w:val="003605AA"/>
    <w:rsid w:val="0036085A"/>
    <w:rsid w:val="003609F0"/>
    <w:rsid w:val="00360CBF"/>
    <w:rsid w:val="00361635"/>
    <w:rsid w:val="00361C3B"/>
    <w:rsid w:val="00361EF3"/>
    <w:rsid w:val="0036201B"/>
    <w:rsid w:val="00362E6F"/>
    <w:rsid w:val="00362F98"/>
    <w:rsid w:val="0036368B"/>
    <w:rsid w:val="003642EF"/>
    <w:rsid w:val="00364590"/>
    <w:rsid w:val="00364726"/>
    <w:rsid w:val="00364D7F"/>
    <w:rsid w:val="003651A9"/>
    <w:rsid w:val="0036589B"/>
    <w:rsid w:val="00365BCF"/>
    <w:rsid w:val="0036656E"/>
    <w:rsid w:val="00366DDD"/>
    <w:rsid w:val="0036725E"/>
    <w:rsid w:val="00367AEB"/>
    <w:rsid w:val="00367B83"/>
    <w:rsid w:val="00367E61"/>
    <w:rsid w:val="00370809"/>
    <w:rsid w:val="0037092E"/>
    <w:rsid w:val="003709B4"/>
    <w:rsid w:val="00371037"/>
    <w:rsid w:val="0037140E"/>
    <w:rsid w:val="00371438"/>
    <w:rsid w:val="003715BC"/>
    <w:rsid w:val="0037178D"/>
    <w:rsid w:val="003720A9"/>
    <w:rsid w:val="00372181"/>
    <w:rsid w:val="003721B0"/>
    <w:rsid w:val="003726F8"/>
    <w:rsid w:val="00372713"/>
    <w:rsid w:val="003728CA"/>
    <w:rsid w:val="00372909"/>
    <w:rsid w:val="00372B37"/>
    <w:rsid w:val="003733C9"/>
    <w:rsid w:val="00373407"/>
    <w:rsid w:val="00373AAA"/>
    <w:rsid w:val="00373EF0"/>
    <w:rsid w:val="003740C5"/>
    <w:rsid w:val="00374160"/>
    <w:rsid w:val="003743B4"/>
    <w:rsid w:val="0037473B"/>
    <w:rsid w:val="00374FA2"/>
    <w:rsid w:val="003752A6"/>
    <w:rsid w:val="00375936"/>
    <w:rsid w:val="00375A80"/>
    <w:rsid w:val="00375F2A"/>
    <w:rsid w:val="00376773"/>
    <w:rsid w:val="00376C83"/>
    <w:rsid w:val="00377A84"/>
    <w:rsid w:val="003800B6"/>
    <w:rsid w:val="00380C72"/>
    <w:rsid w:val="003812D0"/>
    <w:rsid w:val="00383815"/>
    <w:rsid w:val="00383E67"/>
    <w:rsid w:val="00384202"/>
    <w:rsid w:val="003843FF"/>
    <w:rsid w:val="00384C2D"/>
    <w:rsid w:val="00384F7F"/>
    <w:rsid w:val="0038545D"/>
    <w:rsid w:val="003855F6"/>
    <w:rsid w:val="003856D8"/>
    <w:rsid w:val="00385BCF"/>
    <w:rsid w:val="00385D2C"/>
    <w:rsid w:val="003863BD"/>
    <w:rsid w:val="003864A9"/>
    <w:rsid w:val="0038682F"/>
    <w:rsid w:val="00386B8C"/>
    <w:rsid w:val="00387838"/>
    <w:rsid w:val="003879BA"/>
    <w:rsid w:val="00387B61"/>
    <w:rsid w:val="00390862"/>
    <w:rsid w:val="00391B01"/>
    <w:rsid w:val="00391C9C"/>
    <w:rsid w:val="00391CBC"/>
    <w:rsid w:val="00391E91"/>
    <w:rsid w:val="00391F99"/>
    <w:rsid w:val="003922BE"/>
    <w:rsid w:val="00392B99"/>
    <w:rsid w:val="00392BA3"/>
    <w:rsid w:val="003938E4"/>
    <w:rsid w:val="00393AA1"/>
    <w:rsid w:val="00393D45"/>
    <w:rsid w:val="00393EF6"/>
    <w:rsid w:val="00394306"/>
    <w:rsid w:val="00394BA9"/>
    <w:rsid w:val="00394BBE"/>
    <w:rsid w:val="00394CA8"/>
    <w:rsid w:val="00394E63"/>
    <w:rsid w:val="00394ECA"/>
    <w:rsid w:val="00395A52"/>
    <w:rsid w:val="00395D6F"/>
    <w:rsid w:val="0039621B"/>
    <w:rsid w:val="0039674D"/>
    <w:rsid w:val="003969E4"/>
    <w:rsid w:val="00396F99"/>
    <w:rsid w:val="00397166"/>
    <w:rsid w:val="00397949"/>
    <w:rsid w:val="00397B41"/>
    <w:rsid w:val="003A0458"/>
    <w:rsid w:val="003A0C7E"/>
    <w:rsid w:val="003A11E1"/>
    <w:rsid w:val="003A13E3"/>
    <w:rsid w:val="003A15A4"/>
    <w:rsid w:val="003A1691"/>
    <w:rsid w:val="003A1BFF"/>
    <w:rsid w:val="003A23BB"/>
    <w:rsid w:val="003A260F"/>
    <w:rsid w:val="003A2B4A"/>
    <w:rsid w:val="003A2B99"/>
    <w:rsid w:val="003A2D88"/>
    <w:rsid w:val="003A3105"/>
    <w:rsid w:val="003A31EA"/>
    <w:rsid w:val="003A3482"/>
    <w:rsid w:val="003A3598"/>
    <w:rsid w:val="003A3A85"/>
    <w:rsid w:val="003A3DBE"/>
    <w:rsid w:val="003A3ECE"/>
    <w:rsid w:val="003A3FDE"/>
    <w:rsid w:val="003A470C"/>
    <w:rsid w:val="003A4717"/>
    <w:rsid w:val="003A5071"/>
    <w:rsid w:val="003A5D3E"/>
    <w:rsid w:val="003A5DBD"/>
    <w:rsid w:val="003A5DD1"/>
    <w:rsid w:val="003A5EEB"/>
    <w:rsid w:val="003A6669"/>
    <w:rsid w:val="003A66B3"/>
    <w:rsid w:val="003A6807"/>
    <w:rsid w:val="003A683D"/>
    <w:rsid w:val="003A6976"/>
    <w:rsid w:val="003A6A7A"/>
    <w:rsid w:val="003A6ACC"/>
    <w:rsid w:val="003A6BC6"/>
    <w:rsid w:val="003A739A"/>
    <w:rsid w:val="003A76F3"/>
    <w:rsid w:val="003A7822"/>
    <w:rsid w:val="003A7C98"/>
    <w:rsid w:val="003A7F81"/>
    <w:rsid w:val="003B00E3"/>
    <w:rsid w:val="003B0AF2"/>
    <w:rsid w:val="003B0B15"/>
    <w:rsid w:val="003B0F87"/>
    <w:rsid w:val="003B0F89"/>
    <w:rsid w:val="003B0F95"/>
    <w:rsid w:val="003B117D"/>
    <w:rsid w:val="003B134D"/>
    <w:rsid w:val="003B16C1"/>
    <w:rsid w:val="003B17B9"/>
    <w:rsid w:val="003B2759"/>
    <w:rsid w:val="003B29ED"/>
    <w:rsid w:val="003B2AF1"/>
    <w:rsid w:val="003B2AF9"/>
    <w:rsid w:val="003B2F7A"/>
    <w:rsid w:val="003B34B3"/>
    <w:rsid w:val="003B3699"/>
    <w:rsid w:val="003B3CE1"/>
    <w:rsid w:val="003B3F3C"/>
    <w:rsid w:val="003B405F"/>
    <w:rsid w:val="003B467A"/>
    <w:rsid w:val="003B4918"/>
    <w:rsid w:val="003B4F61"/>
    <w:rsid w:val="003B5A4B"/>
    <w:rsid w:val="003B5B87"/>
    <w:rsid w:val="003B5DB5"/>
    <w:rsid w:val="003B65D4"/>
    <w:rsid w:val="003B69DD"/>
    <w:rsid w:val="003B6F9F"/>
    <w:rsid w:val="003B71B9"/>
    <w:rsid w:val="003B74D9"/>
    <w:rsid w:val="003B77F0"/>
    <w:rsid w:val="003B79F1"/>
    <w:rsid w:val="003B7AFE"/>
    <w:rsid w:val="003B7C6A"/>
    <w:rsid w:val="003C004D"/>
    <w:rsid w:val="003C0206"/>
    <w:rsid w:val="003C069D"/>
    <w:rsid w:val="003C070A"/>
    <w:rsid w:val="003C071C"/>
    <w:rsid w:val="003C0A86"/>
    <w:rsid w:val="003C0DDC"/>
    <w:rsid w:val="003C0FD2"/>
    <w:rsid w:val="003C1393"/>
    <w:rsid w:val="003C1894"/>
    <w:rsid w:val="003C1ED0"/>
    <w:rsid w:val="003C205A"/>
    <w:rsid w:val="003C2206"/>
    <w:rsid w:val="003C236C"/>
    <w:rsid w:val="003C246D"/>
    <w:rsid w:val="003C2674"/>
    <w:rsid w:val="003C281A"/>
    <w:rsid w:val="003C2B7E"/>
    <w:rsid w:val="003C327A"/>
    <w:rsid w:val="003C3813"/>
    <w:rsid w:val="003C3F2B"/>
    <w:rsid w:val="003C4298"/>
    <w:rsid w:val="003C4717"/>
    <w:rsid w:val="003C5006"/>
    <w:rsid w:val="003C53F2"/>
    <w:rsid w:val="003C5509"/>
    <w:rsid w:val="003C569B"/>
    <w:rsid w:val="003C622B"/>
    <w:rsid w:val="003C6F32"/>
    <w:rsid w:val="003C79FD"/>
    <w:rsid w:val="003C7F34"/>
    <w:rsid w:val="003D0077"/>
    <w:rsid w:val="003D02B5"/>
    <w:rsid w:val="003D0353"/>
    <w:rsid w:val="003D0573"/>
    <w:rsid w:val="003D0576"/>
    <w:rsid w:val="003D07C9"/>
    <w:rsid w:val="003D0D30"/>
    <w:rsid w:val="003D10A3"/>
    <w:rsid w:val="003D11E0"/>
    <w:rsid w:val="003D1A0D"/>
    <w:rsid w:val="003D1F47"/>
    <w:rsid w:val="003D2379"/>
    <w:rsid w:val="003D2F2A"/>
    <w:rsid w:val="003D3542"/>
    <w:rsid w:val="003D3748"/>
    <w:rsid w:val="003D39AE"/>
    <w:rsid w:val="003D3E2A"/>
    <w:rsid w:val="003D3EB7"/>
    <w:rsid w:val="003D41F5"/>
    <w:rsid w:val="003D436B"/>
    <w:rsid w:val="003D44E3"/>
    <w:rsid w:val="003D46F3"/>
    <w:rsid w:val="003D4762"/>
    <w:rsid w:val="003D4F74"/>
    <w:rsid w:val="003D55CD"/>
    <w:rsid w:val="003D56A1"/>
    <w:rsid w:val="003D5A66"/>
    <w:rsid w:val="003D5B9C"/>
    <w:rsid w:val="003D5BA1"/>
    <w:rsid w:val="003D5D58"/>
    <w:rsid w:val="003D619E"/>
    <w:rsid w:val="003D63FB"/>
    <w:rsid w:val="003D677C"/>
    <w:rsid w:val="003D6B84"/>
    <w:rsid w:val="003D6CCA"/>
    <w:rsid w:val="003D6EC5"/>
    <w:rsid w:val="003D6F22"/>
    <w:rsid w:val="003D7593"/>
    <w:rsid w:val="003D789E"/>
    <w:rsid w:val="003D7C0F"/>
    <w:rsid w:val="003E015E"/>
    <w:rsid w:val="003E0193"/>
    <w:rsid w:val="003E0D17"/>
    <w:rsid w:val="003E14F6"/>
    <w:rsid w:val="003E161B"/>
    <w:rsid w:val="003E178A"/>
    <w:rsid w:val="003E1976"/>
    <w:rsid w:val="003E1B94"/>
    <w:rsid w:val="003E1D6A"/>
    <w:rsid w:val="003E20CC"/>
    <w:rsid w:val="003E239A"/>
    <w:rsid w:val="003E25D0"/>
    <w:rsid w:val="003E2755"/>
    <w:rsid w:val="003E32B7"/>
    <w:rsid w:val="003E33B3"/>
    <w:rsid w:val="003E380D"/>
    <w:rsid w:val="003E3FD8"/>
    <w:rsid w:val="003E4015"/>
    <w:rsid w:val="003E40D2"/>
    <w:rsid w:val="003E46CF"/>
    <w:rsid w:val="003E4B1A"/>
    <w:rsid w:val="003E508B"/>
    <w:rsid w:val="003E5383"/>
    <w:rsid w:val="003E5E0A"/>
    <w:rsid w:val="003E6652"/>
    <w:rsid w:val="003E6D72"/>
    <w:rsid w:val="003E6DD3"/>
    <w:rsid w:val="003E6FBC"/>
    <w:rsid w:val="003E787D"/>
    <w:rsid w:val="003E7ABA"/>
    <w:rsid w:val="003E7FBA"/>
    <w:rsid w:val="003F092D"/>
    <w:rsid w:val="003F0A03"/>
    <w:rsid w:val="003F0DE3"/>
    <w:rsid w:val="003F105D"/>
    <w:rsid w:val="003F16A3"/>
    <w:rsid w:val="003F1890"/>
    <w:rsid w:val="003F18B1"/>
    <w:rsid w:val="003F19D1"/>
    <w:rsid w:val="003F2522"/>
    <w:rsid w:val="003F2F02"/>
    <w:rsid w:val="003F2F5E"/>
    <w:rsid w:val="003F3403"/>
    <w:rsid w:val="003F351D"/>
    <w:rsid w:val="003F39E3"/>
    <w:rsid w:val="003F3E21"/>
    <w:rsid w:val="003F3F42"/>
    <w:rsid w:val="003F418B"/>
    <w:rsid w:val="003F42E0"/>
    <w:rsid w:val="003F4EAD"/>
    <w:rsid w:val="003F55A8"/>
    <w:rsid w:val="003F5D23"/>
    <w:rsid w:val="003F5E1A"/>
    <w:rsid w:val="003F5F5C"/>
    <w:rsid w:val="003F6373"/>
    <w:rsid w:val="003F66F9"/>
    <w:rsid w:val="003F6A45"/>
    <w:rsid w:val="003F701D"/>
    <w:rsid w:val="003F73D7"/>
    <w:rsid w:val="003F76AB"/>
    <w:rsid w:val="004003F2"/>
    <w:rsid w:val="00400D6F"/>
    <w:rsid w:val="0040163E"/>
    <w:rsid w:val="004019DD"/>
    <w:rsid w:val="00401DF9"/>
    <w:rsid w:val="00402643"/>
    <w:rsid w:val="00402936"/>
    <w:rsid w:val="00402A3B"/>
    <w:rsid w:val="00403354"/>
    <w:rsid w:val="004034C2"/>
    <w:rsid w:val="00403A19"/>
    <w:rsid w:val="00403C0C"/>
    <w:rsid w:val="00403E84"/>
    <w:rsid w:val="00403F07"/>
    <w:rsid w:val="00403FD3"/>
    <w:rsid w:val="004041A4"/>
    <w:rsid w:val="0040425B"/>
    <w:rsid w:val="004042ED"/>
    <w:rsid w:val="004043D9"/>
    <w:rsid w:val="004046B2"/>
    <w:rsid w:val="00404840"/>
    <w:rsid w:val="00404B16"/>
    <w:rsid w:val="00404D26"/>
    <w:rsid w:val="00404DD2"/>
    <w:rsid w:val="004050E6"/>
    <w:rsid w:val="00405231"/>
    <w:rsid w:val="00405398"/>
    <w:rsid w:val="00405D6D"/>
    <w:rsid w:val="00405E67"/>
    <w:rsid w:val="00405EAE"/>
    <w:rsid w:val="00405FE8"/>
    <w:rsid w:val="00405FF0"/>
    <w:rsid w:val="004061C3"/>
    <w:rsid w:val="00406337"/>
    <w:rsid w:val="00406514"/>
    <w:rsid w:val="00406610"/>
    <w:rsid w:val="00406645"/>
    <w:rsid w:val="004069EB"/>
    <w:rsid w:val="00406B52"/>
    <w:rsid w:val="00406DB2"/>
    <w:rsid w:val="00406E45"/>
    <w:rsid w:val="004107EB"/>
    <w:rsid w:val="0041091A"/>
    <w:rsid w:val="00410B4F"/>
    <w:rsid w:val="00410BEE"/>
    <w:rsid w:val="00411415"/>
    <w:rsid w:val="0041187C"/>
    <w:rsid w:val="00411D8F"/>
    <w:rsid w:val="00411DD9"/>
    <w:rsid w:val="00412299"/>
    <w:rsid w:val="0041274F"/>
    <w:rsid w:val="004127E9"/>
    <w:rsid w:val="00412D24"/>
    <w:rsid w:val="00412E17"/>
    <w:rsid w:val="0041392A"/>
    <w:rsid w:val="00413A05"/>
    <w:rsid w:val="00413EB3"/>
    <w:rsid w:val="0041410A"/>
    <w:rsid w:val="0041414C"/>
    <w:rsid w:val="00414A08"/>
    <w:rsid w:val="004152F4"/>
    <w:rsid w:val="00415A95"/>
    <w:rsid w:val="00415B98"/>
    <w:rsid w:val="00415D69"/>
    <w:rsid w:val="00415FED"/>
    <w:rsid w:val="00416127"/>
    <w:rsid w:val="0041626D"/>
    <w:rsid w:val="004166CD"/>
    <w:rsid w:val="00416C66"/>
    <w:rsid w:val="00416E34"/>
    <w:rsid w:val="0041720F"/>
    <w:rsid w:val="00417444"/>
    <w:rsid w:val="00417507"/>
    <w:rsid w:val="0041798C"/>
    <w:rsid w:val="00417CDD"/>
    <w:rsid w:val="00420027"/>
    <w:rsid w:val="0042037A"/>
    <w:rsid w:val="004203E6"/>
    <w:rsid w:val="0042069A"/>
    <w:rsid w:val="0042085D"/>
    <w:rsid w:val="00420888"/>
    <w:rsid w:val="00420D1C"/>
    <w:rsid w:val="0042137A"/>
    <w:rsid w:val="0042144C"/>
    <w:rsid w:val="00421773"/>
    <w:rsid w:val="00421A7A"/>
    <w:rsid w:val="00422308"/>
    <w:rsid w:val="00422413"/>
    <w:rsid w:val="00422730"/>
    <w:rsid w:val="00422FB5"/>
    <w:rsid w:val="00423CB0"/>
    <w:rsid w:val="00424170"/>
    <w:rsid w:val="00424193"/>
    <w:rsid w:val="00424322"/>
    <w:rsid w:val="00424B66"/>
    <w:rsid w:val="00424D06"/>
    <w:rsid w:val="004251F2"/>
    <w:rsid w:val="004255A8"/>
    <w:rsid w:val="00425B3E"/>
    <w:rsid w:val="00425B4E"/>
    <w:rsid w:val="00425CBC"/>
    <w:rsid w:val="00425E27"/>
    <w:rsid w:val="00426076"/>
    <w:rsid w:val="004265B8"/>
    <w:rsid w:val="004269D8"/>
    <w:rsid w:val="0042736A"/>
    <w:rsid w:val="00430209"/>
    <w:rsid w:val="00430332"/>
    <w:rsid w:val="00430CE0"/>
    <w:rsid w:val="00430E05"/>
    <w:rsid w:val="00431353"/>
    <w:rsid w:val="00431EF7"/>
    <w:rsid w:val="0043249F"/>
    <w:rsid w:val="004325ED"/>
    <w:rsid w:val="00432888"/>
    <w:rsid w:val="00432C30"/>
    <w:rsid w:val="00432CE9"/>
    <w:rsid w:val="00432CFF"/>
    <w:rsid w:val="00432F68"/>
    <w:rsid w:val="00433496"/>
    <w:rsid w:val="00433E5A"/>
    <w:rsid w:val="004340EF"/>
    <w:rsid w:val="004345B3"/>
    <w:rsid w:val="0043470B"/>
    <w:rsid w:val="00434E1B"/>
    <w:rsid w:val="00435182"/>
    <w:rsid w:val="00435427"/>
    <w:rsid w:val="004355F1"/>
    <w:rsid w:val="004355FA"/>
    <w:rsid w:val="00435737"/>
    <w:rsid w:val="00435CA6"/>
    <w:rsid w:val="00435F01"/>
    <w:rsid w:val="004360D1"/>
    <w:rsid w:val="004361DE"/>
    <w:rsid w:val="0043650C"/>
    <w:rsid w:val="004366B1"/>
    <w:rsid w:val="00436D5E"/>
    <w:rsid w:val="00437978"/>
    <w:rsid w:val="00437A70"/>
    <w:rsid w:val="00437ADE"/>
    <w:rsid w:val="00440B2F"/>
    <w:rsid w:val="00440CD2"/>
    <w:rsid w:val="004413A2"/>
    <w:rsid w:val="0044196B"/>
    <w:rsid w:val="00441D29"/>
    <w:rsid w:val="00441FB1"/>
    <w:rsid w:val="004421A3"/>
    <w:rsid w:val="004427E2"/>
    <w:rsid w:val="00442A8D"/>
    <w:rsid w:val="00442C46"/>
    <w:rsid w:val="00442FF4"/>
    <w:rsid w:val="004434A4"/>
    <w:rsid w:val="00443723"/>
    <w:rsid w:val="00443AB0"/>
    <w:rsid w:val="00443D5B"/>
    <w:rsid w:val="004441DD"/>
    <w:rsid w:val="004442EB"/>
    <w:rsid w:val="00445096"/>
    <w:rsid w:val="00445164"/>
    <w:rsid w:val="004451C5"/>
    <w:rsid w:val="004453CF"/>
    <w:rsid w:val="004458DC"/>
    <w:rsid w:val="00445A4A"/>
    <w:rsid w:val="00445C62"/>
    <w:rsid w:val="00446192"/>
    <w:rsid w:val="00446195"/>
    <w:rsid w:val="004462C5"/>
    <w:rsid w:val="0044675A"/>
    <w:rsid w:val="00446C02"/>
    <w:rsid w:val="00446CE3"/>
    <w:rsid w:val="00446FA2"/>
    <w:rsid w:val="004478A3"/>
    <w:rsid w:val="00447BC3"/>
    <w:rsid w:val="00447F98"/>
    <w:rsid w:val="00447FB7"/>
    <w:rsid w:val="00450236"/>
    <w:rsid w:val="00450443"/>
    <w:rsid w:val="0045073F"/>
    <w:rsid w:val="00450B09"/>
    <w:rsid w:val="00450BE6"/>
    <w:rsid w:val="00450C2C"/>
    <w:rsid w:val="00450D83"/>
    <w:rsid w:val="00450E74"/>
    <w:rsid w:val="00450F1D"/>
    <w:rsid w:val="00450FBB"/>
    <w:rsid w:val="00450FE3"/>
    <w:rsid w:val="00451208"/>
    <w:rsid w:val="00451736"/>
    <w:rsid w:val="004524FB"/>
    <w:rsid w:val="00452756"/>
    <w:rsid w:val="00453240"/>
    <w:rsid w:val="004533B2"/>
    <w:rsid w:val="00453976"/>
    <w:rsid w:val="004539A1"/>
    <w:rsid w:val="00453A0E"/>
    <w:rsid w:val="00454007"/>
    <w:rsid w:val="004540D4"/>
    <w:rsid w:val="004544B2"/>
    <w:rsid w:val="00454A3F"/>
    <w:rsid w:val="00454A9C"/>
    <w:rsid w:val="00454EC9"/>
    <w:rsid w:val="004550A6"/>
    <w:rsid w:val="004552ED"/>
    <w:rsid w:val="004556FA"/>
    <w:rsid w:val="00455870"/>
    <w:rsid w:val="004558A5"/>
    <w:rsid w:val="004558C7"/>
    <w:rsid w:val="00455AF4"/>
    <w:rsid w:val="00456A23"/>
    <w:rsid w:val="00456D3D"/>
    <w:rsid w:val="00456FFF"/>
    <w:rsid w:val="0045772B"/>
    <w:rsid w:val="00457831"/>
    <w:rsid w:val="004578CF"/>
    <w:rsid w:val="004603F2"/>
    <w:rsid w:val="00461391"/>
    <w:rsid w:val="00461644"/>
    <w:rsid w:val="00461C46"/>
    <w:rsid w:val="00461E3E"/>
    <w:rsid w:val="00462259"/>
    <w:rsid w:val="0046244E"/>
    <w:rsid w:val="00462453"/>
    <w:rsid w:val="00462514"/>
    <w:rsid w:val="00462EB7"/>
    <w:rsid w:val="00462F21"/>
    <w:rsid w:val="0046323C"/>
    <w:rsid w:val="00463B7B"/>
    <w:rsid w:val="00463F00"/>
    <w:rsid w:val="00463F44"/>
    <w:rsid w:val="004647CE"/>
    <w:rsid w:val="00464864"/>
    <w:rsid w:val="00464B9B"/>
    <w:rsid w:val="00464DBE"/>
    <w:rsid w:val="0046524F"/>
    <w:rsid w:val="00465265"/>
    <w:rsid w:val="0046551A"/>
    <w:rsid w:val="0046577C"/>
    <w:rsid w:val="00465B3B"/>
    <w:rsid w:val="00465B41"/>
    <w:rsid w:val="00465F43"/>
    <w:rsid w:val="004661BC"/>
    <w:rsid w:val="00466DCF"/>
    <w:rsid w:val="0046729D"/>
    <w:rsid w:val="004672DE"/>
    <w:rsid w:val="004675CB"/>
    <w:rsid w:val="00467F35"/>
    <w:rsid w:val="00470020"/>
    <w:rsid w:val="00470491"/>
    <w:rsid w:val="004708E0"/>
    <w:rsid w:val="00470916"/>
    <w:rsid w:val="00470DCD"/>
    <w:rsid w:val="00470E87"/>
    <w:rsid w:val="004712D8"/>
    <w:rsid w:val="00471B43"/>
    <w:rsid w:val="00471B90"/>
    <w:rsid w:val="004723B8"/>
    <w:rsid w:val="004724DE"/>
    <w:rsid w:val="0047343B"/>
    <w:rsid w:val="0047361A"/>
    <w:rsid w:val="00473756"/>
    <w:rsid w:val="00473AF4"/>
    <w:rsid w:val="00473CC1"/>
    <w:rsid w:val="00473FF2"/>
    <w:rsid w:val="0047550D"/>
    <w:rsid w:val="00475878"/>
    <w:rsid w:val="00475D79"/>
    <w:rsid w:val="004760A2"/>
    <w:rsid w:val="0047675A"/>
    <w:rsid w:val="0047683B"/>
    <w:rsid w:val="00476AA9"/>
    <w:rsid w:val="00476C31"/>
    <w:rsid w:val="00476DE2"/>
    <w:rsid w:val="004779E0"/>
    <w:rsid w:val="00477A2B"/>
    <w:rsid w:val="00477B1A"/>
    <w:rsid w:val="0048028D"/>
    <w:rsid w:val="0048064D"/>
    <w:rsid w:val="0048073E"/>
    <w:rsid w:val="004811F1"/>
    <w:rsid w:val="00481489"/>
    <w:rsid w:val="0048166A"/>
    <w:rsid w:val="004819DA"/>
    <w:rsid w:val="00481E35"/>
    <w:rsid w:val="0048219D"/>
    <w:rsid w:val="004824F8"/>
    <w:rsid w:val="00482A06"/>
    <w:rsid w:val="00482A7B"/>
    <w:rsid w:val="00482ADF"/>
    <w:rsid w:val="00482E0D"/>
    <w:rsid w:val="004833F5"/>
    <w:rsid w:val="00483997"/>
    <w:rsid w:val="00483C02"/>
    <w:rsid w:val="00483CEA"/>
    <w:rsid w:val="00483D4D"/>
    <w:rsid w:val="00483ECF"/>
    <w:rsid w:val="004845B9"/>
    <w:rsid w:val="004848BF"/>
    <w:rsid w:val="00484920"/>
    <w:rsid w:val="00484D1D"/>
    <w:rsid w:val="00485222"/>
    <w:rsid w:val="0048555A"/>
    <w:rsid w:val="004855B5"/>
    <w:rsid w:val="004857E2"/>
    <w:rsid w:val="00485954"/>
    <w:rsid w:val="00485E7B"/>
    <w:rsid w:val="0048603C"/>
    <w:rsid w:val="00486A94"/>
    <w:rsid w:val="00486B48"/>
    <w:rsid w:val="00486ED0"/>
    <w:rsid w:val="00487540"/>
    <w:rsid w:val="00487648"/>
    <w:rsid w:val="004877F3"/>
    <w:rsid w:val="00487A16"/>
    <w:rsid w:val="00487BA3"/>
    <w:rsid w:val="00490380"/>
    <w:rsid w:val="00490BA6"/>
    <w:rsid w:val="00491555"/>
    <w:rsid w:val="004916AF"/>
    <w:rsid w:val="00491B8B"/>
    <w:rsid w:val="0049213D"/>
    <w:rsid w:val="004929B6"/>
    <w:rsid w:val="00492A77"/>
    <w:rsid w:val="00492B77"/>
    <w:rsid w:val="00492BEB"/>
    <w:rsid w:val="00492D48"/>
    <w:rsid w:val="0049387B"/>
    <w:rsid w:val="00493968"/>
    <w:rsid w:val="00493D38"/>
    <w:rsid w:val="00493DC6"/>
    <w:rsid w:val="00493E2D"/>
    <w:rsid w:val="004945FF"/>
    <w:rsid w:val="00495340"/>
    <w:rsid w:val="00496221"/>
    <w:rsid w:val="0049681D"/>
    <w:rsid w:val="00496CA8"/>
    <w:rsid w:val="00497298"/>
    <w:rsid w:val="00497564"/>
    <w:rsid w:val="0049794E"/>
    <w:rsid w:val="00497974"/>
    <w:rsid w:val="00497B49"/>
    <w:rsid w:val="00497C08"/>
    <w:rsid w:val="00497C7B"/>
    <w:rsid w:val="00497CF6"/>
    <w:rsid w:val="00497FA9"/>
    <w:rsid w:val="00497FE0"/>
    <w:rsid w:val="004A0132"/>
    <w:rsid w:val="004A03A7"/>
    <w:rsid w:val="004A096A"/>
    <w:rsid w:val="004A0B69"/>
    <w:rsid w:val="004A0E7A"/>
    <w:rsid w:val="004A146E"/>
    <w:rsid w:val="004A15DF"/>
    <w:rsid w:val="004A1A60"/>
    <w:rsid w:val="004A1AC2"/>
    <w:rsid w:val="004A1D61"/>
    <w:rsid w:val="004A2077"/>
    <w:rsid w:val="004A2C3F"/>
    <w:rsid w:val="004A2ED5"/>
    <w:rsid w:val="004A348F"/>
    <w:rsid w:val="004A36B8"/>
    <w:rsid w:val="004A36FA"/>
    <w:rsid w:val="004A380A"/>
    <w:rsid w:val="004A3E9B"/>
    <w:rsid w:val="004A430B"/>
    <w:rsid w:val="004A4361"/>
    <w:rsid w:val="004A4519"/>
    <w:rsid w:val="004A46BA"/>
    <w:rsid w:val="004A5287"/>
    <w:rsid w:val="004A5609"/>
    <w:rsid w:val="004A588A"/>
    <w:rsid w:val="004A63B2"/>
    <w:rsid w:val="004A6413"/>
    <w:rsid w:val="004A663F"/>
    <w:rsid w:val="004A6A08"/>
    <w:rsid w:val="004A6A3A"/>
    <w:rsid w:val="004A6A82"/>
    <w:rsid w:val="004A6DF2"/>
    <w:rsid w:val="004A6E7E"/>
    <w:rsid w:val="004A7261"/>
    <w:rsid w:val="004A72DE"/>
    <w:rsid w:val="004A75D9"/>
    <w:rsid w:val="004A7724"/>
    <w:rsid w:val="004A7E67"/>
    <w:rsid w:val="004B0247"/>
    <w:rsid w:val="004B03DC"/>
    <w:rsid w:val="004B087E"/>
    <w:rsid w:val="004B0904"/>
    <w:rsid w:val="004B09F2"/>
    <w:rsid w:val="004B1136"/>
    <w:rsid w:val="004B11E4"/>
    <w:rsid w:val="004B125E"/>
    <w:rsid w:val="004B15A9"/>
    <w:rsid w:val="004B16A7"/>
    <w:rsid w:val="004B16D3"/>
    <w:rsid w:val="004B2377"/>
    <w:rsid w:val="004B24C4"/>
    <w:rsid w:val="004B266C"/>
    <w:rsid w:val="004B2866"/>
    <w:rsid w:val="004B28BD"/>
    <w:rsid w:val="004B2AF2"/>
    <w:rsid w:val="004B2E0B"/>
    <w:rsid w:val="004B3150"/>
    <w:rsid w:val="004B321C"/>
    <w:rsid w:val="004B3BEC"/>
    <w:rsid w:val="004B45F2"/>
    <w:rsid w:val="004B461B"/>
    <w:rsid w:val="004B4670"/>
    <w:rsid w:val="004B46FF"/>
    <w:rsid w:val="004B4BEC"/>
    <w:rsid w:val="004B4E51"/>
    <w:rsid w:val="004B4F0F"/>
    <w:rsid w:val="004B511F"/>
    <w:rsid w:val="004B52DF"/>
    <w:rsid w:val="004B55D3"/>
    <w:rsid w:val="004B577A"/>
    <w:rsid w:val="004B58D4"/>
    <w:rsid w:val="004B58D8"/>
    <w:rsid w:val="004B59A3"/>
    <w:rsid w:val="004B5B22"/>
    <w:rsid w:val="004B67BA"/>
    <w:rsid w:val="004B699A"/>
    <w:rsid w:val="004B726B"/>
    <w:rsid w:val="004B74E8"/>
    <w:rsid w:val="004B7728"/>
    <w:rsid w:val="004B7AC7"/>
    <w:rsid w:val="004B7C22"/>
    <w:rsid w:val="004C029A"/>
    <w:rsid w:val="004C02F6"/>
    <w:rsid w:val="004C10E1"/>
    <w:rsid w:val="004C130B"/>
    <w:rsid w:val="004C1B78"/>
    <w:rsid w:val="004C1E6E"/>
    <w:rsid w:val="004C240D"/>
    <w:rsid w:val="004C2CE6"/>
    <w:rsid w:val="004C306C"/>
    <w:rsid w:val="004C3160"/>
    <w:rsid w:val="004C3751"/>
    <w:rsid w:val="004C3AC7"/>
    <w:rsid w:val="004C4520"/>
    <w:rsid w:val="004C46FE"/>
    <w:rsid w:val="004C4986"/>
    <w:rsid w:val="004C4DDD"/>
    <w:rsid w:val="004C56A2"/>
    <w:rsid w:val="004C5A8C"/>
    <w:rsid w:val="004C60EB"/>
    <w:rsid w:val="004C6A92"/>
    <w:rsid w:val="004C6B97"/>
    <w:rsid w:val="004C6C88"/>
    <w:rsid w:val="004C6E08"/>
    <w:rsid w:val="004C70D9"/>
    <w:rsid w:val="004C7394"/>
    <w:rsid w:val="004C745D"/>
    <w:rsid w:val="004C76CB"/>
    <w:rsid w:val="004C7C8B"/>
    <w:rsid w:val="004C7E3A"/>
    <w:rsid w:val="004D00F4"/>
    <w:rsid w:val="004D060E"/>
    <w:rsid w:val="004D0921"/>
    <w:rsid w:val="004D0ADD"/>
    <w:rsid w:val="004D0FD8"/>
    <w:rsid w:val="004D1019"/>
    <w:rsid w:val="004D102A"/>
    <w:rsid w:val="004D139A"/>
    <w:rsid w:val="004D143B"/>
    <w:rsid w:val="004D15C7"/>
    <w:rsid w:val="004D1A60"/>
    <w:rsid w:val="004D1ADD"/>
    <w:rsid w:val="004D20F8"/>
    <w:rsid w:val="004D214D"/>
    <w:rsid w:val="004D2559"/>
    <w:rsid w:val="004D261A"/>
    <w:rsid w:val="004D2AE0"/>
    <w:rsid w:val="004D2B37"/>
    <w:rsid w:val="004D2DCF"/>
    <w:rsid w:val="004D33F5"/>
    <w:rsid w:val="004D46A0"/>
    <w:rsid w:val="004D48AF"/>
    <w:rsid w:val="004D49FF"/>
    <w:rsid w:val="004D50D3"/>
    <w:rsid w:val="004D5350"/>
    <w:rsid w:val="004D5699"/>
    <w:rsid w:val="004D5F14"/>
    <w:rsid w:val="004D5FF9"/>
    <w:rsid w:val="004D60D1"/>
    <w:rsid w:val="004D66B5"/>
    <w:rsid w:val="004D6D8B"/>
    <w:rsid w:val="004D6F36"/>
    <w:rsid w:val="004D77FD"/>
    <w:rsid w:val="004D7FF1"/>
    <w:rsid w:val="004E0771"/>
    <w:rsid w:val="004E0D0B"/>
    <w:rsid w:val="004E161C"/>
    <w:rsid w:val="004E16FA"/>
    <w:rsid w:val="004E1F91"/>
    <w:rsid w:val="004E2040"/>
    <w:rsid w:val="004E2274"/>
    <w:rsid w:val="004E24D8"/>
    <w:rsid w:val="004E29B3"/>
    <w:rsid w:val="004E2A2B"/>
    <w:rsid w:val="004E2D41"/>
    <w:rsid w:val="004E2FA3"/>
    <w:rsid w:val="004E3125"/>
    <w:rsid w:val="004E3EDF"/>
    <w:rsid w:val="004E3FD1"/>
    <w:rsid w:val="004E4887"/>
    <w:rsid w:val="004E5032"/>
    <w:rsid w:val="004E5A7A"/>
    <w:rsid w:val="004E5C87"/>
    <w:rsid w:val="004E5F70"/>
    <w:rsid w:val="004E5F9B"/>
    <w:rsid w:val="004E644C"/>
    <w:rsid w:val="004E649D"/>
    <w:rsid w:val="004E66B2"/>
    <w:rsid w:val="004E68B6"/>
    <w:rsid w:val="004E6976"/>
    <w:rsid w:val="004E6D76"/>
    <w:rsid w:val="004E729E"/>
    <w:rsid w:val="004E742E"/>
    <w:rsid w:val="004E74C8"/>
    <w:rsid w:val="004E7811"/>
    <w:rsid w:val="004E78AC"/>
    <w:rsid w:val="004E7C17"/>
    <w:rsid w:val="004E7DE5"/>
    <w:rsid w:val="004E7F69"/>
    <w:rsid w:val="004F00E6"/>
    <w:rsid w:val="004F0481"/>
    <w:rsid w:val="004F0DBB"/>
    <w:rsid w:val="004F0DE7"/>
    <w:rsid w:val="004F113E"/>
    <w:rsid w:val="004F1271"/>
    <w:rsid w:val="004F14CC"/>
    <w:rsid w:val="004F1CAC"/>
    <w:rsid w:val="004F1D47"/>
    <w:rsid w:val="004F23D1"/>
    <w:rsid w:val="004F2A30"/>
    <w:rsid w:val="004F2FEB"/>
    <w:rsid w:val="004F30A0"/>
    <w:rsid w:val="004F3DB5"/>
    <w:rsid w:val="004F45D9"/>
    <w:rsid w:val="004F4E44"/>
    <w:rsid w:val="004F514D"/>
    <w:rsid w:val="004F537B"/>
    <w:rsid w:val="004F551A"/>
    <w:rsid w:val="004F55CF"/>
    <w:rsid w:val="004F568D"/>
    <w:rsid w:val="004F5C56"/>
    <w:rsid w:val="004F6213"/>
    <w:rsid w:val="004F63B0"/>
    <w:rsid w:val="004F63C1"/>
    <w:rsid w:val="004F735A"/>
    <w:rsid w:val="004F792F"/>
    <w:rsid w:val="004F7B6C"/>
    <w:rsid w:val="004F7DC6"/>
    <w:rsid w:val="004F7F88"/>
    <w:rsid w:val="00500057"/>
    <w:rsid w:val="0050037B"/>
    <w:rsid w:val="005005BF"/>
    <w:rsid w:val="00500B7C"/>
    <w:rsid w:val="00500D39"/>
    <w:rsid w:val="00500E0D"/>
    <w:rsid w:val="00500F78"/>
    <w:rsid w:val="0050120C"/>
    <w:rsid w:val="005017C3"/>
    <w:rsid w:val="00501B2A"/>
    <w:rsid w:val="00501BCA"/>
    <w:rsid w:val="00502087"/>
    <w:rsid w:val="005023A4"/>
    <w:rsid w:val="005025B3"/>
    <w:rsid w:val="00502799"/>
    <w:rsid w:val="00502BE6"/>
    <w:rsid w:val="00502BEE"/>
    <w:rsid w:val="005038E9"/>
    <w:rsid w:val="00504049"/>
    <w:rsid w:val="00504222"/>
    <w:rsid w:val="00504A3A"/>
    <w:rsid w:val="0050507E"/>
    <w:rsid w:val="0050537A"/>
    <w:rsid w:val="005053F1"/>
    <w:rsid w:val="005055C9"/>
    <w:rsid w:val="00505A83"/>
    <w:rsid w:val="00505AA4"/>
    <w:rsid w:val="00505C15"/>
    <w:rsid w:val="005060FB"/>
    <w:rsid w:val="005061BB"/>
    <w:rsid w:val="005062BD"/>
    <w:rsid w:val="0050682D"/>
    <w:rsid w:val="0050710E"/>
    <w:rsid w:val="00507751"/>
    <w:rsid w:val="005077A8"/>
    <w:rsid w:val="00507C10"/>
    <w:rsid w:val="00507EB9"/>
    <w:rsid w:val="00510002"/>
    <w:rsid w:val="00510563"/>
    <w:rsid w:val="00510F33"/>
    <w:rsid w:val="00511100"/>
    <w:rsid w:val="00511200"/>
    <w:rsid w:val="00511306"/>
    <w:rsid w:val="005115E0"/>
    <w:rsid w:val="00511928"/>
    <w:rsid w:val="00511B43"/>
    <w:rsid w:val="00511CF1"/>
    <w:rsid w:val="00511F91"/>
    <w:rsid w:val="00512574"/>
    <w:rsid w:val="00512AB8"/>
    <w:rsid w:val="00512D10"/>
    <w:rsid w:val="00512E4C"/>
    <w:rsid w:val="005134EA"/>
    <w:rsid w:val="00513A1F"/>
    <w:rsid w:val="00513EF5"/>
    <w:rsid w:val="00514E9A"/>
    <w:rsid w:val="00514FDE"/>
    <w:rsid w:val="0051524B"/>
    <w:rsid w:val="00515A3B"/>
    <w:rsid w:val="0051625B"/>
    <w:rsid w:val="0051677E"/>
    <w:rsid w:val="00516B60"/>
    <w:rsid w:val="00516B8A"/>
    <w:rsid w:val="005177AF"/>
    <w:rsid w:val="00517A4B"/>
    <w:rsid w:val="00517B66"/>
    <w:rsid w:val="005208B3"/>
    <w:rsid w:val="00520A28"/>
    <w:rsid w:val="00520B32"/>
    <w:rsid w:val="00520CC0"/>
    <w:rsid w:val="00521FFA"/>
    <w:rsid w:val="00522107"/>
    <w:rsid w:val="0052246C"/>
    <w:rsid w:val="00522569"/>
    <w:rsid w:val="0052261F"/>
    <w:rsid w:val="0052289B"/>
    <w:rsid w:val="005230B4"/>
    <w:rsid w:val="00523616"/>
    <w:rsid w:val="00523778"/>
    <w:rsid w:val="005239FE"/>
    <w:rsid w:val="00523CA0"/>
    <w:rsid w:val="00524067"/>
    <w:rsid w:val="0052459E"/>
    <w:rsid w:val="00524669"/>
    <w:rsid w:val="00524814"/>
    <w:rsid w:val="00524820"/>
    <w:rsid w:val="00524836"/>
    <w:rsid w:val="00524AE2"/>
    <w:rsid w:val="00525259"/>
    <w:rsid w:val="00525704"/>
    <w:rsid w:val="0052584F"/>
    <w:rsid w:val="00525A5B"/>
    <w:rsid w:val="00525C36"/>
    <w:rsid w:val="00525E2D"/>
    <w:rsid w:val="005260B3"/>
    <w:rsid w:val="005260C9"/>
    <w:rsid w:val="005264DD"/>
    <w:rsid w:val="0052667C"/>
    <w:rsid w:val="00526761"/>
    <w:rsid w:val="00527031"/>
    <w:rsid w:val="00527570"/>
    <w:rsid w:val="0052763D"/>
    <w:rsid w:val="0052769F"/>
    <w:rsid w:val="00527DB2"/>
    <w:rsid w:val="00527DC3"/>
    <w:rsid w:val="00530088"/>
    <w:rsid w:val="0053021F"/>
    <w:rsid w:val="00530560"/>
    <w:rsid w:val="0053058C"/>
    <w:rsid w:val="0053070E"/>
    <w:rsid w:val="00530771"/>
    <w:rsid w:val="005307B3"/>
    <w:rsid w:val="00530851"/>
    <w:rsid w:val="00530B34"/>
    <w:rsid w:val="00530D54"/>
    <w:rsid w:val="00530EAE"/>
    <w:rsid w:val="00530F65"/>
    <w:rsid w:val="00531433"/>
    <w:rsid w:val="00531608"/>
    <w:rsid w:val="00531970"/>
    <w:rsid w:val="00531AFB"/>
    <w:rsid w:val="0053201B"/>
    <w:rsid w:val="0053219E"/>
    <w:rsid w:val="00532306"/>
    <w:rsid w:val="005323DE"/>
    <w:rsid w:val="00532601"/>
    <w:rsid w:val="00532646"/>
    <w:rsid w:val="00532937"/>
    <w:rsid w:val="00532EF9"/>
    <w:rsid w:val="00532F1B"/>
    <w:rsid w:val="00532F7F"/>
    <w:rsid w:val="00533398"/>
    <w:rsid w:val="00533AF6"/>
    <w:rsid w:val="00533B9F"/>
    <w:rsid w:val="00533C12"/>
    <w:rsid w:val="00533D84"/>
    <w:rsid w:val="00533E75"/>
    <w:rsid w:val="00533F5C"/>
    <w:rsid w:val="005341AB"/>
    <w:rsid w:val="005341DD"/>
    <w:rsid w:val="00534AD6"/>
    <w:rsid w:val="00534BA3"/>
    <w:rsid w:val="0053583F"/>
    <w:rsid w:val="005358B0"/>
    <w:rsid w:val="005358C3"/>
    <w:rsid w:val="00535B98"/>
    <w:rsid w:val="00535B9F"/>
    <w:rsid w:val="00536BED"/>
    <w:rsid w:val="0053741F"/>
    <w:rsid w:val="005374B3"/>
    <w:rsid w:val="00537941"/>
    <w:rsid w:val="00537B6B"/>
    <w:rsid w:val="00537DC3"/>
    <w:rsid w:val="00537FA1"/>
    <w:rsid w:val="00540301"/>
    <w:rsid w:val="005403F1"/>
    <w:rsid w:val="005405D4"/>
    <w:rsid w:val="0054063D"/>
    <w:rsid w:val="00541847"/>
    <w:rsid w:val="0054185C"/>
    <w:rsid w:val="00541CCD"/>
    <w:rsid w:val="00542758"/>
    <w:rsid w:val="0054298B"/>
    <w:rsid w:val="00542D4C"/>
    <w:rsid w:val="00542D98"/>
    <w:rsid w:val="00543332"/>
    <w:rsid w:val="005435AF"/>
    <w:rsid w:val="005435C4"/>
    <w:rsid w:val="00544160"/>
    <w:rsid w:val="00544420"/>
    <w:rsid w:val="00544444"/>
    <w:rsid w:val="00544679"/>
    <w:rsid w:val="00544C4B"/>
    <w:rsid w:val="00545097"/>
    <w:rsid w:val="00545159"/>
    <w:rsid w:val="00545B5D"/>
    <w:rsid w:val="00545B9F"/>
    <w:rsid w:val="00545E57"/>
    <w:rsid w:val="00546642"/>
    <w:rsid w:val="00546694"/>
    <w:rsid w:val="00546A93"/>
    <w:rsid w:val="00546B65"/>
    <w:rsid w:val="005472F5"/>
    <w:rsid w:val="0054746A"/>
    <w:rsid w:val="0054770B"/>
    <w:rsid w:val="0054774A"/>
    <w:rsid w:val="005477CA"/>
    <w:rsid w:val="00547AE7"/>
    <w:rsid w:val="00547C85"/>
    <w:rsid w:val="00547F0D"/>
    <w:rsid w:val="0055012A"/>
    <w:rsid w:val="005501D8"/>
    <w:rsid w:val="00550444"/>
    <w:rsid w:val="005507EF"/>
    <w:rsid w:val="005508E4"/>
    <w:rsid w:val="00550DA4"/>
    <w:rsid w:val="00551259"/>
    <w:rsid w:val="0055146A"/>
    <w:rsid w:val="005514B5"/>
    <w:rsid w:val="00551573"/>
    <w:rsid w:val="005515A0"/>
    <w:rsid w:val="005516B3"/>
    <w:rsid w:val="00552029"/>
    <w:rsid w:val="00552503"/>
    <w:rsid w:val="0055251F"/>
    <w:rsid w:val="00552695"/>
    <w:rsid w:val="005527FA"/>
    <w:rsid w:val="00552F99"/>
    <w:rsid w:val="00553671"/>
    <w:rsid w:val="00553B01"/>
    <w:rsid w:val="00553B15"/>
    <w:rsid w:val="00553CDA"/>
    <w:rsid w:val="00553DFF"/>
    <w:rsid w:val="00553ED8"/>
    <w:rsid w:val="005540E2"/>
    <w:rsid w:val="0055413D"/>
    <w:rsid w:val="00554235"/>
    <w:rsid w:val="00554836"/>
    <w:rsid w:val="005549B6"/>
    <w:rsid w:val="005551D6"/>
    <w:rsid w:val="00556569"/>
    <w:rsid w:val="005568A7"/>
    <w:rsid w:val="00556B39"/>
    <w:rsid w:val="005571A5"/>
    <w:rsid w:val="00557958"/>
    <w:rsid w:val="005579B6"/>
    <w:rsid w:val="00557A36"/>
    <w:rsid w:val="00557AF4"/>
    <w:rsid w:val="00557CAF"/>
    <w:rsid w:val="00557F49"/>
    <w:rsid w:val="005604DC"/>
    <w:rsid w:val="005605E5"/>
    <w:rsid w:val="00560679"/>
    <w:rsid w:val="00560B25"/>
    <w:rsid w:val="00560CCC"/>
    <w:rsid w:val="00560DA7"/>
    <w:rsid w:val="00560F90"/>
    <w:rsid w:val="00560FDC"/>
    <w:rsid w:val="00561153"/>
    <w:rsid w:val="00561592"/>
    <w:rsid w:val="00561607"/>
    <w:rsid w:val="00561643"/>
    <w:rsid w:val="00562A19"/>
    <w:rsid w:val="00563340"/>
    <w:rsid w:val="00563ADF"/>
    <w:rsid w:val="00563DE9"/>
    <w:rsid w:val="00563E87"/>
    <w:rsid w:val="00563FBE"/>
    <w:rsid w:val="005648A4"/>
    <w:rsid w:val="0056524C"/>
    <w:rsid w:val="005658C4"/>
    <w:rsid w:val="00565A74"/>
    <w:rsid w:val="00565F34"/>
    <w:rsid w:val="005668CD"/>
    <w:rsid w:val="00566FC3"/>
    <w:rsid w:val="00567163"/>
    <w:rsid w:val="005671EE"/>
    <w:rsid w:val="00567265"/>
    <w:rsid w:val="005673E2"/>
    <w:rsid w:val="00567433"/>
    <w:rsid w:val="00567457"/>
    <w:rsid w:val="005678D1"/>
    <w:rsid w:val="0057002D"/>
    <w:rsid w:val="005701E3"/>
    <w:rsid w:val="005703A7"/>
    <w:rsid w:val="005704FB"/>
    <w:rsid w:val="0057060F"/>
    <w:rsid w:val="00570A8F"/>
    <w:rsid w:val="00571507"/>
    <w:rsid w:val="0057179D"/>
    <w:rsid w:val="005717A7"/>
    <w:rsid w:val="00571A69"/>
    <w:rsid w:val="0057241C"/>
    <w:rsid w:val="00572498"/>
    <w:rsid w:val="005727F2"/>
    <w:rsid w:val="005728FF"/>
    <w:rsid w:val="00572AB9"/>
    <w:rsid w:val="0057358B"/>
    <w:rsid w:val="005738EB"/>
    <w:rsid w:val="00573A25"/>
    <w:rsid w:val="00573D77"/>
    <w:rsid w:val="00573F30"/>
    <w:rsid w:val="005740C5"/>
    <w:rsid w:val="00574162"/>
    <w:rsid w:val="005741C1"/>
    <w:rsid w:val="005743CC"/>
    <w:rsid w:val="00574572"/>
    <w:rsid w:val="005747C7"/>
    <w:rsid w:val="005747ED"/>
    <w:rsid w:val="00574A28"/>
    <w:rsid w:val="00574F9F"/>
    <w:rsid w:val="005750B2"/>
    <w:rsid w:val="00575D07"/>
    <w:rsid w:val="00575D93"/>
    <w:rsid w:val="00576237"/>
    <w:rsid w:val="005763A3"/>
    <w:rsid w:val="005764BC"/>
    <w:rsid w:val="0057697E"/>
    <w:rsid w:val="00576C39"/>
    <w:rsid w:val="00576EC4"/>
    <w:rsid w:val="005770DC"/>
    <w:rsid w:val="005773A1"/>
    <w:rsid w:val="0057755A"/>
    <w:rsid w:val="00577A2C"/>
    <w:rsid w:val="00577BBA"/>
    <w:rsid w:val="00577D5E"/>
    <w:rsid w:val="00577F44"/>
    <w:rsid w:val="00577F84"/>
    <w:rsid w:val="00577F9A"/>
    <w:rsid w:val="005800BF"/>
    <w:rsid w:val="005800DE"/>
    <w:rsid w:val="005803AC"/>
    <w:rsid w:val="005804E9"/>
    <w:rsid w:val="005806AB"/>
    <w:rsid w:val="00580F82"/>
    <w:rsid w:val="00581273"/>
    <w:rsid w:val="00581557"/>
    <w:rsid w:val="00581654"/>
    <w:rsid w:val="005816C2"/>
    <w:rsid w:val="00581A11"/>
    <w:rsid w:val="00581B53"/>
    <w:rsid w:val="00581BA5"/>
    <w:rsid w:val="00581DF2"/>
    <w:rsid w:val="00581EE5"/>
    <w:rsid w:val="00581FDA"/>
    <w:rsid w:val="005822F5"/>
    <w:rsid w:val="0058257F"/>
    <w:rsid w:val="005826D2"/>
    <w:rsid w:val="00582D5E"/>
    <w:rsid w:val="00582EBD"/>
    <w:rsid w:val="005834CC"/>
    <w:rsid w:val="0058354A"/>
    <w:rsid w:val="00583644"/>
    <w:rsid w:val="00583CEF"/>
    <w:rsid w:val="00583E09"/>
    <w:rsid w:val="0058403E"/>
    <w:rsid w:val="00584483"/>
    <w:rsid w:val="0058465B"/>
    <w:rsid w:val="005846A0"/>
    <w:rsid w:val="0058474B"/>
    <w:rsid w:val="00584A09"/>
    <w:rsid w:val="00584A85"/>
    <w:rsid w:val="00585217"/>
    <w:rsid w:val="00585531"/>
    <w:rsid w:val="00585794"/>
    <w:rsid w:val="00585E07"/>
    <w:rsid w:val="00585FEE"/>
    <w:rsid w:val="00586162"/>
    <w:rsid w:val="005863CE"/>
    <w:rsid w:val="00586A80"/>
    <w:rsid w:val="00586AFC"/>
    <w:rsid w:val="00586CC5"/>
    <w:rsid w:val="00586DA4"/>
    <w:rsid w:val="005870D3"/>
    <w:rsid w:val="005874D5"/>
    <w:rsid w:val="005878BD"/>
    <w:rsid w:val="005901A7"/>
    <w:rsid w:val="0059049F"/>
    <w:rsid w:val="00590649"/>
    <w:rsid w:val="00590C04"/>
    <w:rsid w:val="00590EF0"/>
    <w:rsid w:val="005919BA"/>
    <w:rsid w:val="0059218C"/>
    <w:rsid w:val="0059222D"/>
    <w:rsid w:val="0059229A"/>
    <w:rsid w:val="005923BD"/>
    <w:rsid w:val="00592870"/>
    <w:rsid w:val="00592C81"/>
    <w:rsid w:val="00593758"/>
    <w:rsid w:val="00593E68"/>
    <w:rsid w:val="005943BB"/>
    <w:rsid w:val="005945F6"/>
    <w:rsid w:val="00594AD2"/>
    <w:rsid w:val="005950C8"/>
    <w:rsid w:val="00595276"/>
    <w:rsid w:val="00595D6F"/>
    <w:rsid w:val="00595E26"/>
    <w:rsid w:val="00596E2B"/>
    <w:rsid w:val="00596EBD"/>
    <w:rsid w:val="00596EDA"/>
    <w:rsid w:val="0059774B"/>
    <w:rsid w:val="00597990"/>
    <w:rsid w:val="005979E4"/>
    <w:rsid w:val="005A063D"/>
    <w:rsid w:val="005A0B2B"/>
    <w:rsid w:val="005A0DA8"/>
    <w:rsid w:val="005A0EAF"/>
    <w:rsid w:val="005A0FBF"/>
    <w:rsid w:val="005A1368"/>
    <w:rsid w:val="005A16EB"/>
    <w:rsid w:val="005A1988"/>
    <w:rsid w:val="005A1D2F"/>
    <w:rsid w:val="005A2132"/>
    <w:rsid w:val="005A267B"/>
    <w:rsid w:val="005A3153"/>
    <w:rsid w:val="005A325E"/>
    <w:rsid w:val="005A342B"/>
    <w:rsid w:val="005A3C71"/>
    <w:rsid w:val="005A3FE5"/>
    <w:rsid w:val="005A415C"/>
    <w:rsid w:val="005A416A"/>
    <w:rsid w:val="005A464E"/>
    <w:rsid w:val="005A4FDD"/>
    <w:rsid w:val="005A5453"/>
    <w:rsid w:val="005A5931"/>
    <w:rsid w:val="005A5975"/>
    <w:rsid w:val="005A59C3"/>
    <w:rsid w:val="005A5D35"/>
    <w:rsid w:val="005A5ED6"/>
    <w:rsid w:val="005A685B"/>
    <w:rsid w:val="005A7011"/>
    <w:rsid w:val="005A7164"/>
    <w:rsid w:val="005A7472"/>
    <w:rsid w:val="005A795C"/>
    <w:rsid w:val="005A7B32"/>
    <w:rsid w:val="005B11DD"/>
    <w:rsid w:val="005B13D9"/>
    <w:rsid w:val="005B1CA7"/>
    <w:rsid w:val="005B1DA3"/>
    <w:rsid w:val="005B2F1A"/>
    <w:rsid w:val="005B33A7"/>
    <w:rsid w:val="005B357A"/>
    <w:rsid w:val="005B35C1"/>
    <w:rsid w:val="005B3910"/>
    <w:rsid w:val="005B3B39"/>
    <w:rsid w:val="005B3C9A"/>
    <w:rsid w:val="005B42EB"/>
    <w:rsid w:val="005B4530"/>
    <w:rsid w:val="005B46E1"/>
    <w:rsid w:val="005B492B"/>
    <w:rsid w:val="005B4E16"/>
    <w:rsid w:val="005B50E9"/>
    <w:rsid w:val="005B52F8"/>
    <w:rsid w:val="005B5570"/>
    <w:rsid w:val="005B5FB1"/>
    <w:rsid w:val="005B6657"/>
    <w:rsid w:val="005B6D7A"/>
    <w:rsid w:val="005B6DF0"/>
    <w:rsid w:val="005B755B"/>
    <w:rsid w:val="005C0239"/>
    <w:rsid w:val="005C025B"/>
    <w:rsid w:val="005C0850"/>
    <w:rsid w:val="005C0926"/>
    <w:rsid w:val="005C1305"/>
    <w:rsid w:val="005C1EB6"/>
    <w:rsid w:val="005C21EF"/>
    <w:rsid w:val="005C2760"/>
    <w:rsid w:val="005C305E"/>
    <w:rsid w:val="005C3198"/>
    <w:rsid w:val="005C3518"/>
    <w:rsid w:val="005C366C"/>
    <w:rsid w:val="005C39B3"/>
    <w:rsid w:val="005C3D59"/>
    <w:rsid w:val="005C4314"/>
    <w:rsid w:val="005C4C3E"/>
    <w:rsid w:val="005C4EEF"/>
    <w:rsid w:val="005C522F"/>
    <w:rsid w:val="005C5577"/>
    <w:rsid w:val="005C5E05"/>
    <w:rsid w:val="005C624A"/>
    <w:rsid w:val="005C644B"/>
    <w:rsid w:val="005C64A7"/>
    <w:rsid w:val="005C6C3D"/>
    <w:rsid w:val="005C72C0"/>
    <w:rsid w:val="005C737F"/>
    <w:rsid w:val="005C7643"/>
    <w:rsid w:val="005C7A71"/>
    <w:rsid w:val="005C7DC5"/>
    <w:rsid w:val="005D038D"/>
    <w:rsid w:val="005D05A2"/>
    <w:rsid w:val="005D07EC"/>
    <w:rsid w:val="005D08F7"/>
    <w:rsid w:val="005D09D4"/>
    <w:rsid w:val="005D0B13"/>
    <w:rsid w:val="005D0CC5"/>
    <w:rsid w:val="005D0EDE"/>
    <w:rsid w:val="005D0FD4"/>
    <w:rsid w:val="005D1955"/>
    <w:rsid w:val="005D1A44"/>
    <w:rsid w:val="005D1C38"/>
    <w:rsid w:val="005D1CF5"/>
    <w:rsid w:val="005D1D31"/>
    <w:rsid w:val="005D2A9D"/>
    <w:rsid w:val="005D2E8B"/>
    <w:rsid w:val="005D3490"/>
    <w:rsid w:val="005D3C44"/>
    <w:rsid w:val="005D435C"/>
    <w:rsid w:val="005D477B"/>
    <w:rsid w:val="005D4800"/>
    <w:rsid w:val="005D48D0"/>
    <w:rsid w:val="005D4A26"/>
    <w:rsid w:val="005D4B14"/>
    <w:rsid w:val="005D5659"/>
    <w:rsid w:val="005D5870"/>
    <w:rsid w:val="005D672B"/>
    <w:rsid w:val="005D6F4B"/>
    <w:rsid w:val="005D7128"/>
    <w:rsid w:val="005D745A"/>
    <w:rsid w:val="005D78C3"/>
    <w:rsid w:val="005D7CE6"/>
    <w:rsid w:val="005D7D3C"/>
    <w:rsid w:val="005E00B4"/>
    <w:rsid w:val="005E0739"/>
    <w:rsid w:val="005E0AFD"/>
    <w:rsid w:val="005E0D90"/>
    <w:rsid w:val="005E0FA8"/>
    <w:rsid w:val="005E1107"/>
    <w:rsid w:val="005E193C"/>
    <w:rsid w:val="005E1CD8"/>
    <w:rsid w:val="005E1F7F"/>
    <w:rsid w:val="005E1F93"/>
    <w:rsid w:val="005E201C"/>
    <w:rsid w:val="005E231E"/>
    <w:rsid w:val="005E24B0"/>
    <w:rsid w:val="005E2C47"/>
    <w:rsid w:val="005E3E8B"/>
    <w:rsid w:val="005E3FDD"/>
    <w:rsid w:val="005E418D"/>
    <w:rsid w:val="005E418F"/>
    <w:rsid w:val="005E463C"/>
    <w:rsid w:val="005E46C4"/>
    <w:rsid w:val="005E47D9"/>
    <w:rsid w:val="005E4A29"/>
    <w:rsid w:val="005E4CCF"/>
    <w:rsid w:val="005E5202"/>
    <w:rsid w:val="005E5513"/>
    <w:rsid w:val="005E5E66"/>
    <w:rsid w:val="005E6810"/>
    <w:rsid w:val="005E6A28"/>
    <w:rsid w:val="005E6A32"/>
    <w:rsid w:val="005E6A43"/>
    <w:rsid w:val="005E6FAA"/>
    <w:rsid w:val="005E736C"/>
    <w:rsid w:val="005E76A2"/>
    <w:rsid w:val="005E76ED"/>
    <w:rsid w:val="005E7729"/>
    <w:rsid w:val="005F043C"/>
    <w:rsid w:val="005F0EB3"/>
    <w:rsid w:val="005F16AB"/>
    <w:rsid w:val="005F1BEA"/>
    <w:rsid w:val="005F1CA0"/>
    <w:rsid w:val="005F2159"/>
    <w:rsid w:val="005F22AB"/>
    <w:rsid w:val="005F25F2"/>
    <w:rsid w:val="005F2651"/>
    <w:rsid w:val="005F2A53"/>
    <w:rsid w:val="005F3404"/>
    <w:rsid w:val="005F3F09"/>
    <w:rsid w:val="005F41A8"/>
    <w:rsid w:val="005F4419"/>
    <w:rsid w:val="005F44AD"/>
    <w:rsid w:val="005F45E2"/>
    <w:rsid w:val="005F5D8E"/>
    <w:rsid w:val="005F5FCC"/>
    <w:rsid w:val="005F6039"/>
    <w:rsid w:val="005F6053"/>
    <w:rsid w:val="005F61EF"/>
    <w:rsid w:val="005F624F"/>
    <w:rsid w:val="005F628D"/>
    <w:rsid w:val="005F6635"/>
    <w:rsid w:val="005F6807"/>
    <w:rsid w:val="005F6889"/>
    <w:rsid w:val="005F6C8C"/>
    <w:rsid w:val="005F6FD7"/>
    <w:rsid w:val="005F704F"/>
    <w:rsid w:val="005F7210"/>
    <w:rsid w:val="005F74A2"/>
    <w:rsid w:val="005F772F"/>
    <w:rsid w:val="00600479"/>
    <w:rsid w:val="00600962"/>
    <w:rsid w:val="00600FCC"/>
    <w:rsid w:val="00601020"/>
    <w:rsid w:val="00601697"/>
    <w:rsid w:val="0060181A"/>
    <w:rsid w:val="00601FED"/>
    <w:rsid w:val="006036C1"/>
    <w:rsid w:val="00603835"/>
    <w:rsid w:val="00603EFB"/>
    <w:rsid w:val="00603FF7"/>
    <w:rsid w:val="00604387"/>
    <w:rsid w:val="006044F9"/>
    <w:rsid w:val="00604D32"/>
    <w:rsid w:val="00604D51"/>
    <w:rsid w:val="00604EFC"/>
    <w:rsid w:val="0060503D"/>
    <w:rsid w:val="006060A6"/>
    <w:rsid w:val="00606119"/>
    <w:rsid w:val="00606788"/>
    <w:rsid w:val="00606AA2"/>
    <w:rsid w:val="00606AE6"/>
    <w:rsid w:val="00606D82"/>
    <w:rsid w:val="00606DC9"/>
    <w:rsid w:val="00610942"/>
    <w:rsid w:val="00610F3D"/>
    <w:rsid w:val="00611031"/>
    <w:rsid w:val="006110FC"/>
    <w:rsid w:val="006114D4"/>
    <w:rsid w:val="0061156B"/>
    <w:rsid w:val="006116F2"/>
    <w:rsid w:val="00611A1C"/>
    <w:rsid w:val="00611DDF"/>
    <w:rsid w:val="00611F10"/>
    <w:rsid w:val="00611F52"/>
    <w:rsid w:val="00612097"/>
    <w:rsid w:val="006126F0"/>
    <w:rsid w:val="00613125"/>
    <w:rsid w:val="006133FE"/>
    <w:rsid w:val="00613A17"/>
    <w:rsid w:val="00613B4E"/>
    <w:rsid w:val="00613F86"/>
    <w:rsid w:val="006140D2"/>
    <w:rsid w:val="006144AB"/>
    <w:rsid w:val="00614AF8"/>
    <w:rsid w:val="00614BFA"/>
    <w:rsid w:val="00614EE1"/>
    <w:rsid w:val="006151E6"/>
    <w:rsid w:val="006151FE"/>
    <w:rsid w:val="00615566"/>
    <w:rsid w:val="00615664"/>
    <w:rsid w:val="006161EE"/>
    <w:rsid w:val="00616462"/>
    <w:rsid w:val="00616467"/>
    <w:rsid w:val="00616605"/>
    <w:rsid w:val="00616634"/>
    <w:rsid w:val="0061698B"/>
    <w:rsid w:val="00616BDD"/>
    <w:rsid w:val="00617208"/>
    <w:rsid w:val="00617211"/>
    <w:rsid w:val="00617227"/>
    <w:rsid w:val="00617694"/>
    <w:rsid w:val="0061777D"/>
    <w:rsid w:val="00617785"/>
    <w:rsid w:val="00617864"/>
    <w:rsid w:val="006179D6"/>
    <w:rsid w:val="006179EB"/>
    <w:rsid w:val="00620107"/>
    <w:rsid w:val="00620539"/>
    <w:rsid w:val="0062086B"/>
    <w:rsid w:val="00620990"/>
    <w:rsid w:val="00620E9A"/>
    <w:rsid w:val="00621462"/>
    <w:rsid w:val="00621B2A"/>
    <w:rsid w:val="00621C6C"/>
    <w:rsid w:val="00622465"/>
    <w:rsid w:val="00622BA0"/>
    <w:rsid w:val="006231F4"/>
    <w:rsid w:val="0062331B"/>
    <w:rsid w:val="006237B9"/>
    <w:rsid w:val="00623A2E"/>
    <w:rsid w:val="00623F63"/>
    <w:rsid w:val="00624858"/>
    <w:rsid w:val="0062507B"/>
    <w:rsid w:val="006251B9"/>
    <w:rsid w:val="00625240"/>
    <w:rsid w:val="00625317"/>
    <w:rsid w:val="00625988"/>
    <w:rsid w:val="0062599C"/>
    <w:rsid w:val="00626054"/>
    <w:rsid w:val="00626B2F"/>
    <w:rsid w:val="00626B5E"/>
    <w:rsid w:val="00626E38"/>
    <w:rsid w:val="00627787"/>
    <w:rsid w:val="00627C85"/>
    <w:rsid w:val="0063027D"/>
    <w:rsid w:val="0063077D"/>
    <w:rsid w:val="006307C2"/>
    <w:rsid w:val="00630B98"/>
    <w:rsid w:val="00630F39"/>
    <w:rsid w:val="00631257"/>
    <w:rsid w:val="006316D0"/>
    <w:rsid w:val="00631B7C"/>
    <w:rsid w:val="00631F07"/>
    <w:rsid w:val="00632586"/>
    <w:rsid w:val="006325B7"/>
    <w:rsid w:val="00632808"/>
    <w:rsid w:val="00632AC4"/>
    <w:rsid w:val="00632ACF"/>
    <w:rsid w:val="0063346D"/>
    <w:rsid w:val="00633AC2"/>
    <w:rsid w:val="00633F99"/>
    <w:rsid w:val="00634342"/>
    <w:rsid w:val="00634EE8"/>
    <w:rsid w:val="006354A8"/>
    <w:rsid w:val="0063576D"/>
    <w:rsid w:val="0063590D"/>
    <w:rsid w:val="00635984"/>
    <w:rsid w:val="00635E78"/>
    <w:rsid w:val="0063607D"/>
    <w:rsid w:val="00636314"/>
    <w:rsid w:val="00637A99"/>
    <w:rsid w:val="00637D5D"/>
    <w:rsid w:val="00637D68"/>
    <w:rsid w:val="006404BA"/>
    <w:rsid w:val="0064056C"/>
    <w:rsid w:val="00640D61"/>
    <w:rsid w:val="00640D80"/>
    <w:rsid w:val="00640F9E"/>
    <w:rsid w:val="00641064"/>
    <w:rsid w:val="0064158D"/>
    <w:rsid w:val="00641625"/>
    <w:rsid w:val="00641AE5"/>
    <w:rsid w:val="00641C62"/>
    <w:rsid w:val="00641EE7"/>
    <w:rsid w:val="00641F73"/>
    <w:rsid w:val="00642816"/>
    <w:rsid w:val="006429DB"/>
    <w:rsid w:val="00642D04"/>
    <w:rsid w:val="006434C1"/>
    <w:rsid w:val="006437CB"/>
    <w:rsid w:val="0064391C"/>
    <w:rsid w:val="00643C8C"/>
    <w:rsid w:val="00643DAE"/>
    <w:rsid w:val="006440AB"/>
    <w:rsid w:val="006441BB"/>
    <w:rsid w:val="00644527"/>
    <w:rsid w:val="006448E9"/>
    <w:rsid w:val="00644970"/>
    <w:rsid w:val="00644BB2"/>
    <w:rsid w:val="0064523E"/>
    <w:rsid w:val="006452D9"/>
    <w:rsid w:val="006457BD"/>
    <w:rsid w:val="00646B32"/>
    <w:rsid w:val="006470C2"/>
    <w:rsid w:val="00647166"/>
    <w:rsid w:val="006473DD"/>
    <w:rsid w:val="00647A09"/>
    <w:rsid w:val="00647E7B"/>
    <w:rsid w:val="00647EAA"/>
    <w:rsid w:val="00650330"/>
    <w:rsid w:val="00650386"/>
    <w:rsid w:val="00650788"/>
    <w:rsid w:val="00651245"/>
    <w:rsid w:val="006513AA"/>
    <w:rsid w:val="00651A16"/>
    <w:rsid w:val="00651B9B"/>
    <w:rsid w:val="00651F7B"/>
    <w:rsid w:val="00651FD6"/>
    <w:rsid w:val="006522EF"/>
    <w:rsid w:val="00652571"/>
    <w:rsid w:val="00652B26"/>
    <w:rsid w:val="00653779"/>
    <w:rsid w:val="006537DE"/>
    <w:rsid w:val="006538D8"/>
    <w:rsid w:val="00653AD5"/>
    <w:rsid w:val="00653C81"/>
    <w:rsid w:val="00653E6F"/>
    <w:rsid w:val="00653F7F"/>
    <w:rsid w:val="00654328"/>
    <w:rsid w:val="00654CAD"/>
    <w:rsid w:val="006557BD"/>
    <w:rsid w:val="006559C7"/>
    <w:rsid w:val="006559F7"/>
    <w:rsid w:val="00655D0E"/>
    <w:rsid w:val="00655D49"/>
    <w:rsid w:val="00656067"/>
    <w:rsid w:val="0065607B"/>
    <w:rsid w:val="00656279"/>
    <w:rsid w:val="0065649C"/>
    <w:rsid w:val="00656542"/>
    <w:rsid w:val="00656560"/>
    <w:rsid w:val="00656D1C"/>
    <w:rsid w:val="0065700D"/>
    <w:rsid w:val="0065721F"/>
    <w:rsid w:val="006573B0"/>
    <w:rsid w:val="0065746D"/>
    <w:rsid w:val="006577E3"/>
    <w:rsid w:val="00657BAC"/>
    <w:rsid w:val="006604E5"/>
    <w:rsid w:val="006606B1"/>
    <w:rsid w:val="006608CF"/>
    <w:rsid w:val="00660A9C"/>
    <w:rsid w:val="006610BB"/>
    <w:rsid w:val="006611CA"/>
    <w:rsid w:val="006615CC"/>
    <w:rsid w:val="00662832"/>
    <w:rsid w:val="006628FB"/>
    <w:rsid w:val="00662C54"/>
    <w:rsid w:val="0066350E"/>
    <w:rsid w:val="00663A73"/>
    <w:rsid w:val="00663A98"/>
    <w:rsid w:val="00663BA2"/>
    <w:rsid w:val="006644A2"/>
    <w:rsid w:val="006646A8"/>
    <w:rsid w:val="006650CB"/>
    <w:rsid w:val="00665175"/>
    <w:rsid w:val="00665223"/>
    <w:rsid w:val="006653F1"/>
    <w:rsid w:val="0066568E"/>
    <w:rsid w:val="006656C6"/>
    <w:rsid w:val="006659A1"/>
    <w:rsid w:val="00665C7D"/>
    <w:rsid w:val="00665F75"/>
    <w:rsid w:val="00666177"/>
    <w:rsid w:val="0066659A"/>
    <w:rsid w:val="00666761"/>
    <w:rsid w:val="00666BA3"/>
    <w:rsid w:val="00666DC0"/>
    <w:rsid w:val="006676BA"/>
    <w:rsid w:val="0066796E"/>
    <w:rsid w:val="006708CB"/>
    <w:rsid w:val="00670C3C"/>
    <w:rsid w:val="0067136B"/>
    <w:rsid w:val="00671423"/>
    <w:rsid w:val="00671424"/>
    <w:rsid w:val="006718AC"/>
    <w:rsid w:val="0067191F"/>
    <w:rsid w:val="00672064"/>
    <w:rsid w:val="00672185"/>
    <w:rsid w:val="0067253C"/>
    <w:rsid w:val="00672646"/>
    <w:rsid w:val="0067264D"/>
    <w:rsid w:val="00672A5F"/>
    <w:rsid w:val="00672F35"/>
    <w:rsid w:val="00673014"/>
    <w:rsid w:val="00673182"/>
    <w:rsid w:val="00673234"/>
    <w:rsid w:val="00674760"/>
    <w:rsid w:val="0067493A"/>
    <w:rsid w:val="006749EC"/>
    <w:rsid w:val="00674D45"/>
    <w:rsid w:val="00674DDA"/>
    <w:rsid w:val="0067627A"/>
    <w:rsid w:val="0067657A"/>
    <w:rsid w:val="00676A2F"/>
    <w:rsid w:val="0067707C"/>
    <w:rsid w:val="00677241"/>
    <w:rsid w:val="00677271"/>
    <w:rsid w:val="00677B97"/>
    <w:rsid w:val="006803E1"/>
    <w:rsid w:val="00680435"/>
    <w:rsid w:val="00680761"/>
    <w:rsid w:val="0068086B"/>
    <w:rsid w:val="00680B10"/>
    <w:rsid w:val="00680C13"/>
    <w:rsid w:val="00680D3C"/>
    <w:rsid w:val="00680DCD"/>
    <w:rsid w:val="0068100B"/>
    <w:rsid w:val="006811DA"/>
    <w:rsid w:val="006815E0"/>
    <w:rsid w:val="006818CF"/>
    <w:rsid w:val="006825D8"/>
    <w:rsid w:val="006828DB"/>
    <w:rsid w:val="0068295B"/>
    <w:rsid w:val="00682DE3"/>
    <w:rsid w:val="00683A3D"/>
    <w:rsid w:val="00683FBC"/>
    <w:rsid w:val="00684185"/>
    <w:rsid w:val="006849E5"/>
    <w:rsid w:val="006857F2"/>
    <w:rsid w:val="00685C45"/>
    <w:rsid w:val="00686325"/>
    <w:rsid w:val="006865F4"/>
    <w:rsid w:val="006867BC"/>
    <w:rsid w:val="00686BD0"/>
    <w:rsid w:val="00687150"/>
    <w:rsid w:val="00687737"/>
    <w:rsid w:val="00687854"/>
    <w:rsid w:val="00687BC4"/>
    <w:rsid w:val="00687DC5"/>
    <w:rsid w:val="0069002A"/>
    <w:rsid w:val="0069020B"/>
    <w:rsid w:val="00690908"/>
    <w:rsid w:val="00690913"/>
    <w:rsid w:val="006909B3"/>
    <w:rsid w:val="00690B09"/>
    <w:rsid w:val="00690FDA"/>
    <w:rsid w:val="0069114A"/>
    <w:rsid w:val="00691680"/>
    <w:rsid w:val="006916B0"/>
    <w:rsid w:val="00691963"/>
    <w:rsid w:val="00691ED6"/>
    <w:rsid w:val="0069227F"/>
    <w:rsid w:val="0069242C"/>
    <w:rsid w:val="0069245E"/>
    <w:rsid w:val="006924CA"/>
    <w:rsid w:val="00692AFE"/>
    <w:rsid w:val="00692C6B"/>
    <w:rsid w:val="006930DD"/>
    <w:rsid w:val="00693368"/>
    <w:rsid w:val="006935CE"/>
    <w:rsid w:val="00693A56"/>
    <w:rsid w:val="00693AE3"/>
    <w:rsid w:val="00693C38"/>
    <w:rsid w:val="00693DDE"/>
    <w:rsid w:val="00694469"/>
    <w:rsid w:val="006948DB"/>
    <w:rsid w:val="00694FBC"/>
    <w:rsid w:val="00695BD6"/>
    <w:rsid w:val="00695F95"/>
    <w:rsid w:val="00696B61"/>
    <w:rsid w:val="0069700A"/>
    <w:rsid w:val="006976CA"/>
    <w:rsid w:val="006976FE"/>
    <w:rsid w:val="006A03DA"/>
    <w:rsid w:val="006A0B1E"/>
    <w:rsid w:val="006A0F23"/>
    <w:rsid w:val="006A0F32"/>
    <w:rsid w:val="006A0FFA"/>
    <w:rsid w:val="006A131B"/>
    <w:rsid w:val="006A14EF"/>
    <w:rsid w:val="006A1980"/>
    <w:rsid w:val="006A214F"/>
    <w:rsid w:val="006A2189"/>
    <w:rsid w:val="006A2668"/>
    <w:rsid w:val="006A2B2E"/>
    <w:rsid w:val="006A32CF"/>
    <w:rsid w:val="006A38B6"/>
    <w:rsid w:val="006A3CBC"/>
    <w:rsid w:val="006A3D95"/>
    <w:rsid w:val="006A4000"/>
    <w:rsid w:val="006A413B"/>
    <w:rsid w:val="006A4170"/>
    <w:rsid w:val="006A49A1"/>
    <w:rsid w:val="006A4CF2"/>
    <w:rsid w:val="006A511F"/>
    <w:rsid w:val="006A5185"/>
    <w:rsid w:val="006A522B"/>
    <w:rsid w:val="006A5374"/>
    <w:rsid w:val="006A542F"/>
    <w:rsid w:val="006A5F01"/>
    <w:rsid w:val="006A68DC"/>
    <w:rsid w:val="006A6A63"/>
    <w:rsid w:val="006A6CA8"/>
    <w:rsid w:val="006A6D68"/>
    <w:rsid w:val="006B0744"/>
    <w:rsid w:val="006B0B1C"/>
    <w:rsid w:val="006B0BFC"/>
    <w:rsid w:val="006B0D6A"/>
    <w:rsid w:val="006B0E9F"/>
    <w:rsid w:val="006B0EE8"/>
    <w:rsid w:val="006B17D7"/>
    <w:rsid w:val="006B18B2"/>
    <w:rsid w:val="006B2115"/>
    <w:rsid w:val="006B23E7"/>
    <w:rsid w:val="006B24E1"/>
    <w:rsid w:val="006B2614"/>
    <w:rsid w:val="006B2769"/>
    <w:rsid w:val="006B28B9"/>
    <w:rsid w:val="006B2914"/>
    <w:rsid w:val="006B31BD"/>
    <w:rsid w:val="006B3931"/>
    <w:rsid w:val="006B3A96"/>
    <w:rsid w:val="006B3BEF"/>
    <w:rsid w:val="006B4111"/>
    <w:rsid w:val="006B4528"/>
    <w:rsid w:val="006B45B0"/>
    <w:rsid w:val="006B45F2"/>
    <w:rsid w:val="006B49AB"/>
    <w:rsid w:val="006B5842"/>
    <w:rsid w:val="006B5B51"/>
    <w:rsid w:val="006B5F82"/>
    <w:rsid w:val="006B64B8"/>
    <w:rsid w:val="006B6C8D"/>
    <w:rsid w:val="006B6F20"/>
    <w:rsid w:val="006B76F2"/>
    <w:rsid w:val="006B78E7"/>
    <w:rsid w:val="006B7E2D"/>
    <w:rsid w:val="006C0267"/>
    <w:rsid w:val="006C02BE"/>
    <w:rsid w:val="006C0550"/>
    <w:rsid w:val="006C07B5"/>
    <w:rsid w:val="006C0E6C"/>
    <w:rsid w:val="006C0F6F"/>
    <w:rsid w:val="006C2BF4"/>
    <w:rsid w:val="006C2F4D"/>
    <w:rsid w:val="006C300A"/>
    <w:rsid w:val="006C3156"/>
    <w:rsid w:val="006C37ED"/>
    <w:rsid w:val="006C3899"/>
    <w:rsid w:val="006C39A5"/>
    <w:rsid w:val="006C3CB0"/>
    <w:rsid w:val="006C409E"/>
    <w:rsid w:val="006C4338"/>
    <w:rsid w:val="006C482E"/>
    <w:rsid w:val="006C5081"/>
    <w:rsid w:val="006C5A7E"/>
    <w:rsid w:val="006C5B46"/>
    <w:rsid w:val="006C5CCF"/>
    <w:rsid w:val="006C6087"/>
    <w:rsid w:val="006C6ADE"/>
    <w:rsid w:val="006C6ADF"/>
    <w:rsid w:val="006C6BEF"/>
    <w:rsid w:val="006C7116"/>
    <w:rsid w:val="006C744E"/>
    <w:rsid w:val="006C76F2"/>
    <w:rsid w:val="006C7970"/>
    <w:rsid w:val="006C7C59"/>
    <w:rsid w:val="006D05F3"/>
    <w:rsid w:val="006D071A"/>
    <w:rsid w:val="006D0B24"/>
    <w:rsid w:val="006D0DD4"/>
    <w:rsid w:val="006D12AD"/>
    <w:rsid w:val="006D14CA"/>
    <w:rsid w:val="006D16F0"/>
    <w:rsid w:val="006D191B"/>
    <w:rsid w:val="006D1B49"/>
    <w:rsid w:val="006D1E54"/>
    <w:rsid w:val="006D22C2"/>
    <w:rsid w:val="006D256E"/>
    <w:rsid w:val="006D2627"/>
    <w:rsid w:val="006D294D"/>
    <w:rsid w:val="006D2B04"/>
    <w:rsid w:val="006D35D8"/>
    <w:rsid w:val="006D3BCB"/>
    <w:rsid w:val="006D3EE3"/>
    <w:rsid w:val="006D529D"/>
    <w:rsid w:val="006D5ED6"/>
    <w:rsid w:val="006D606F"/>
    <w:rsid w:val="006D6B23"/>
    <w:rsid w:val="006D6ED9"/>
    <w:rsid w:val="006D70A7"/>
    <w:rsid w:val="006D70C1"/>
    <w:rsid w:val="006D7144"/>
    <w:rsid w:val="006D7464"/>
    <w:rsid w:val="006E069B"/>
    <w:rsid w:val="006E075A"/>
    <w:rsid w:val="006E1216"/>
    <w:rsid w:val="006E12F4"/>
    <w:rsid w:val="006E1A6B"/>
    <w:rsid w:val="006E1DB6"/>
    <w:rsid w:val="006E2090"/>
    <w:rsid w:val="006E27B3"/>
    <w:rsid w:val="006E28E1"/>
    <w:rsid w:val="006E2A89"/>
    <w:rsid w:val="006E2BA7"/>
    <w:rsid w:val="006E2C99"/>
    <w:rsid w:val="006E2E6B"/>
    <w:rsid w:val="006E3092"/>
    <w:rsid w:val="006E3444"/>
    <w:rsid w:val="006E3BE8"/>
    <w:rsid w:val="006E3ED2"/>
    <w:rsid w:val="006E480A"/>
    <w:rsid w:val="006E4A13"/>
    <w:rsid w:val="006E4F3E"/>
    <w:rsid w:val="006E4F59"/>
    <w:rsid w:val="006E520F"/>
    <w:rsid w:val="006E55CD"/>
    <w:rsid w:val="006E5C16"/>
    <w:rsid w:val="006E60A9"/>
    <w:rsid w:val="006E6CBA"/>
    <w:rsid w:val="006E6D6D"/>
    <w:rsid w:val="006E7087"/>
    <w:rsid w:val="006E73E7"/>
    <w:rsid w:val="006E7581"/>
    <w:rsid w:val="006E7726"/>
    <w:rsid w:val="006E7B8A"/>
    <w:rsid w:val="006E7D52"/>
    <w:rsid w:val="006E7DD8"/>
    <w:rsid w:val="006E7FB3"/>
    <w:rsid w:val="006F089D"/>
    <w:rsid w:val="006F0FC0"/>
    <w:rsid w:val="006F16FD"/>
    <w:rsid w:val="006F18C5"/>
    <w:rsid w:val="006F1A2F"/>
    <w:rsid w:val="006F2157"/>
    <w:rsid w:val="006F2220"/>
    <w:rsid w:val="006F2316"/>
    <w:rsid w:val="006F235E"/>
    <w:rsid w:val="006F24F9"/>
    <w:rsid w:val="006F2BDC"/>
    <w:rsid w:val="006F2C0A"/>
    <w:rsid w:val="006F2C46"/>
    <w:rsid w:val="006F31D5"/>
    <w:rsid w:val="006F38D2"/>
    <w:rsid w:val="006F3968"/>
    <w:rsid w:val="006F3AE8"/>
    <w:rsid w:val="006F3D17"/>
    <w:rsid w:val="006F423C"/>
    <w:rsid w:val="006F42A1"/>
    <w:rsid w:val="006F4590"/>
    <w:rsid w:val="006F519B"/>
    <w:rsid w:val="006F52DA"/>
    <w:rsid w:val="006F567F"/>
    <w:rsid w:val="006F5B2F"/>
    <w:rsid w:val="006F629D"/>
    <w:rsid w:val="006F65B9"/>
    <w:rsid w:val="006F66DA"/>
    <w:rsid w:val="006F69A3"/>
    <w:rsid w:val="006F6E7C"/>
    <w:rsid w:val="006F756A"/>
    <w:rsid w:val="006F7589"/>
    <w:rsid w:val="006F75AF"/>
    <w:rsid w:val="006F75F9"/>
    <w:rsid w:val="006F792F"/>
    <w:rsid w:val="007005A8"/>
    <w:rsid w:val="007006A8"/>
    <w:rsid w:val="00700D22"/>
    <w:rsid w:val="00701761"/>
    <w:rsid w:val="00701E79"/>
    <w:rsid w:val="0070228D"/>
    <w:rsid w:val="00702502"/>
    <w:rsid w:val="00702517"/>
    <w:rsid w:val="0070254B"/>
    <w:rsid w:val="007027FD"/>
    <w:rsid w:val="00702991"/>
    <w:rsid w:val="00704056"/>
    <w:rsid w:val="007042E0"/>
    <w:rsid w:val="0070441E"/>
    <w:rsid w:val="0070463C"/>
    <w:rsid w:val="0070477A"/>
    <w:rsid w:val="00704D7F"/>
    <w:rsid w:val="00705181"/>
    <w:rsid w:val="00705380"/>
    <w:rsid w:val="007054F5"/>
    <w:rsid w:val="00705575"/>
    <w:rsid w:val="00705C01"/>
    <w:rsid w:val="007063C4"/>
    <w:rsid w:val="007063E5"/>
    <w:rsid w:val="00706D11"/>
    <w:rsid w:val="00707012"/>
    <w:rsid w:val="00707B1C"/>
    <w:rsid w:val="00707C14"/>
    <w:rsid w:val="00710972"/>
    <w:rsid w:val="00710BE4"/>
    <w:rsid w:val="00710CE3"/>
    <w:rsid w:val="00710D9B"/>
    <w:rsid w:val="00710E3B"/>
    <w:rsid w:val="00711152"/>
    <w:rsid w:val="0071115A"/>
    <w:rsid w:val="007113DB"/>
    <w:rsid w:val="00711469"/>
    <w:rsid w:val="00711621"/>
    <w:rsid w:val="00712365"/>
    <w:rsid w:val="00712478"/>
    <w:rsid w:val="007125D4"/>
    <w:rsid w:val="00712A1B"/>
    <w:rsid w:val="00712DF2"/>
    <w:rsid w:val="00712E7D"/>
    <w:rsid w:val="00712F65"/>
    <w:rsid w:val="00713047"/>
    <w:rsid w:val="0071321C"/>
    <w:rsid w:val="00713566"/>
    <w:rsid w:val="007136CB"/>
    <w:rsid w:val="0071376F"/>
    <w:rsid w:val="00713A94"/>
    <w:rsid w:val="00713E3D"/>
    <w:rsid w:val="00714905"/>
    <w:rsid w:val="00714931"/>
    <w:rsid w:val="00714B93"/>
    <w:rsid w:val="00714C23"/>
    <w:rsid w:val="00714F22"/>
    <w:rsid w:val="00714FA1"/>
    <w:rsid w:val="0071504C"/>
    <w:rsid w:val="007151EA"/>
    <w:rsid w:val="007154DD"/>
    <w:rsid w:val="0071563C"/>
    <w:rsid w:val="007157EB"/>
    <w:rsid w:val="00716244"/>
    <w:rsid w:val="00716621"/>
    <w:rsid w:val="00716A6F"/>
    <w:rsid w:val="00716BDC"/>
    <w:rsid w:val="00716C29"/>
    <w:rsid w:val="00716CBC"/>
    <w:rsid w:val="00716DE3"/>
    <w:rsid w:val="00717896"/>
    <w:rsid w:val="00717939"/>
    <w:rsid w:val="00717A9D"/>
    <w:rsid w:val="00720016"/>
    <w:rsid w:val="0072004B"/>
    <w:rsid w:val="00720383"/>
    <w:rsid w:val="00720E3C"/>
    <w:rsid w:val="0072160D"/>
    <w:rsid w:val="007218CC"/>
    <w:rsid w:val="007219E5"/>
    <w:rsid w:val="00722176"/>
    <w:rsid w:val="007223B2"/>
    <w:rsid w:val="00722831"/>
    <w:rsid w:val="0072289D"/>
    <w:rsid w:val="00722976"/>
    <w:rsid w:val="00722AAE"/>
    <w:rsid w:val="00722D9C"/>
    <w:rsid w:val="00722DCF"/>
    <w:rsid w:val="007235C6"/>
    <w:rsid w:val="00723705"/>
    <w:rsid w:val="00723A23"/>
    <w:rsid w:val="007241CD"/>
    <w:rsid w:val="007243EA"/>
    <w:rsid w:val="00724663"/>
    <w:rsid w:val="007249A2"/>
    <w:rsid w:val="00724A2F"/>
    <w:rsid w:val="00724D21"/>
    <w:rsid w:val="007252F2"/>
    <w:rsid w:val="007256A9"/>
    <w:rsid w:val="007256F7"/>
    <w:rsid w:val="007258DC"/>
    <w:rsid w:val="00725A29"/>
    <w:rsid w:val="00725FE2"/>
    <w:rsid w:val="0072634B"/>
    <w:rsid w:val="007265FE"/>
    <w:rsid w:val="00726969"/>
    <w:rsid w:val="007273F3"/>
    <w:rsid w:val="00727875"/>
    <w:rsid w:val="00727ADF"/>
    <w:rsid w:val="00727C54"/>
    <w:rsid w:val="00727C9E"/>
    <w:rsid w:val="00727CA8"/>
    <w:rsid w:val="00727EDA"/>
    <w:rsid w:val="00730109"/>
    <w:rsid w:val="007308CD"/>
    <w:rsid w:val="00730AEC"/>
    <w:rsid w:val="00730DC3"/>
    <w:rsid w:val="00730F20"/>
    <w:rsid w:val="0073113F"/>
    <w:rsid w:val="00731148"/>
    <w:rsid w:val="00732024"/>
    <w:rsid w:val="00732055"/>
    <w:rsid w:val="007336C4"/>
    <w:rsid w:val="00733CA8"/>
    <w:rsid w:val="00733DDA"/>
    <w:rsid w:val="0073438F"/>
    <w:rsid w:val="007345FE"/>
    <w:rsid w:val="007346EB"/>
    <w:rsid w:val="00734716"/>
    <w:rsid w:val="00734A3B"/>
    <w:rsid w:val="00735045"/>
    <w:rsid w:val="007350E1"/>
    <w:rsid w:val="0073532F"/>
    <w:rsid w:val="007353A6"/>
    <w:rsid w:val="007353EE"/>
    <w:rsid w:val="00735AB9"/>
    <w:rsid w:val="00735FEC"/>
    <w:rsid w:val="00736B0C"/>
    <w:rsid w:val="00736C1C"/>
    <w:rsid w:val="00736CA9"/>
    <w:rsid w:val="00736CEF"/>
    <w:rsid w:val="00736FB7"/>
    <w:rsid w:val="00737676"/>
    <w:rsid w:val="00737B5C"/>
    <w:rsid w:val="00737BB5"/>
    <w:rsid w:val="00737D4F"/>
    <w:rsid w:val="00737E63"/>
    <w:rsid w:val="00740265"/>
    <w:rsid w:val="00740276"/>
    <w:rsid w:val="00740291"/>
    <w:rsid w:val="00740480"/>
    <w:rsid w:val="00740597"/>
    <w:rsid w:val="00740779"/>
    <w:rsid w:val="00740B7C"/>
    <w:rsid w:val="00740C2A"/>
    <w:rsid w:val="007411FF"/>
    <w:rsid w:val="007412E2"/>
    <w:rsid w:val="00741E7E"/>
    <w:rsid w:val="007420D7"/>
    <w:rsid w:val="00742133"/>
    <w:rsid w:val="00742B3D"/>
    <w:rsid w:val="00742CF5"/>
    <w:rsid w:val="00742D55"/>
    <w:rsid w:val="00742F7E"/>
    <w:rsid w:val="007437A7"/>
    <w:rsid w:val="00743AC2"/>
    <w:rsid w:val="00743B91"/>
    <w:rsid w:val="00743F30"/>
    <w:rsid w:val="00743F4B"/>
    <w:rsid w:val="007440C7"/>
    <w:rsid w:val="0074459E"/>
    <w:rsid w:val="007447CA"/>
    <w:rsid w:val="00744C7A"/>
    <w:rsid w:val="00744DFF"/>
    <w:rsid w:val="0074588B"/>
    <w:rsid w:val="00745EF2"/>
    <w:rsid w:val="00745F29"/>
    <w:rsid w:val="00746263"/>
    <w:rsid w:val="00746584"/>
    <w:rsid w:val="00746B02"/>
    <w:rsid w:val="007471EF"/>
    <w:rsid w:val="007476C7"/>
    <w:rsid w:val="0074771A"/>
    <w:rsid w:val="00750E04"/>
    <w:rsid w:val="0075140C"/>
    <w:rsid w:val="00751A82"/>
    <w:rsid w:val="007521D6"/>
    <w:rsid w:val="007527C8"/>
    <w:rsid w:val="00752C27"/>
    <w:rsid w:val="00752C7E"/>
    <w:rsid w:val="007535BD"/>
    <w:rsid w:val="007536F0"/>
    <w:rsid w:val="00753A5B"/>
    <w:rsid w:val="00753E70"/>
    <w:rsid w:val="007547D8"/>
    <w:rsid w:val="0075482D"/>
    <w:rsid w:val="0075489C"/>
    <w:rsid w:val="00754B46"/>
    <w:rsid w:val="00754ECA"/>
    <w:rsid w:val="00755079"/>
    <w:rsid w:val="00755084"/>
    <w:rsid w:val="00755321"/>
    <w:rsid w:val="0075538E"/>
    <w:rsid w:val="00755684"/>
    <w:rsid w:val="007557CC"/>
    <w:rsid w:val="00755A0B"/>
    <w:rsid w:val="00756747"/>
    <w:rsid w:val="007571E8"/>
    <w:rsid w:val="00760031"/>
    <w:rsid w:val="00760398"/>
    <w:rsid w:val="007607ED"/>
    <w:rsid w:val="00760F56"/>
    <w:rsid w:val="00761596"/>
    <w:rsid w:val="00761915"/>
    <w:rsid w:val="00761CBF"/>
    <w:rsid w:val="00761F40"/>
    <w:rsid w:val="00761FDF"/>
    <w:rsid w:val="0076271F"/>
    <w:rsid w:val="00762E3E"/>
    <w:rsid w:val="007634E8"/>
    <w:rsid w:val="007635F5"/>
    <w:rsid w:val="00764173"/>
    <w:rsid w:val="007642F9"/>
    <w:rsid w:val="0076438B"/>
    <w:rsid w:val="0076480D"/>
    <w:rsid w:val="00764873"/>
    <w:rsid w:val="00764A4E"/>
    <w:rsid w:val="00764CDF"/>
    <w:rsid w:val="00765311"/>
    <w:rsid w:val="00765485"/>
    <w:rsid w:val="007655D2"/>
    <w:rsid w:val="00765D84"/>
    <w:rsid w:val="00765F4A"/>
    <w:rsid w:val="00766084"/>
    <w:rsid w:val="007664B2"/>
    <w:rsid w:val="00766751"/>
    <w:rsid w:val="00766B9C"/>
    <w:rsid w:val="00766C5C"/>
    <w:rsid w:val="00766D01"/>
    <w:rsid w:val="0076728C"/>
    <w:rsid w:val="007676A2"/>
    <w:rsid w:val="00767874"/>
    <w:rsid w:val="0076797F"/>
    <w:rsid w:val="007701B9"/>
    <w:rsid w:val="007703AE"/>
    <w:rsid w:val="00770A0D"/>
    <w:rsid w:val="00771683"/>
    <w:rsid w:val="0077209D"/>
    <w:rsid w:val="007729CA"/>
    <w:rsid w:val="00772AEB"/>
    <w:rsid w:val="00773D14"/>
    <w:rsid w:val="00773EC7"/>
    <w:rsid w:val="00774039"/>
    <w:rsid w:val="00774984"/>
    <w:rsid w:val="00774AD6"/>
    <w:rsid w:val="00774CBF"/>
    <w:rsid w:val="0077564F"/>
    <w:rsid w:val="00775E9A"/>
    <w:rsid w:val="0077626D"/>
    <w:rsid w:val="00776381"/>
    <w:rsid w:val="00776465"/>
    <w:rsid w:val="0077664C"/>
    <w:rsid w:val="00777643"/>
    <w:rsid w:val="0077773C"/>
    <w:rsid w:val="0077773F"/>
    <w:rsid w:val="00780082"/>
    <w:rsid w:val="0078020E"/>
    <w:rsid w:val="007811CF"/>
    <w:rsid w:val="00781347"/>
    <w:rsid w:val="0078143F"/>
    <w:rsid w:val="007815FE"/>
    <w:rsid w:val="0078160B"/>
    <w:rsid w:val="007817C4"/>
    <w:rsid w:val="0078183A"/>
    <w:rsid w:val="00781A32"/>
    <w:rsid w:val="00781E2E"/>
    <w:rsid w:val="00781E4D"/>
    <w:rsid w:val="00782499"/>
    <w:rsid w:val="007826B2"/>
    <w:rsid w:val="00782717"/>
    <w:rsid w:val="007828F9"/>
    <w:rsid w:val="00782C14"/>
    <w:rsid w:val="00782D9D"/>
    <w:rsid w:val="007839F9"/>
    <w:rsid w:val="00783FF7"/>
    <w:rsid w:val="0078428F"/>
    <w:rsid w:val="007845BC"/>
    <w:rsid w:val="00784A06"/>
    <w:rsid w:val="00784C95"/>
    <w:rsid w:val="00784EC0"/>
    <w:rsid w:val="00784FA7"/>
    <w:rsid w:val="00785329"/>
    <w:rsid w:val="0078536F"/>
    <w:rsid w:val="00785496"/>
    <w:rsid w:val="00785872"/>
    <w:rsid w:val="00785CEC"/>
    <w:rsid w:val="007860BC"/>
    <w:rsid w:val="007862B3"/>
    <w:rsid w:val="0078644D"/>
    <w:rsid w:val="00786812"/>
    <w:rsid w:val="00786A77"/>
    <w:rsid w:val="00786D54"/>
    <w:rsid w:val="00786DE9"/>
    <w:rsid w:val="00786FBB"/>
    <w:rsid w:val="007874DE"/>
    <w:rsid w:val="007875CF"/>
    <w:rsid w:val="00787836"/>
    <w:rsid w:val="00787FED"/>
    <w:rsid w:val="00790155"/>
    <w:rsid w:val="00790200"/>
    <w:rsid w:val="0079111F"/>
    <w:rsid w:val="00791B19"/>
    <w:rsid w:val="00791C0F"/>
    <w:rsid w:val="00791C7E"/>
    <w:rsid w:val="00791FB6"/>
    <w:rsid w:val="00792AE7"/>
    <w:rsid w:val="00793409"/>
    <w:rsid w:val="00793414"/>
    <w:rsid w:val="007937F1"/>
    <w:rsid w:val="0079397E"/>
    <w:rsid w:val="00794065"/>
    <w:rsid w:val="0079406C"/>
    <w:rsid w:val="007941D9"/>
    <w:rsid w:val="00794821"/>
    <w:rsid w:val="0079493E"/>
    <w:rsid w:val="00794B62"/>
    <w:rsid w:val="00794B7D"/>
    <w:rsid w:val="00794D43"/>
    <w:rsid w:val="00795083"/>
    <w:rsid w:val="00795225"/>
    <w:rsid w:val="007958B7"/>
    <w:rsid w:val="00795A87"/>
    <w:rsid w:val="0079620E"/>
    <w:rsid w:val="00796C14"/>
    <w:rsid w:val="00796D33"/>
    <w:rsid w:val="00796DC4"/>
    <w:rsid w:val="00797239"/>
    <w:rsid w:val="00797283"/>
    <w:rsid w:val="00797515"/>
    <w:rsid w:val="00797619"/>
    <w:rsid w:val="00797863"/>
    <w:rsid w:val="00797F3C"/>
    <w:rsid w:val="007A02FE"/>
    <w:rsid w:val="007A0B2C"/>
    <w:rsid w:val="007A0DB6"/>
    <w:rsid w:val="007A0E83"/>
    <w:rsid w:val="007A154A"/>
    <w:rsid w:val="007A1682"/>
    <w:rsid w:val="007A17C8"/>
    <w:rsid w:val="007A1D0C"/>
    <w:rsid w:val="007A2365"/>
    <w:rsid w:val="007A28CD"/>
    <w:rsid w:val="007A2AC2"/>
    <w:rsid w:val="007A2CB3"/>
    <w:rsid w:val="007A2E15"/>
    <w:rsid w:val="007A2E3F"/>
    <w:rsid w:val="007A3103"/>
    <w:rsid w:val="007A33C4"/>
    <w:rsid w:val="007A36D1"/>
    <w:rsid w:val="007A3BDF"/>
    <w:rsid w:val="007A3C5F"/>
    <w:rsid w:val="007A3D35"/>
    <w:rsid w:val="007A3DD7"/>
    <w:rsid w:val="007A40AC"/>
    <w:rsid w:val="007A4199"/>
    <w:rsid w:val="007A46B1"/>
    <w:rsid w:val="007A4DD9"/>
    <w:rsid w:val="007A5660"/>
    <w:rsid w:val="007A585A"/>
    <w:rsid w:val="007A5BC6"/>
    <w:rsid w:val="007A5D9A"/>
    <w:rsid w:val="007A5F4E"/>
    <w:rsid w:val="007A5F51"/>
    <w:rsid w:val="007A62D7"/>
    <w:rsid w:val="007A6321"/>
    <w:rsid w:val="007A65D3"/>
    <w:rsid w:val="007A6616"/>
    <w:rsid w:val="007A6D56"/>
    <w:rsid w:val="007A6D8F"/>
    <w:rsid w:val="007A73E5"/>
    <w:rsid w:val="007A7434"/>
    <w:rsid w:val="007A78D9"/>
    <w:rsid w:val="007A7B15"/>
    <w:rsid w:val="007B023C"/>
    <w:rsid w:val="007B0382"/>
    <w:rsid w:val="007B03FD"/>
    <w:rsid w:val="007B07D4"/>
    <w:rsid w:val="007B099E"/>
    <w:rsid w:val="007B1672"/>
    <w:rsid w:val="007B1BC6"/>
    <w:rsid w:val="007B1DBB"/>
    <w:rsid w:val="007B224F"/>
    <w:rsid w:val="007B26C3"/>
    <w:rsid w:val="007B2F46"/>
    <w:rsid w:val="007B3935"/>
    <w:rsid w:val="007B3D92"/>
    <w:rsid w:val="007B3F1A"/>
    <w:rsid w:val="007B420A"/>
    <w:rsid w:val="007B4259"/>
    <w:rsid w:val="007B43FE"/>
    <w:rsid w:val="007B47AA"/>
    <w:rsid w:val="007B4BCB"/>
    <w:rsid w:val="007B4F0C"/>
    <w:rsid w:val="007B4FF5"/>
    <w:rsid w:val="007B52F4"/>
    <w:rsid w:val="007B590C"/>
    <w:rsid w:val="007B5A99"/>
    <w:rsid w:val="007B5D55"/>
    <w:rsid w:val="007B631B"/>
    <w:rsid w:val="007B6684"/>
    <w:rsid w:val="007B67A4"/>
    <w:rsid w:val="007B69EE"/>
    <w:rsid w:val="007B6AA3"/>
    <w:rsid w:val="007B6AD4"/>
    <w:rsid w:val="007B6F6F"/>
    <w:rsid w:val="007B70A4"/>
    <w:rsid w:val="007B7248"/>
    <w:rsid w:val="007B7531"/>
    <w:rsid w:val="007B754B"/>
    <w:rsid w:val="007B75C4"/>
    <w:rsid w:val="007B7C01"/>
    <w:rsid w:val="007B7C1B"/>
    <w:rsid w:val="007B7C92"/>
    <w:rsid w:val="007C00AB"/>
    <w:rsid w:val="007C100D"/>
    <w:rsid w:val="007C1446"/>
    <w:rsid w:val="007C1C74"/>
    <w:rsid w:val="007C1CDB"/>
    <w:rsid w:val="007C25D3"/>
    <w:rsid w:val="007C28D6"/>
    <w:rsid w:val="007C28ED"/>
    <w:rsid w:val="007C2A95"/>
    <w:rsid w:val="007C2C75"/>
    <w:rsid w:val="007C2E06"/>
    <w:rsid w:val="007C2E3B"/>
    <w:rsid w:val="007C32AB"/>
    <w:rsid w:val="007C3365"/>
    <w:rsid w:val="007C3818"/>
    <w:rsid w:val="007C48D5"/>
    <w:rsid w:val="007C4B12"/>
    <w:rsid w:val="007C4F7B"/>
    <w:rsid w:val="007C5359"/>
    <w:rsid w:val="007C5769"/>
    <w:rsid w:val="007C58D1"/>
    <w:rsid w:val="007C624E"/>
    <w:rsid w:val="007C6693"/>
    <w:rsid w:val="007C7234"/>
    <w:rsid w:val="007C758A"/>
    <w:rsid w:val="007C762F"/>
    <w:rsid w:val="007C775A"/>
    <w:rsid w:val="007C7AA2"/>
    <w:rsid w:val="007D0793"/>
    <w:rsid w:val="007D0967"/>
    <w:rsid w:val="007D0A3E"/>
    <w:rsid w:val="007D0AEA"/>
    <w:rsid w:val="007D0FAF"/>
    <w:rsid w:val="007D12AA"/>
    <w:rsid w:val="007D20F0"/>
    <w:rsid w:val="007D2D04"/>
    <w:rsid w:val="007D3FF1"/>
    <w:rsid w:val="007D424A"/>
    <w:rsid w:val="007D4E0E"/>
    <w:rsid w:val="007D4E19"/>
    <w:rsid w:val="007D4F23"/>
    <w:rsid w:val="007D60B8"/>
    <w:rsid w:val="007D649F"/>
    <w:rsid w:val="007D70E3"/>
    <w:rsid w:val="007D7368"/>
    <w:rsid w:val="007D7648"/>
    <w:rsid w:val="007D7977"/>
    <w:rsid w:val="007D7ABC"/>
    <w:rsid w:val="007D7DF9"/>
    <w:rsid w:val="007E0153"/>
    <w:rsid w:val="007E01F6"/>
    <w:rsid w:val="007E0287"/>
    <w:rsid w:val="007E09B5"/>
    <w:rsid w:val="007E152A"/>
    <w:rsid w:val="007E17E2"/>
    <w:rsid w:val="007E1E59"/>
    <w:rsid w:val="007E1FB5"/>
    <w:rsid w:val="007E25C9"/>
    <w:rsid w:val="007E26B7"/>
    <w:rsid w:val="007E2BB6"/>
    <w:rsid w:val="007E2F93"/>
    <w:rsid w:val="007E30DA"/>
    <w:rsid w:val="007E3206"/>
    <w:rsid w:val="007E3372"/>
    <w:rsid w:val="007E394A"/>
    <w:rsid w:val="007E3A33"/>
    <w:rsid w:val="007E3DB6"/>
    <w:rsid w:val="007E3F1A"/>
    <w:rsid w:val="007E4368"/>
    <w:rsid w:val="007E4475"/>
    <w:rsid w:val="007E44DE"/>
    <w:rsid w:val="007E44E2"/>
    <w:rsid w:val="007E48EB"/>
    <w:rsid w:val="007E4F22"/>
    <w:rsid w:val="007E5162"/>
    <w:rsid w:val="007E5724"/>
    <w:rsid w:val="007E5831"/>
    <w:rsid w:val="007E597C"/>
    <w:rsid w:val="007E5E68"/>
    <w:rsid w:val="007E600E"/>
    <w:rsid w:val="007E6A23"/>
    <w:rsid w:val="007E763C"/>
    <w:rsid w:val="007E76E6"/>
    <w:rsid w:val="007E7A9C"/>
    <w:rsid w:val="007E7B5F"/>
    <w:rsid w:val="007E7C1C"/>
    <w:rsid w:val="007F0150"/>
    <w:rsid w:val="007F0908"/>
    <w:rsid w:val="007F0C87"/>
    <w:rsid w:val="007F1416"/>
    <w:rsid w:val="007F18EB"/>
    <w:rsid w:val="007F197F"/>
    <w:rsid w:val="007F1D78"/>
    <w:rsid w:val="007F1E3F"/>
    <w:rsid w:val="007F203D"/>
    <w:rsid w:val="007F279B"/>
    <w:rsid w:val="007F29D2"/>
    <w:rsid w:val="007F3297"/>
    <w:rsid w:val="007F3A01"/>
    <w:rsid w:val="007F3CBF"/>
    <w:rsid w:val="007F4078"/>
    <w:rsid w:val="007F40AE"/>
    <w:rsid w:val="007F44F0"/>
    <w:rsid w:val="007F4973"/>
    <w:rsid w:val="007F4F19"/>
    <w:rsid w:val="007F518B"/>
    <w:rsid w:val="007F54FB"/>
    <w:rsid w:val="007F55CE"/>
    <w:rsid w:val="007F5C35"/>
    <w:rsid w:val="007F6309"/>
    <w:rsid w:val="007F6A07"/>
    <w:rsid w:val="007F6E99"/>
    <w:rsid w:val="0080047E"/>
    <w:rsid w:val="008004A7"/>
    <w:rsid w:val="00800F06"/>
    <w:rsid w:val="008014B5"/>
    <w:rsid w:val="00801AD7"/>
    <w:rsid w:val="00801FA1"/>
    <w:rsid w:val="00801FBD"/>
    <w:rsid w:val="0080224E"/>
    <w:rsid w:val="00802D4E"/>
    <w:rsid w:val="00802FDA"/>
    <w:rsid w:val="008033C5"/>
    <w:rsid w:val="0080391E"/>
    <w:rsid w:val="00804239"/>
    <w:rsid w:val="008042DC"/>
    <w:rsid w:val="00804739"/>
    <w:rsid w:val="00804E88"/>
    <w:rsid w:val="00805169"/>
    <w:rsid w:val="008056C2"/>
    <w:rsid w:val="00805780"/>
    <w:rsid w:val="00805B1E"/>
    <w:rsid w:val="00805D20"/>
    <w:rsid w:val="00805F51"/>
    <w:rsid w:val="00806184"/>
    <w:rsid w:val="00806452"/>
    <w:rsid w:val="008065A9"/>
    <w:rsid w:val="008065BC"/>
    <w:rsid w:val="008077C6"/>
    <w:rsid w:val="00807AC3"/>
    <w:rsid w:val="00807E34"/>
    <w:rsid w:val="008100A1"/>
    <w:rsid w:val="0081074D"/>
    <w:rsid w:val="00810CCD"/>
    <w:rsid w:val="0081185D"/>
    <w:rsid w:val="00811A6A"/>
    <w:rsid w:val="008120C0"/>
    <w:rsid w:val="00812A92"/>
    <w:rsid w:val="00812F28"/>
    <w:rsid w:val="0081360C"/>
    <w:rsid w:val="0081392C"/>
    <w:rsid w:val="00813BF3"/>
    <w:rsid w:val="00813C5C"/>
    <w:rsid w:val="008141EB"/>
    <w:rsid w:val="00814653"/>
    <w:rsid w:val="008147F5"/>
    <w:rsid w:val="00814C86"/>
    <w:rsid w:val="00814D3D"/>
    <w:rsid w:val="00814F06"/>
    <w:rsid w:val="0081509F"/>
    <w:rsid w:val="0081540A"/>
    <w:rsid w:val="00815562"/>
    <w:rsid w:val="008155EB"/>
    <w:rsid w:val="00815C46"/>
    <w:rsid w:val="008160BA"/>
    <w:rsid w:val="00816209"/>
    <w:rsid w:val="008162C6"/>
    <w:rsid w:val="00816397"/>
    <w:rsid w:val="00816AC6"/>
    <w:rsid w:val="00816E27"/>
    <w:rsid w:val="00816E38"/>
    <w:rsid w:val="008175DB"/>
    <w:rsid w:val="0081760F"/>
    <w:rsid w:val="008177AE"/>
    <w:rsid w:val="00817929"/>
    <w:rsid w:val="008179C2"/>
    <w:rsid w:val="00817AA8"/>
    <w:rsid w:val="00817B94"/>
    <w:rsid w:val="00820569"/>
    <w:rsid w:val="008206A4"/>
    <w:rsid w:val="008206F1"/>
    <w:rsid w:val="00820C53"/>
    <w:rsid w:val="00820E7E"/>
    <w:rsid w:val="00820F08"/>
    <w:rsid w:val="008214B5"/>
    <w:rsid w:val="00821AD7"/>
    <w:rsid w:val="00821BEE"/>
    <w:rsid w:val="00821D31"/>
    <w:rsid w:val="00821D58"/>
    <w:rsid w:val="00821DD4"/>
    <w:rsid w:val="00822469"/>
    <w:rsid w:val="0082255F"/>
    <w:rsid w:val="00822729"/>
    <w:rsid w:val="008228C1"/>
    <w:rsid w:val="0082332A"/>
    <w:rsid w:val="0082334F"/>
    <w:rsid w:val="008234F5"/>
    <w:rsid w:val="008240E5"/>
    <w:rsid w:val="008241E5"/>
    <w:rsid w:val="00824510"/>
    <w:rsid w:val="00824558"/>
    <w:rsid w:val="008249DE"/>
    <w:rsid w:val="00824A3F"/>
    <w:rsid w:val="008250B1"/>
    <w:rsid w:val="008250BD"/>
    <w:rsid w:val="0082527C"/>
    <w:rsid w:val="0082565F"/>
    <w:rsid w:val="008265BB"/>
    <w:rsid w:val="00826813"/>
    <w:rsid w:val="00826A26"/>
    <w:rsid w:val="00826AF5"/>
    <w:rsid w:val="008277CE"/>
    <w:rsid w:val="00827914"/>
    <w:rsid w:val="00827C85"/>
    <w:rsid w:val="00827D36"/>
    <w:rsid w:val="008301B4"/>
    <w:rsid w:val="008307BB"/>
    <w:rsid w:val="00830AF4"/>
    <w:rsid w:val="00830F0A"/>
    <w:rsid w:val="008310C7"/>
    <w:rsid w:val="0083154C"/>
    <w:rsid w:val="00831C26"/>
    <w:rsid w:val="00831E3F"/>
    <w:rsid w:val="00831F1B"/>
    <w:rsid w:val="00832247"/>
    <w:rsid w:val="0083254A"/>
    <w:rsid w:val="00832626"/>
    <w:rsid w:val="00832967"/>
    <w:rsid w:val="00832CAC"/>
    <w:rsid w:val="00832CD6"/>
    <w:rsid w:val="00832FE5"/>
    <w:rsid w:val="00833254"/>
    <w:rsid w:val="008336F6"/>
    <w:rsid w:val="008338C1"/>
    <w:rsid w:val="00834103"/>
    <w:rsid w:val="00834216"/>
    <w:rsid w:val="008342A0"/>
    <w:rsid w:val="008343C3"/>
    <w:rsid w:val="00834BAD"/>
    <w:rsid w:val="00834BF4"/>
    <w:rsid w:val="00835580"/>
    <w:rsid w:val="008356CB"/>
    <w:rsid w:val="0083643E"/>
    <w:rsid w:val="008365B9"/>
    <w:rsid w:val="00837138"/>
    <w:rsid w:val="008378E6"/>
    <w:rsid w:val="00837B67"/>
    <w:rsid w:val="00837DE2"/>
    <w:rsid w:val="00837ED2"/>
    <w:rsid w:val="00840A6F"/>
    <w:rsid w:val="00840EFB"/>
    <w:rsid w:val="00841548"/>
    <w:rsid w:val="008416D9"/>
    <w:rsid w:val="00841C57"/>
    <w:rsid w:val="00841E04"/>
    <w:rsid w:val="00841F57"/>
    <w:rsid w:val="00842227"/>
    <w:rsid w:val="008425F0"/>
    <w:rsid w:val="0084294A"/>
    <w:rsid w:val="00842DFA"/>
    <w:rsid w:val="00842F2D"/>
    <w:rsid w:val="00843413"/>
    <w:rsid w:val="00843762"/>
    <w:rsid w:val="00843C32"/>
    <w:rsid w:val="00843FB9"/>
    <w:rsid w:val="00844103"/>
    <w:rsid w:val="0084429A"/>
    <w:rsid w:val="008452D2"/>
    <w:rsid w:val="008456F2"/>
    <w:rsid w:val="00845A1A"/>
    <w:rsid w:val="0084631F"/>
    <w:rsid w:val="008475F8"/>
    <w:rsid w:val="0084770D"/>
    <w:rsid w:val="00847745"/>
    <w:rsid w:val="00847C2C"/>
    <w:rsid w:val="00847CCA"/>
    <w:rsid w:val="00847DA1"/>
    <w:rsid w:val="0085006E"/>
    <w:rsid w:val="00850A66"/>
    <w:rsid w:val="00850D1E"/>
    <w:rsid w:val="008511A7"/>
    <w:rsid w:val="00851579"/>
    <w:rsid w:val="0085158B"/>
    <w:rsid w:val="008517F3"/>
    <w:rsid w:val="008518A6"/>
    <w:rsid w:val="008521BA"/>
    <w:rsid w:val="008524CF"/>
    <w:rsid w:val="00852604"/>
    <w:rsid w:val="008528AE"/>
    <w:rsid w:val="008528CB"/>
    <w:rsid w:val="008529A1"/>
    <w:rsid w:val="00853399"/>
    <w:rsid w:val="008538E4"/>
    <w:rsid w:val="00853DA8"/>
    <w:rsid w:val="00854199"/>
    <w:rsid w:val="008543E9"/>
    <w:rsid w:val="0085477C"/>
    <w:rsid w:val="008547BB"/>
    <w:rsid w:val="00854850"/>
    <w:rsid w:val="00854D79"/>
    <w:rsid w:val="00855430"/>
    <w:rsid w:val="00855665"/>
    <w:rsid w:val="00855BF5"/>
    <w:rsid w:val="008562A6"/>
    <w:rsid w:val="008562E8"/>
    <w:rsid w:val="00856438"/>
    <w:rsid w:val="00856AD5"/>
    <w:rsid w:val="00857575"/>
    <w:rsid w:val="00857612"/>
    <w:rsid w:val="008576FA"/>
    <w:rsid w:val="00857F85"/>
    <w:rsid w:val="00860B80"/>
    <w:rsid w:val="008610A0"/>
    <w:rsid w:val="00862658"/>
    <w:rsid w:val="0086284E"/>
    <w:rsid w:val="00862E52"/>
    <w:rsid w:val="008633CC"/>
    <w:rsid w:val="00863639"/>
    <w:rsid w:val="00863667"/>
    <w:rsid w:val="008646B0"/>
    <w:rsid w:val="00864B45"/>
    <w:rsid w:val="00864C95"/>
    <w:rsid w:val="00864EDE"/>
    <w:rsid w:val="00865566"/>
    <w:rsid w:val="0086615C"/>
    <w:rsid w:val="00866A49"/>
    <w:rsid w:val="00866A8C"/>
    <w:rsid w:val="00866FCC"/>
    <w:rsid w:val="00867160"/>
    <w:rsid w:val="008674C3"/>
    <w:rsid w:val="00867F3B"/>
    <w:rsid w:val="00867FB4"/>
    <w:rsid w:val="00870927"/>
    <w:rsid w:val="00870A6B"/>
    <w:rsid w:val="00870B7B"/>
    <w:rsid w:val="008712FF"/>
    <w:rsid w:val="008719B5"/>
    <w:rsid w:val="00871C1F"/>
    <w:rsid w:val="00871EAD"/>
    <w:rsid w:val="00872573"/>
    <w:rsid w:val="0087262F"/>
    <w:rsid w:val="00872680"/>
    <w:rsid w:val="008726DC"/>
    <w:rsid w:val="00872862"/>
    <w:rsid w:val="00872A64"/>
    <w:rsid w:val="00872D87"/>
    <w:rsid w:val="00872E1E"/>
    <w:rsid w:val="00872F75"/>
    <w:rsid w:val="0087304C"/>
    <w:rsid w:val="008731FE"/>
    <w:rsid w:val="00873987"/>
    <w:rsid w:val="00873A14"/>
    <w:rsid w:val="00873AD8"/>
    <w:rsid w:val="0087460A"/>
    <w:rsid w:val="00874805"/>
    <w:rsid w:val="00874C13"/>
    <w:rsid w:val="00874C42"/>
    <w:rsid w:val="00875143"/>
    <w:rsid w:val="008754F9"/>
    <w:rsid w:val="0087563A"/>
    <w:rsid w:val="008756CF"/>
    <w:rsid w:val="0087573E"/>
    <w:rsid w:val="008759DB"/>
    <w:rsid w:val="00875CBA"/>
    <w:rsid w:val="00876093"/>
    <w:rsid w:val="0087663F"/>
    <w:rsid w:val="00876A2F"/>
    <w:rsid w:val="008771CB"/>
    <w:rsid w:val="00877EA3"/>
    <w:rsid w:val="00877EE9"/>
    <w:rsid w:val="00877EEF"/>
    <w:rsid w:val="00877F8D"/>
    <w:rsid w:val="00880100"/>
    <w:rsid w:val="0088074A"/>
    <w:rsid w:val="008808DE"/>
    <w:rsid w:val="0088093C"/>
    <w:rsid w:val="00880B55"/>
    <w:rsid w:val="00881271"/>
    <w:rsid w:val="00881434"/>
    <w:rsid w:val="00881FD4"/>
    <w:rsid w:val="0088218F"/>
    <w:rsid w:val="008821B4"/>
    <w:rsid w:val="0088227A"/>
    <w:rsid w:val="0088241F"/>
    <w:rsid w:val="00882638"/>
    <w:rsid w:val="00882A8A"/>
    <w:rsid w:val="00882BFF"/>
    <w:rsid w:val="00882D48"/>
    <w:rsid w:val="00882DC2"/>
    <w:rsid w:val="00882EE1"/>
    <w:rsid w:val="008830DB"/>
    <w:rsid w:val="00883147"/>
    <w:rsid w:val="0088336E"/>
    <w:rsid w:val="008834F5"/>
    <w:rsid w:val="00883A1F"/>
    <w:rsid w:val="00884278"/>
    <w:rsid w:val="00884B70"/>
    <w:rsid w:val="00884F82"/>
    <w:rsid w:val="00885442"/>
    <w:rsid w:val="0088579F"/>
    <w:rsid w:val="00885B97"/>
    <w:rsid w:val="00885C0E"/>
    <w:rsid w:val="00885FEE"/>
    <w:rsid w:val="00885FF1"/>
    <w:rsid w:val="00886130"/>
    <w:rsid w:val="00886445"/>
    <w:rsid w:val="00886731"/>
    <w:rsid w:val="00886E30"/>
    <w:rsid w:val="008872C0"/>
    <w:rsid w:val="0088763C"/>
    <w:rsid w:val="008876D2"/>
    <w:rsid w:val="008877BB"/>
    <w:rsid w:val="008879EF"/>
    <w:rsid w:val="00887C62"/>
    <w:rsid w:val="00887DDD"/>
    <w:rsid w:val="0089003D"/>
    <w:rsid w:val="00890189"/>
    <w:rsid w:val="008901F6"/>
    <w:rsid w:val="008905B4"/>
    <w:rsid w:val="008909DE"/>
    <w:rsid w:val="00890B19"/>
    <w:rsid w:val="00890BE7"/>
    <w:rsid w:val="00890F1E"/>
    <w:rsid w:val="00891471"/>
    <w:rsid w:val="008914BC"/>
    <w:rsid w:val="00891962"/>
    <w:rsid w:val="00891BE0"/>
    <w:rsid w:val="00891DCF"/>
    <w:rsid w:val="008920D3"/>
    <w:rsid w:val="00892ACE"/>
    <w:rsid w:val="00892AF5"/>
    <w:rsid w:val="00892B43"/>
    <w:rsid w:val="00893BAD"/>
    <w:rsid w:val="00893E01"/>
    <w:rsid w:val="0089470C"/>
    <w:rsid w:val="00894734"/>
    <w:rsid w:val="00894A0B"/>
    <w:rsid w:val="00894B81"/>
    <w:rsid w:val="00895290"/>
    <w:rsid w:val="00895D91"/>
    <w:rsid w:val="00895DAF"/>
    <w:rsid w:val="008962D9"/>
    <w:rsid w:val="00896670"/>
    <w:rsid w:val="00896684"/>
    <w:rsid w:val="0089670D"/>
    <w:rsid w:val="008969F5"/>
    <w:rsid w:val="00896EE6"/>
    <w:rsid w:val="008973B7"/>
    <w:rsid w:val="008A0467"/>
    <w:rsid w:val="008A065D"/>
    <w:rsid w:val="008A0AA7"/>
    <w:rsid w:val="008A0B0D"/>
    <w:rsid w:val="008A0CE9"/>
    <w:rsid w:val="008A119C"/>
    <w:rsid w:val="008A1E22"/>
    <w:rsid w:val="008A2709"/>
    <w:rsid w:val="008A29B6"/>
    <w:rsid w:val="008A2FCD"/>
    <w:rsid w:val="008A345C"/>
    <w:rsid w:val="008A3C06"/>
    <w:rsid w:val="008A3E7E"/>
    <w:rsid w:val="008A4387"/>
    <w:rsid w:val="008A452E"/>
    <w:rsid w:val="008A5284"/>
    <w:rsid w:val="008A54A4"/>
    <w:rsid w:val="008A57E1"/>
    <w:rsid w:val="008A591A"/>
    <w:rsid w:val="008A6043"/>
    <w:rsid w:val="008A6047"/>
    <w:rsid w:val="008A676A"/>
    <w:rsid w:val="008A7591"/>
    <w:rsid w:val="008A77FD"/>
    <w:rsid w:val="008A7FCC"/>
    <w:rsid w:val="008B004B"/>
    <w:rsid w:val="008B018A"/>
    <w:rsid w:val="008B01B6"/>
    <w:rsid w:val="008B0BFF"/>
    <w:rsid w:val="008B1002"/>
    <w:rsid w:val="008B15F8"/>
    <w:rsid w:val="008B1DEB"/>
    <w:rsid w:val="008B1EA7"/>
    <w:rsid w:val="008B1FB9"/>
    <w:rsid w:val="008B2193"/>
    <w:rsid w:val="008B2231"/>
    <w:rsid w:val="008B2530"/>
    <w:rsid w:val="008B26D6"/>
    <w:rsid w:val="008B2E45"/>
    <w:rsid w:val="008B3599"/>
    <w:rsid w:val="008B3911"/>
    <w:rsid w:val="008B430B"/>
    <w:rsid w:val="008B481F"/>
    <w:rsid w:val="008B5102"/>
    <w:rsid w:val="008B57D5"/>
    <w:rsid w:val="008B585F"/>
    <w:rsid w:val="008B5865"/>
    <w:rsid w:val="008B5AEA"/>
    <w:rsid w:val="008B5B54"/>
    <w:rsid w:val="008B6550"/>
    <w:rsid w:val="008B6A16"/>
    <w:rsid w:val="008B7062"/>
    <w:rsid w:val="008B7067"/>
    <w:rsid w:val="008B7A86"/>
    <w:rsid w:val="008B7F4A"/>
    <w:rsid w:val="008B7F63"/>
    <w:rsid w:val="008C066B"/>
    <w:rsid w:val="008C06B7"/>
    <w:rsid w:val="008C06C7"/>
    <w:rsid w:val="008C06F6"/>
    <w:rsid w:val="008C0B1A"/>
    <w:rsid w:val="008C0CF3"/>
    <w:rsid w:val="008C0DCE"/>
    <w:rsid w:val="008C0EF1"/>
    <w:rsid w:val="008C0FF7"/>
    <w:rsid w:val="008C12B1"/>
    <w:rsid w:val="008C2234"/>
    <w:rsid w:val="008C2245"/>
    <w:rsid w:val="008C2286"/>
    <w:rsid w:val="008C22AC"/>
    <w:rsid w:val="008C2C39"/>
    <w:rsid w:val="008C2CE2"/>
    <w:rsid w:val="008C2FDB"/>
    <w:rsid w:val="008C3053"/>
    <w:rsid w:val="008C3800"/>
    <w:rsid w:val="008C3A08"/>
    <w:rsid w:val="008C3C6D"/>
    <w:rsid w:val="008C3DF8"/>
    <w:rsid w:val="008C4ABA"/>
    <w:rsid w:val="008C4B04"/>
    <w:rsid w:val="008C4C28"/>
    <w:rsid w:val="008C4C64"/>
    <w:rsid w:val="008C4DB2"/>
    <w:rsid w:val="008C4EC2"/>
    <w:rsid w:val="008C4F25"/>
    <w:rsid w:val="008C5BF4"/>
    <w:rsid w:val="008C6733"/>
    <w:rsid w:val="008C683B"/>
    <w:rsid w:val="008C69EB"/>
    <w:rsid w:val="008C6A8A"/>
    <w:rsid w:val="008C6FCD"/>
    <w:rsid w:val="008C71E3"/>
    <w:rsid w:val="008C7225"/>
    <w:rsid w:val="008C7274"/>
    <w:rsid w:val="008C73D5"/>
    <w:rsid w:val="008C7561"/>
    <w:rsid w:val="008C7793"/>
    <w:rsid w:val="008C7D5E"/>
    <w:rsid w:val="008C7DB6"/>
    <w:rsid w:val="008D0220"/>
    <w:rsid w:val="008D0236"/>
    <w:rsid w:val="008D023C"/>
    <w:rsid w:val="008D074A"/>
    <w:rsid w:val="008D0D08"/>
    <w:rsid w:val="008D112E"/>
    <w:rsid w:val="008D13BF"/>
    <w:rsid w:val="008D1718"/>
    <w:rsid w:val="008D19F4"/>
    <w:rsid w:val="008D22B4"/>
    <w:rsid w:val="008D27F6"/>
    <w:rsid w:val="008D2E6D"/>
    <w:rsid w:val="008D2F4C"/>
    <w:rsid w:val="008D34F4"/>
    <w:rsid w:val="008D3751"/>
    <w:rsid w:val="008D382C"/>
    <w:rsid w:val="008D3923"/>
    <w:rsid w:val="008D392C"/>
    <w:rsid w:val="008D459F"/>
    <w:rsid w:val="008D4762"/>
    <w:rsid w:val="008D4892"/>
    <w:rsid w:val="008D4A42"/>
    <w:rsid w:val="008D4B79"/>
    <w:rsid w:val="008D4DF6"/>
    <w:rsid w:val="008D4F8E"/>
    <w:rsid w:val="008D4FC8"/>
    <w:rsid w:val="008D56AA"/>
    <w:rsid w:val="008D5C7B"/>
    <w:rsid w:val="008D61D7"/>
    <w:rsid w:val="008D63DB"/>
    <w:rsid w:val="008D648D"/>
    <w:rsid w:val="008D6713"/>
    <w:rsid w:val="008D69DE"/>
    <w:rsid w:val="008D70AF"/>
    <w:rsid w:val="008E03CB"/>
    <w:rsid w:val="008E0418"/>
    <w:rsid w:val="008E0940"/>
    <w:rsid w:val="008E1222"/>
    <w:rsid w:val="008E1330"/>
    <w:rsid w:val="008E1643"/>
    <w:rsid w:val="008E1B8E"/>
    <w:rsid w:val="008E2395"/>
    <w:rsid w:val="008E2985"/>
    <w:rsid w:val="008E2E4F"/>
    <w:rsid w:val="008E359A"/>
    <w:rsid w:val="008E3F5E"/>
    <w:rsid w:val="008E484B"/>
    <w:rsid w:val="008E493B"/>
    <w:rsid w:val="008E5007"/>
    <w:rsid w:val="008E536D"/>
    <w:rsid w:val="008E592E"/>
    <w:rsid w:val="008E5990"/>
    <w:rsid w:val="008E5CE1"/>
    <w:rsid w:val="008E5F98"/>
    <w:rsid w:val="008E69DC"/>
    <w:rsid w:val="008E6A10"/>
    <w:rsid w:val="008E6DD3"/>
    <w:rsid w:val="008E6EF0"/>
    <w:rsid w:val="008E7B5C"/>
    <w:rsid w:val="008E7BE9"/>
    <w:rsid w:val="008F0612"/>
    <w:rsid w:val="008F070C"/>
    <w:rsid w:val="008F07C4"/>
    <w:rsid w:val="008F10C6"/>
    <w:rsid w:val="008F13E1"/>
    <w:rsid w:val="008F14CD"/>
    <w:rsid w:val="008F1613"/>
    <w:rsid w:val="008F1CF5"/>
    <w:rsid w:val="008F1DFD"/>
    <w:rsid w:val="008F1E7E"/>
    <w:rsid w:val="008F21A5"/>
    <w:rsid w:val="008F22ED"/>
    <w:rsid w:val="008F26DA"/>
    <w:rsid w:val="008F2AB5"/>
    <w:rsid w:val="008F2FF2"/>
    <w:rsid w:val="008F3216"/>
    <w:rsid w:val="008F3641"/>
    <w:rsid w:val="008F375D"/>
    <w:rsid w:val="008F3A18"/>
    <w:rsid w:val="008F3FDD"/>
    <w:rsid w:val="008F4289"/>
    <w:rsid w:val="008F497A"/>
    <w:rsid w:val="008F5238"/>
    <w:rsid w:val="008F55D4"/>
    <w:rsid w:val="008F57B7"/>
    <w:rsid w:val="008F5A24"/>
    <w:rsid w:val="008F5D8D"/>
    <w:rsid w:val="008F6102"/>
    <w:rsid w:val="008F6881"/>
    <w:rsid w:val="008F764F"/>
    <w:rsid w:val="008F76A0"/>
    <w:rsid w:val="008F7D39"/>
    <w:rsid w:val="008F7D42"/>
    <w:rsid w:val="00900001"/>
    <w:rsid w:val="00900287"/>
    <w:rsid w:val="00900DFB"/>
    <w:rsid w:val="00901613"/>
    <w:rsid w:val="0090161B"/>
    <w:rsid w:val="009019A1"/>
    <w:rsid w:val="00901AF7"/>
    <w:rsid w:val="009021C9"/>
    <w:rsid w:val="009026C7"/>
    <w:rsid w:val="00902AE1"/>
    <w:rsid w:val="0090303E"/>
    <w:rsid w:val="0090346B"/>
    <w:rsid w:val="00903727"/>
    <w:rsid w:val="009037AA"/>
    <w:rsid w:val="00903A26"/>
    <w:rsid w:val="00903EAD"/>
    <w:rsid w:val="00903F10"/>
    <w:rsid w:val="00903F7F"/>
    <w:rsid w:val="009048D3"/>
    <w:rsid w:val="009048FD"/>
    <w:rsid w:val="00904CFE"/>
    <w:rsid w:val="00905226"/>
    <w:rsid w:val="0090564D"/>
    <w:rsid w:val="0090569F"/>
    <w:rsid w:val="00905B96"/>
    <w:rsid w:val="00906337"/>
    <w:rsid w:val="00906702"/>
    <w:rsid w:val="009067A5"/>
    <w:rsid w:val="009068C7"/>
    <w:rsid w:val="00906ED9"/>
    <w:rsid w:val="009070EA"/>
    <w:rsid w:val="00907166"/>
    <w:rsid w:val="0090793A"/>
    <w:rsid w:val="00907CD2"/>
    <w:rsid w:val="00910110"/>
    <w:rsid w:val="009104AD"/>
    <w:rsid w:val="009105E9"/>
    <w:rsid w:val="00910727"/>
    <w:rsid w:val="00910744"/>
    <w:rsid w:val="009108CE"/>
    <w:rsid w:val="009111DD"/>
    <w:rsid w:val="00911266"/>
    <w:rsid w:val="009115EA"/>
    <w:rsid w:val="00911C75"/>
    <w:rsid w:val="00911E8D"/>
    <w:rsid w:val="00912415"/>
    <w:rsid w:val="0091265B"/>
    <w:rsid w:val="00912C14"/>
    <w:rsid w:val="00912FB6"/>
    <w:rsid w:val="0091329B"/>
    <w:rsid w:val="00913315"/>
    <w:rsid w:val="009138AB"/>
    <w:rsid w:val="0091398F"/>
    <w:rsid w:val="00913B3F"/>
    <w:rsid w:val="00913FD0"/>
    <w:rsid w:val="00914278"/>
    <w:rsid w:val="0091437F"/>
    <w:rsid w:val="009144C3"/>
    <w:rsid w:val="00914DAD"/>
    <w:rsid w:val="00915815"/>
    <w:rsid w:val="009159BA"/>
    <w:rsid w:val="00916535"/>
    <w:rsid w:val="00916560"/>
    <w:rsid w:val="009168CA"/>
    <w:rsid w:val="00916CFF"/>
    <w:rsid w:val="00916F55"/>
    <w:rsid w:val="00917348"/>
    <w:rsid w:val="0091795B"/>
    <w:rsid w:val="00917A4B"/>
    <w:rsid w:val="00917FBC"/>
    <w:rsid w:val="0092005E"/>
    <w:rsid w:val="009202AF"/>
    <w:rsid w:val="009202B0"/>
    <w:rsid w:val="009204FE"/>
    <w:rsid w:val="0092073E"/>
    <w:rsid w:val="00920C8C"/>
    <w:rsid w:val="00920D18"/>
    <w:rsid w:val="00920D8A"/>
    <w:rsid w:val="00920E87"/>
    <w:rsid w:val="00920EC2"/>
    <w:rsid w:val="009218DF"/>
    <w:rsid w:val="00921FE1"/>
    <w:rsid w:val="009221F3"/>
    <w:rsid w:val="009224CF"/>
    <w:rsid w:val="00922777"/>
    <w:rsid w:val="00922922"/>
    <w:rsid w:val="00922D4D"/>
    <w:rsid w:val="00922D62"/>
    <w:rsid w:val="00922DA4"/>
    <w:rsid w:val="00922F0C"/>
    <w:rsid w:val="00923720"/>
    <w:rsid w:val="0092377F"/>
    <w:rsid w:val="009239F7"/>
    <w:rsid w:val="00923F74"/>
    <w:rsid w:val="009243BC"/>
    <w:rsid w:val="009245DD"/>
    <w:rsid w:val="00924725"/>
    <w:rsid w:val="00925361"/>
    <w:rsid w:val="009253CD"/>
    <w:rsid w:val="009255EC"/>
    <w:rsid w:val="00925AF0"/>
    <w:rsid w:val="00925B5B"/>
    <w:rsid w:val="0092643D"/>
    <w:rsid w:val="00926C87"/>
    <w:rsid w:val="00926F75"/>
    <w:rsid w:val="009277A8"/>
    <w:rsid w:val="009278FE"/>
    <w:rsid w:val="00927D09"/>
    <w:rsid w:val="00927F1D"/>
    <w:rsid w:val="00927F28"/>
    <w:rsid w:val="00927FB3"/>
    <w:rsid w:val="009304F2"/>
    <w:rsid w:val="00930F33"/>
    <w:rsid w:val="009310A3"/>
    <w:rsid w:val="009312F1"/>
    <w:rsid w:val="00931714"/>
    <w:rsid w:val="00931B7C"/>
    <w:rsid w:val="00931BAD"/>
    <w:rsid w:val="00931DD8"/>
    <w:rsid w:val="00932191"/>
    <w:rsid w:val="00932616"/>
    <w:rsid w:val="009336E1"/>
    <w:rsid w:val="009337AB"/>
    <w:rsid w:val="009337CD"/>
    <w:rsid w:val="0093387D"/>
    <w:rsid w:val="009339CF"/>
    <w:rsid w:val="00933CF3"/>
    <w:rsid w:val="00933F33"/>
    <w:rsid w:val="0093492D"/>
    <w:rsid w:val="00934B21"/>
    <w:rsid w:val="00934BA5"/>
    <w:rsid w:val="009350EB"/>
    <w:rsid w:val="009351BE"/>
    <w:rsid w:val="0093527F"/>
    <w:rsid w:val="009358EA"/>
    <w:rsid w:val="00935E53"/>
    <w:rsid w:val="009362D3"/>
    <w:rsid w:val="00936344"/>
    <w:rsid w:val="00936626"/>
    <w:rsid w:val="0093684A"/>
    <w:rsid w:val="00936B2B"/>
    <w:rsid w:val="00936B9B"/>
    <w:rsid w:val="00936C0D"/>
    <w:rsid w:val="00936EB1"/>
    <w:rsid w:val="00936EE3"/>
    <w:rsid w:val="00936F5E"/>
    <w:rsid w:val="00937302"/>
    <w:rsid w:val="0093797F"/>
    <w:rsid w:val="00940A4F"/>
    <w:rsid w:val="00941369"/>
    <w:rsid w:val="009415A7"/>
    <w:rsid w:val="00941BB0"/>
    <w:rsid w:val="00942360"/>
    <w:rsid w:val="009426D4"/>
    <w:rsid w:val="0094284C"/>
    <w:rsid w:val="00942859"/>
    <w:rsid w:val="00942A46"/>
    <w:rsid w:val="00942F98"/>
    <w:rsid w:val="00943048"/>
    <w:rsid w:val="009434B1"/>
    <w:rsid w:val="009437AC"/>
    <w:rsid w:val="009437C9"/>
    <w:rsid w:val="0094381F"/>
    <w:rsid w:val="00943A52"/>
    <w:rsid w:val="00943D52"/>
    <w:rsid w:val="00944124"/>
    <w:rsid w:val="00944228"/>
    <w:rsid w:val="00944DC5"/>
    <w:rsid w:val="00944EC2"/>
    <w:rsid w:val="00944EC9"/>
    <w:rsid w:val="009460F1"/>
    <w:rsid w:val="009468C7"/>
    <w:rsid w:val="00946C03"/>
    <w:rsid w:val="0094722C"/>
    <w:rsid w:val="00947322"/>
    <w:rsid w:val="009476E2"/>
    <w:rsid w:val="00947C65"/>
    <w:rsid w:val="00947E69"/>
    <w:rsid w:val="0095083E"/>
    <w:rsid w:val="00950B75"/>
    <w:rsid w:val="009510BD"/>
    <w:rsid w:val="009510FC"/>
    <w:rsid w:val="00951189"/>
    <w:rsid w:val="009512A4"/>
    <w:rsid w:val="00951474"/>
    <w:rsid w:val="00951936"/>
    <w:rsid w:val="00951DED"/>
    <w:rsid w:val="00952845"/>
    <w:rsid w:val="00952EA0"/>
    <w:rsid w:val="00952F7E"/>
    <w:rsid w:val="00953201"/>
    <w:rsid w:val="009537AC"/>
    <w:rsid w:val="00953834"/>
    <w:rsid w:val="009543AB"/>
    <w:rsid w:val="00954A00"/>
    <w:rsid w:val="00954A93"/>
    <w:rsid w:val="0095565B"/>
    <w:rsid w:val="009557CD"/>
    <w:rsid w:val="00955B98"/>
    <w:rsid w:val="00955CF4"/>
    <w:rsid w:val="009563E9"/>
    <w:rsid w:val="0095647B"/>
    <w:rsid w:val="0095651F"/>
    <w:rsid w:val="00956A34"/>
    <w:rsid w:val="009570ED"/>
    <w:rsid w:val="0095714B"/>
    <w:rsid w:val="00957585"/>
    <w:rsid w:val="00957D59"/>
    <w:rsid w:val="009600AF"/>
    <w:rsid w:val="0096020E"/>
    <w:rsid w:val="0096029C"/>
    <w:rsid w:val="009605CB"/>
    <w:rsid w:val="00960D8D"/>
    <w:rsid w:val="00960F16"/>
    <w:rsid w:val="00960FC0"/>
    <w:rsid w:val="00961077"/>
    <w:rsid w:val="00961811"/>
    <w:rsid w:val="009618B0"/>
    <w:rsid w:val="00961B0B"/>
    <w:rsid w:val="00961B35"/>
    <w:rsid w:val="00961C93"/>
    <w:rsid w:val="00962162"/>
    <w:rsid w:val="00962560"/>
    <w:rsid w:val="009625B9"/>
    <w:rsid w:val="009625D7"/>
    <w:rsid w:val="00962BDA"/>
    <w:rsid w:val="00962D58"/>
    <w:rsid w:val="009631B5"/>
    <w:rsid w:val="009632AA"/>
    <w:rsid w:val="00963B29"/>
    <w:rsid w:val="00963EEC"/>
    <w:rsid w:val="00963EF0"/>
    <w:rsid w:val="00964190"/>
    <w:rsid w:val="009649A1"/>
    <w:rsid w:val="009655A2"/>
    <w:rsid w:val="00965674"/>
    <w:rsid w:val="009659C3"/>
    <w:rsid w:val="00965DF9"/>
    <w:rsid w:val="009664E9"/>
    <w:rsid w:val="009666F2"/>
    <w:rsid w:val="00967185"/>
    <w:rsid w:val="0096721E"/>
    <w:rsid w:val="0096740B"/>
    <w:rsid w:val="00967DC0"/>
    <w:rsid w:val="009701A8"/>
    <w:rsid w:val="00970A65"/>
    <w:rsid w:val="00970D49"/>
    <w:rsid w:val="009710E8"/>
    <w:rsid w:val="009710FF"/>
    <w:rsid w:val="009715C0"/>
    <w:rsid w:val="0097196B"/>
    <w:rsid w:val="00972242"/>
    <w:rsid w:val="009723BE"/>
    <w:rsid w:val="0097244B"/>
    <w:rsid w:val="00972FAE"/>
    <w:rsid w:val="00973553"/>
    <w:rsid w:val="00973887"/>
    <w:rsid w:val="00973B61"/>
    <w:rsid w:val="00973BCA"/>
    <w:rsid w:val="00973DE9"/>
    <w:rsid w:val="00973FC4"/>
    <w:rsid w:val="00974309"/>
    <w:rsid w:val="00974771"/>
    <w:rsid w:val="009748AF"/>
    <w:rsid w:val="00974A97"/>
    <w:rsid w:val="00974B65"/>
    <w:rsid w:val="00974C17"/>
    <w:rsid w:val="00974C6C"/>
    <w:rsid w:val="009752D2"/>
    <w:rsid w:val="00975661"/>
    <w:rsid w:val="00975853"/>
    <w:rsid w:val="00975A12"/>
    <w:rsid w:val="00975C02"/>
    <w:rsid w:val="00975CD2"/>
    <w:rsid w:val="00976011"/>
    <w:rsid w:val="009762E0"/>
    <w:rsid w:val="00976806"/>
    <w:rsid w:val="00976954"/>
    <w:rsid w:val="009769AD"/>
    <w:rsid w:val="009775D5"/>
    <w:rsid w:val="00977A04"/>
    <w:rsid w:val="00977A2C"/>
    <w:rsid w:val="0098008E"/>
    <w:rsid w:val="00980642"/>
    <w:rsid w:val="009807CA"/>
    <w:rsid w:val="00980D5A"/>
    <w:rsid w:val="0098162F"/>
    <w:rsid w:val="00981697"/>
    <w:rsid w:val="009816DF"/>
    <w:rsid w:val="00981704"/>
    <w:rsid w:val="00981987"/>
    <w:rsid w:val="00981DCA"/>
    <w:rsid w:val="00981F14"/>
    <w:rsid w:val="00981F2D"/>
    <w:rsid w:val="009828FD"/>
    <w:rsid w:val="009829B2"/>
    <w:rsid w:val="00983799"/>
    <w:rsid w:val="009841EE"/>
    <w:rsid w:val="00984255"/>
    <w:rsid w:val="0098484F"/>
    <w:rsid w:val="009849EE"/>
    <w:rsid w:val="00985037"/>
    <w:rsid w:val="00985250"/>
    <w:rsid w:val="009852BC"/>
    <w:rsid w:val="00985573"/>
    <w:rsid w:val="00985580"/>
    <w:rsid w:val="00985CBA"/>
    <w:rsid w:val="009863E7"/>
    <w:rsid w:val="009864A7"/>
    <w:rsid w:val="00986630"/>
    <w:rsid w:val="009867D4"/>
    <w:rsid w:val="0098760A"/>
    <w:rsid w:val="00987929"/>
    <w:rsid w:val="00990823"/>
    <w:rsid w:val="00990A17"/>
    <w:rsid w:val="00990A73"/>
    <w:rsid w:val="00990C34"/>
    <w:rsid w:val="0099161A"/>
    <w:rsid w:val="00991844"/>
    <w:rsid w:val="00991A62"/>
    <w:rsid w:val="00991C7D"/>
    <w:rsid w:val="00991FD2"/>
    <w:rsid w:val="009924DC"/>
    <w:rsid w:val="009924EA"/>
    <w:rsid w:val="0099269D"/>
    <w:rsid w:val="009927DD"/>
    <w:rsid w:val="00992908"/>
    <w:rsid w:val="009929E8"/>
    <w:rsid w:val="00992D09"/>
    <w:rsid w:val="009931A8"/>
    <w:rsid w:val="00993533"/>
    <w:rsid w:val="0099383B"/>
    <w:rsid w:val="00993860"/>
    <w:rsid w:val="00993CF3"/>
    <w:rsid w:val="0099410C"/>
    <w:rsid w:val="009942FD"/>
    <w:rsid w:val="009945B0"/>
    <w:rsid w:val="00994F8B"/>
    <w:rsid w:val="0099574E"/>
    <w:rsid w:val="00995ACE"/>
    <w:rsid w:val="00995F8B"/>
    <w:rsid w:val="00996203"/>
    <w:rsid w:val="00996FF6"/>
    <w:rsid w:val="00997531"/>
    <w:rsid w:val="009A0093"/>
    <w:rsid w:val="009A0148"/>
    <w:rsid w:val="009A03DA"/>
    <w:rsid w:val="009A0A03"/>
    <w:rsid w:val="009A0B24"/>
    <w:rsid w:val="009A0E29"/>
    <w:rsid w:val="009A1015"/>
    <w:rsid w:val="009A1162"/>
    <w:rsid w:val="009A1885"/>
    <w:rsid w:val="009A1B40"/>
    <w:rsid w:val="009A1C72"/>
    <w:rsid w:val="009A1CB2"/>
    <w:rsid w:val="009A2377"/>
    <w:rsid w:val="009A24FF"/>
    <w:rsid w:val="009A2551"/>
    <w:rsid w:val="009A27AA"/>
    <w:rsid w:val="009A2F8F"/>
    <w:rsid w:val="009A35EC"/>
    <w:rsid w:val="009A3B01"/>
    <w:rsid w:val="009A3B5B"/>
    <w:rsid w:val="009A3D7F"/>
    <w:rsid w:val="009A3E82"/>
    <w:rsid w:val="009A4689"/>
    <w:rsid w:val="009A5287"/>
    <w:rsid w:val="009A5925"/>
    <w:rsid w:val="009A5C88"/>
    <w:rsid w:val="009A5D04"/>
    <w:rsid w:val="009A640C"/>
    <w:rsid w:val="009A6A68"/>
    <w:rsid w:val="009A6C95"/>
    <w:rsid w:val="009A6F2E"/>
    <w:rsid w:val="009A70B6"/>
    <w:rsid w:val="009A72F3"/>
    <w:rsid w:val="009A798B"/>
    <w:rsid w:val="009A7DE6"/>
    <w:rsid w:val="009A7E6D"/>
    <w:rsid w:val="009B0553"/>
    <w:rsid w:val="009B0DBC"/>
    <w:rsid w:val="009B0E7E"/>
    <w:rsid w:val="009B1428"/>
    <w:rsid w:val="009B161C"/>
    <w:rsid w:val="009B1644"/>
    <w:rsid w:val="009B1EAB"/>
    <w:rsid w:val="009B3A67"/>
    <w:rsid w:val="009B406F"/>
    <w:rsid w:val="009B4412"/>
    <w:rsid w:val="009B462C"/>
    <w:rsid w:val="009B482E"/>
    <w:rsid w:val="009B497A"/>
    <w:rsid w:val="009B5318"/>
    <w:rsid w:val="009B554A"/>
    <w:rsid w:val="009B57C9"/>
    <w:rsid w:val="009B5984"/>
    <w:rsid w:val="009B619A"/>
    <w:rsid w:val="009B672F"/>
    <w:rsid w:val="009B69B9"/>
    <w:rsid w:val="009B6AA2"/>
    <w:rsid w:val="009B70B8"/>
    <w:rsid w:val="009B736A"/>
    <w:rsid w:val="009B7970"/>
    <w:rsid w:val="009B7AF0"/>
    <w:rsid w:val="009B7CE3"/>
    <w:rsid w:val="009C02C4"/>
    <w:rsid w:val="009C02F1"/>
    <w:rsid w:val="009C0540"/>
    <w:rsid w:val="009C089F"/>
    <w:rsid w:val="009C0E18"/>
    <w:rsid w:val="009C1145"/>
    <w:rsid w:val="009C1373"/>
    <w:rsid w:val="009C1425"/>
    <w:rsid w:val="009C150E"/>
    <w:rsid w:val="009C1693"/>
    <w:rsid w:val="009C16F8"/>
    <w:rsid w:val="009C1BB0"/>
    <w:rsid w:val="009C1D5B"/>
    <w:rsid w:val="009C22D3"/>
    <w:rsid w:val="009C28DE"/>
    <w:rsid w:val="009C2D8C"/>
    <w:rsid w:val="009C3325"/>
    <w:rsid w:val="009C363A"/>
    <w:rsid w:val="009C4033"/>
    <w:rsid w:val="009C47CA"/>
    <w:rsid w:val="009C4F41"/>
    <w:rsid w:val="009C4FD3"/>
    <w:rsid w:val="009C532D"/>
    <w:rsid w:val="009C5354"/>
    <w:rsid w:val="009C5459"/>
    <w:rsid w:val="009C58A8"/>
    <w:rsid w:val="009C5B7A"/>
    <w:rsid w:val="009C5D76"/>
    <w:rsid w:val="009C628A"/>
    <w:rsid w:val="009C667E"/>
    <w:rsid w:val="009C6769"/>
    <w:rsid w:val="009C6823"/>
    <w:rsid w:val="009C69EC"/>
    <w:rsid w:val="009C6EFD"/>
    <w:rsid w:val="009C6FC6"/>
    <w:rsid w:val="009C723C"/>
    <w:rsid w:val="009C7305"/>
    <w:rsid w:val="009C7843"/>
    <w:rsid w:val="009C7AA1"/>
    <w:rsid w:val="009D01E8"/>
    <w:rsid w:val="009D02D6"/>
    <w:rsid w:val="009D0538"/>
    <w:rsid w:val="009D0924"/>
    <w:rsid w:val="009D0E78"/>
    <w:rsid w:val="009D109C"/>
    <w:rsid w:val="009D1AF6"/>
    <w:rsid w:val="009D1CE8"/>
    <w:rsid w:val="009D1F69"/>
    <w:rsid w:val="009D2302"/>
    <w:rsid w:val="009D23DF"/>
    <w:rsid w:val="009D2539"/>
    <w:rsid w:val="009D256A"/>
    <w:rsid w:val="009D28AE"/>
    <w:rsid w:val="009D28B9"/>
    <w:rsid w:val="009D2D0E"/>
    <w:rsid w:val="009D2D55"/>
    <w:rsid w:val="009D3270"/>
    <w:rsid w:val="009D3A34"/>
    <w:rsid w:val="009D3CF3"/>
    <w:rsid w:val="009D475C"/>
    <w:rsid w:val="009D4AE8"/>
    <w:rsid w:val="009D4BA8"/>
    <w:rsid w:val="009D51BD"/>
    <w:rsid w:val="009D52F7"/>
    <w:rsid w:val="009D5394"/>
    <w:rsid w:val="009D53C7"/>
    <w:rsid w:val="009D5F97"/>
    <w:rsid w:val="009D6828"/>
    <w:rsid w:val="009D701C"/>
    <w:rsid w:val="009D764F"/>
    <w:rsid w:val="009E05FF"/>
    <w:rsid w:val="009E092B"/>
    <w:rsid w:val="009E0CFF"/>
    <w:rsid w:val="009E13B4"/>
    <w:rsid w:val="009E147E"/>
    <w:rsid w:val="009E15A3"/>
    <w:rsid w:val="009E175D"/>
    <w:rsid w:val="009E1778"/>
    <w:rsid w:val="009E1AF7"/>
    <w:rsid w:val="009E1C12"/>
    <w:rsid w:val="009E22F9"/>
    <w:rsid w:val="009E2751"/>
    <w:rsid w:val="009E2AE6"/>
    <w:rsid w:val="009E32CA"/>
    <w:rsid w:val="009E33ED"/>
    <w:rsid w:val="009E51E7"/>
    <w:rsid w:val="009E5AB6"/>
    <w:rsid w:val="009E5AE1"/>
    <w:rsid w:val="009E5D15"/>
    <w:rsid w:val="009E5D85"/>
    <w:rsid w:val="009E69A9"/>
    <w:rsid w:val="009E6A3A"/>
    <w:rsid w:val="009E6CA5"/>
    <w:rsid w:val="009E6D28"/>
    <w:rsid w:val="009E6E31"/>
    <w:rsid w:val="009E6EB9"/>
    <w:rsid w:val="009E6ED6"/>
    <w:rsid w:val="009E6F6C"/>
    <w:rsid w:val="009E74C9"/>
    <w:rsid w:val="009E7606"/>
    <w:rsid w:val="009E7944"/>
    <w:rsid w:val="009E7A1C"/>
    <w:rsid w:val="009E7EE8"/>
    <w:rsid w:val="009E7F6C"/>
    <w:rsid w:val="009F0474"/>
    <w:rsid w:val="009F0DAB"/>
    <w:rsid w:val="009F1104"/>
    <w:rsid w:val="009F11CB"/>
    <w:rsid w:val="009F1524"/>
    <w:rsid w:val="009F1C45"/>
    <w:rsid w:val="009F1F3C"/>
    <w:rsid w:val="009F2700"/>
    <w:rsid w:val="009F325D"/>
    <w:rsid w:val="009F3793"/>
    <w:rsid w:val="009F3D32"/>
    <w:rsid w:val="009F3D5C"/>
    <w:rsid w:val="009F408F"/>
    <w:rsid w:val="009F4136"/>
    <w:rsid w:val="009F4140"/>
    <w:rsid w:val="009F44D8"/>
    <w:rsid w:val="009F4615"/>
    <w:rsid w:val="009F4D92"/>
    <w:rsid w:val="009F51C3"/>
    <w:rsid w:val="009F5507"/>
    <w:rsid w:val="009F5C58"/>
    <w:rsid w:val="009F6321"/>
    <w:rsid w:val="009F639A"/>
    <w:rsid w:val="009F666E"/>
    <w:rsid w:val="009F67B5"/>
    <w:rsid w:val="009F6FED"/>
    <w:rsid w:val="009F75F5"/>
    <w:rsid w:val="009F78D0"/>
    <w:rsid w:val="009F7900"/>
    <w:rsid w:val="009F7C00"/>
    <w:rsid w:val="009F7DE0"/>
    <w:rsid w:val="00A00068"/>
    <w:rsid w:val="00A005F8"/>
    <w:rsid w:val="00A00E6F"/>
    <w:rsid w:val="00A01436"/>
    <w:rsid w:val="00A01778"/>
    <w:rsid w:val="00A02076"/>
    <w:rsid w:val="00A022F2"/>
    <w:rsid w:val="00A02377"/>
    <w:rsid w:val="00A025E8"/>
    <w:rsid w:val="00A02690"/>
    <w:rsid w:val="00A02902"/>
    <w:rsid w:val="00A02DEF"/>
    <w:rsid w:val="00A031D1"/>
    <w:rsid w:val="00A035AB"/>
    <w:rsid w:val="00A03820"/>
    <w:rsid w:val="00A03860"/>
    <w:rsid w:val="00A03BEC"/>
    <w:rsid w:val="00A04429"/>
    <w:rsid w:val="00A04776"/>
    <w:rsid w:val="00A0487C"/>
    <w:rsid w:val="00A05A82"/>
    <w:rsid w:val="00A06077"/>
    <w:rsid w:val="00A06113"/>
    <w:rsid w:val="00A06304"/>
    <w:rsid w:val="00A064B1"/>
    <w:rsid w:val="00A06F93"/>
    <w:rsid w:val="00A07B34"/>
    <w:rsid w:val="00A103FF"/>
    <w:rsid w:val="00A10AEE"/>
    <w:rsid w:val="00A10EEA"/>
    <w:rsid w:val="00A1102A"/>
    <w:rsid w:val="00A11067"/>
    <w:rsid w:val="00A1128D"/>
    <w:rsid w:val="00A11341"/>
    <w:rsid w:val="00A1146F"/>
    <w:rsid w:val="00A11B3C"/>
    <w:rsid w:val="00A11F19"/>
    <w:rsid w:val="00A126CD"/>
    <w:rsid w:val="00A126F8"/>
    <w:rsid w:val="00A129CB"/>
    <w:rsid w:val="00A12A27"/>
    <w:rsid w:val="00A12B77"/>
    <w:rsid w:val="00A12CC6"/>
    <w:rsid w:val="00A12E8D"/>
    <w:rsid w:val="00A134BE"/>
    <w:rsid w:val="00A13E38"/>
    <w:rsid w:val="00A1454D"/>
    <w:rsid w:val="00A14733"/>
    <w:rsid w:val="00A14B52"/>
    <w:rsid w:val="00A14D5F"/>
    <w:rsid w:val="00A14FB6"/>
    <w:rsid w:val="00A15005"/>
    <w:rsid w:val="00A157CB"/>
    <w:rsid w:val="00A1588B"/>
    <w:rsid w:val="00A15E62"/>
    <w:rsid w:val="00A15F1A"/>
    <w:rsid w:val="00A1637B"/>
    <w:rsid w:val="00A16F04"/>
    <w:rsid w:val="00A1719C"/>
    <w:rsid w:val="00A175BA"/>
    <w:rsid w:val="00A17B88"/>
    <w:rsid w:val="00A20189"/>
    <w:rsid w:val="00A202CB"/>
    <w:rsid w:val="00A202E2"/>
    <w:rsid w:val="00A20318"/>
    <w:rsid w:val="00A20371"/>
    <w:rsid w:val="00A206A6"/>
    <w:rsid w:val="00A20E7B"/>
    <w:rsid w:val="00A21159"/>
    <w:rsid w:val="00A21294"/>
    <w:rsid w:val="00A2182D"/>
    <w:rsid w:val="00A218EC"/>
    <w:rsid w:val="00A21BFE"/>
    <w:rsid w:val="00A21E91"/>
    <w:rsid w:val="00A22105"/>
    <w:rsid w:val="00A2278D"/>
    <w:rsid w:val="00A22836"/>
    <w:rsid w:val="00A22861"/>
    <w:rsid w:val="00A22929"/>
    <w:rsid w:val="00A22A63"/>
    <w:rsid w:val="00A22CA3"/>
    <w:rsid w:val="00A23439"/>
    <w:rsid w:val="00A23828"/>
    <w:rsid w:val="00A23AA2"/>
    <w:rsid w:val="00A23C90"/>
    <w:rsid w:val="00A23D73"/>
    <w:rsid w:val="00A23FC9"/>
    <w:rsid w:val="00A246F8"/>
    <w:rsid w:val="00A2480F"/>
    <w:rsid w:val="00A248A7"/>
    <w:rsid w:val="00A251B7"/>
    <w:rsid w:val="00A2544A"/>
    <w:rsid w:val="00A2605D"/>
    <w:rsid w:val="00A26E21"/>
    <w:rsid w:val="00A26F5A"/>
    <w:rsid w:val="00A2708A"/>
    <w:rsid w:val="00A271F5"/>
    <w:rsid w:val="00A27458"/>
    <w:rsid w:val="00A27491"/>
    <w:rsid w:val="00A277C4"/>
    <w:rsid w:val="00A27B75"/>
    <w:rsid w:val="00A3057A"/>
    <w:rsid w:val="00A305A1"/>
    <w:rsid w:val="00A30C78"/>
    <w:rsid w:val="00A30D9A"/>
    <w:rsid w:val="00A31463"/>
    <w:rsid w:val="00A31769"/>
    <w:rsid w:val="00A317BC"/>
    <w:rsid w:val="00A321F4"/>
    <w:rsid w:val="00A32C6F"/>
    <w:rsid w:val="00A32EA0"/>
    <w:rsid w:val="00A32FCD"/>
    <w:rsid w:val="00A3348E"/>
    <w:rsid w:val="00A334CD"/>
    <w:rsid w:val="00A33753"/>
    <w:rsid w:val="00A33AD4"/>
    <w:rsid w:val="00A34121"/>
    <w:rsid w:val="00A3424A"/>
    <w:rsid w:val="00A3473A"/>
    <w:rsid w:val="00A34D7D"/>
    <w:rsid w:val="00A35AFC"/>
    <w:rsid w:val="00A35B4A"/>
    <w:rsid w:val="00A35C6E"/>
    <w:rsid w:val="00A35DE3"/>
    <w:rsid w:val="00A35FB3"/>
    <w:rsid w:val="00A365B2"/>
    <w:rsid w:val="00A3696D"/>
    <w:rsid w:val="00A36B58"/>
    <w:rsid w:val="00A36D10"/>
    <w:rsid w:val="00A36E98"/>
    <w:rsid w:val="00A36FB8"/>
    <w:rsid w:val="00A37421"/>
    <w:rsid w:val="00A37B2F"/>
    <w:rsid w:val="00A37C22"/>
    <w:rsid w:val="00A37D33"/>
    <w:rsid w:val="00A37DB3"/>
    <w:rsid w:val="00A37F45"/>
    <w:rsid w:val="00A40679"/>
    <w:rsid w:val="00A4151B"/>
    <w:rsid w:val="00A41DDC"/>
    <w:rsid w:val="00A4204E"/>
    <w:rsid w:val="00A4226A"/>
    <w:rsid w:val="00A42C22"/>
    <w:rsid w:val="00A42FF7"/>
    <w:rsid w:val="00A437F0"/>
    <w:rsid w:val="00A4390D"/>
    <w:rsid w:val="00A43A26"/>
    <w:rsid w:val="00A440B6"/>
    <w:rsid w:val="00A44191"/>
    <w:rsid w:val="00A444A3"/>
    <w:rsid w:val="00A44856"/>
    <w:rsid w:val="00A44966"/>
    <w:rsid w:val="00A44A50"/>
    <w:rsid w:val="00A44BFF"/>
    <w:rsid w:val="00A44D38"/>
    <w:rsid w:val="00A44D89"/>
    <w:rsid w:val="00A452D5"/>
    <w:rsid w:val="00A453B6"/>
    <w:rsid w:val="00A4593B"/>
    <w:rsid w:val="00A45DD9"/>
    <w:rsid w:val="00A460C4"/>
    <w:rsid w:val="00A46859"/>
    <w:rsid w:val="00A46EBE"/>
    <w:rsid w:val="00A46F50"/>
    <w:rsid w:val="00A474D7"/>
    <w:rsid w:val="00A474DF"/>
    <w:rsid w:val="00A47B07"/>
    <w:rsid w:val="00A47DC6"/>
    <w:rsid w:val="00A47E7D"/>
    <w:rsid w:val="00A50135"/>
    <w:rsid w:val="00A50253"/>
    <w:rsid w:val="00A502C4"/>
    <w:rsid w:val="00A50644"/>
    <w:rsid w:val="00A507BF"/>
    <w:rsid w:val="00A50FFC"/>
    <w:rsid w:val="00A51114"/>
    <w:rsid w:val="00A514A7"/>
    <w:rsid w:val="00A51664"/>
    <w:rsid w:val="00A517CC"/>
    <w:rsid w:val="00A519DD"/>
    <w:rsid w:val="00A51A67"/>
    <w:rsid w:val="00A52071"/>
    <w:rsid w:val="00A52569"/>
    <w:rsid w:val="00A52B2A"/>
    <w:rsid w:val="00A5317F"/>
    <w:rsid w:val="00A5352D"/>
    <w:rsid w:val="00A535FE"/>
    <w:rsid w:val="00A539FB"/>
    <w:rsid w:val="00A53A50"/>
    <w:rsid w:val="00A53C65"/>
    <w:rsid w:val="00A54742"/>
    <w:rsid w:val="00A548A5"/>
    <w:rsid w:val="00A54F15"/>
    <w:rsid w:val="00A5576F"/>
    <w:rsid w:val="00A558D4"/>
    <w:rsid w:val="00A560F9"/>
    <w:rsid w:val="00A56836"/>
    <w:rsid w:val="00A56887"/>
    <w:rsid w:val="00A569A3"/>
    <w:rsid w:val="00A56B43"/>
    <w:rsid w:val="00A56EBB"/>
    <w:rsid w:val="00A56F1D"/>
    <w:rsid w:val="00A5712B"/>
    <w:rsid w:val="00A571A9"/>
    <w:rsid w:val="00A57CCC"/>
    <w:rsid w:val="00A57FA0"/>
    <w:rsid w:val="00A60429"/>
    <w:rsid w:val="00A60467"/>
    <w:rsid w:val="00A6084F"/>
    <w:rsid w:val="00A60F11"/>
    <w:rsid w:val="00A61177"/>
    <w:rsid w:val="00A614E1"/>
    <w:rsid w:val="00A619D6"/>
    <w:rsid w:val="00A61FD0"/>
    <w:rsid w:val="00A622ED"/>
    <w:rsid w:val="00A62407"/>
    <w:rsid w:val="00A6248A"/>
    <w:rsid w:val="00A62670"/>
    <w:rsid w:val="00A62925"/>
    <w:rsid w:val="00A62A59"/>
    <w:rsid w:val="00A62E90"/>
    <w:rsid w:val="00A63245"/>
    <w:rsid w:val="00A63259"/>
    <w:rsid w:val="00A63340"/>
    <w:rsid w:val="00A637D1"/>
    <w:rsid w:val="00A63DA2"/>
    <w:rsid w:val="00A6422F"/>
    <w:rsid w:val="00A6426A"/>
    <w:rsid w:val="00A6499E"/>
    <w:rsid w:val="00A652A9"/>
    <w:rsid w:val="00A6542C"/>
    <w:rsid w:val="00A659B5"/>
    <w:rsid w:val="00A65AC0"/>
    <w:rsid w:val="00A65C4F"/>
    <w:rsid w:val="00A65E6E"/>
    <w:rsid w:val="00A66057"/>
    <w:rsid w:val="00A66741"/>
    <w:rsid w:val="00A668C9"/>
    <w:rsid w:val="00A66913"/>
    <w:rsid w:val="00A66FBE"/>
    <w:rsid w:val="00A677D2"/>
    <w:rsid w:val="00A67EF5"/>
    <w:rsid w:val="00A67FCF"/>
    <w:rsid w:val="00A701BA"/>
    <w:rsid w:val="00A70340"/>
    <w:rsid w:val="00A7053C"/>
    <w:rsid w:val="00A70657"/>
    <w:rsid w:val="00A70803"/>
    <w:rsid w:val="00A70968"/>
    <w:rsid w:val="00A709E1"/>
    <w:rsid w:val="00A70AC8"/>
    <w:rsid w:val="00A70AED"/>
    <w:rsid w:val="00A7108C"/>
    <w:rsid w:val="00A7148F"/>
    <w:rsid w:val="00A717C4"/>
    <w:rsid w:val="00A71854"/>
    <w:rsid w:val="00A719BC"/>
    <w:rsid w:val="00A71B46"/>
    <w:rsid w:val="00A71E16"/>
    <w:rsid w:val="00A721C0"/>
    <w:rsid w:val="00A724BD"/>
    <w:rsid w:val="00A727BB"/>
    <w:rsid w:val="00A72C4E"/>
    <w:rsid w:val="00A72DA2"/>
    <w:rsid w:val="00A7310F"/>
    <w:rsid w:val="00A732C6"/>
    <w:rsid w:val="00A734DA"/>
    <w:rsid w:val="00A73506"/>
    <w:rsid w:val="00A73775"/>
    <w:rsid w:val="00A7380A"/>
    <w:rsid w:val="00A74740"/>
    <w:rsid w:val="00A74B11"/>
    <w:rsid w:val="00A74DDE"/>
    <w:rsid w:val="00A74DF9"/>
    <w:rsid w:val="00A74EAC"/>
    <w:rsid w:val="00A756FD"/>
    <w:rsid w:val="00A7577E"/>
    <w:rsid w:val="00A75B9B"/>
    <w:rsid w:val="00A763C4"/>
    <w:rsid w:val="00A76A7E"/>
    <w:rsid w:val="00A775E4"/>
    <w:rsid w:val="00A7785C"/>
    <w:rsid w:val="00A77AF0"/>
    <w:rsid w:val="00A77C56"/>
    <w:rsid w:val="00A77F08"/>
    <w:rsid w:val="00A80053"/>
    <w:rsid w:val="00A80313"/>
    <w:rsid w:val="00A8034A"/>
    <w:rsid w:val="00A8040F"/>
    <w:rsid w:val="00A80446"/>
    <w:rsid w:val="00A8060C"/>
    <w:rsid w:val="00A80E13"/>
    <w:rsid w:val="00A80FA7"/>
    <w:rsid w:val="00A812CA"/>
    <w:rsid w:val="00A812D0"/>
    <w:rsid w:val="00A813F5"/>
    <w:rsid w:val="00A817D3"/>
    <w:rsid w:val="00A82B0A"/>
    <w:rsid w:val="00A82CBC"/>
    <w:rsid w:val="00A82F2B"/>
    <w:rsid w:val="00A82F5C"/>
    <w:rsid w:val="00A8370D"/>
    <w:rsid w:val="00A83A61"/>
    <w:rsid w:val="00A83EA2"/>
    <w:rsid w:val="00A83F9D"/>
    <w:rsid w:val="00A83FFC"/>
    <w:rsid w:val="00A840F3"/>
    <w:rsid w:val="00A84465"/>
    <w:rsid w:val="00A84CA8"/>
    <w:rsid w:val="00A84CDB"/>
    <w:rsid w:val="00A84D32"/>
    <w:rsid w:val="00A84F1D"/>
    <w:rsid w:val="00A8502C"/>
    <w:rsid w:val="00A85374"/>
    <w:rsid w:val="00A853DA"/>
    <w:rsid w:val="00A853FE"/>
    <w:rsid w:val="00A85B8C"/>
    <w:rsid w:val="00A86500"/>
    <w:rsid w:val="00A86543"/>
    <w:rsid w:val="00A86DE2"/>
    <w:rsid w:val="00A86FF8"/>
    <w:rsid w:val="00A87023"/>
    <w:rsid w:val="00A87C00"/>
    <w:rsid w:val="00A90760"/>
    <w:rsid w:val="00A908AF"/>
    <w:rsid w:val="00A90AF4"/>
    <w:rsid w:val="00A90B2C"/>
    <w:rsid w:val="00A91243"/>
    <w:rsid w:val="00A91268"/>
    <w:rsid w:val="00A913C1"/>
    <w:rsid w:val="00A91565"/>
    <w:rsid w:val="00A92155"/>
    <w:rsid w:val="00A92358"/>
    <w:rsid w:val="00A9261B"/>
    <w:rsid w:val="00A92655"/>
    <w:rsid w:val="00A927D7"/>
    <w:rsid w:val="00A92A31"/>
    <w:rsid w:val="00A92AEE"/>
    <w:rsid w:val="00A92CA5"/>
    <w:rsid w:val="00A92EB9"/>
    <w:rsid w:val="00A93275"/>
    <w:rsid w:val="00A93607"/>
    <w:rsid w:val="00A93A4D"/>
    <w:rsid w:val="00A93FF5"/>
    <w:rsid w:val="00A944BE"/>
    <w:rsid w:val="00A9453C"/>
    <w:rsid w:val="00A9464F"/>
    <w:rsid w:val="00A9487B"/>
    <w:rsid w:val="00A94F0C"/>
    <w:rsid w:val="00A94FB8"/>
    <w:rsid w:val="00A94FBB"/>
    <w:rsid w:val="00A954E2"/>
    <w:rsid w:val="00A9561E"/>
    <w:rsid w:val="00A9573C"/>
    <w:rsid w:val="00A957EE"/>
    <w:rsid w:val="00A95847"/>
    <w:rsid w:val="00A95982"/>
    <w:rsid w:val="00A95AEC"/>
    <w:rsid w:val="00A95D34"/>
    <w:rsid w:val="00A96DCD"/>
    <w:rsid w:val="00A96ECE"/>
    <w:rsid w:val="00A9745A"/>
    <w:rsid w:val="00A974A1"/>
    <w:rsid w:val="00A975F9"/>
    <w:rsid w:val="00A977F5"/>
    <w:rsid w:val="00A9784E"/>
    <w:rsid w:val="00A979A8"/>
    <w:rsid w:val="00A97C07"/>
    <w:rsid w:val="00A97E56"/>
    <w:rsid w:val="00AA00B4"/>
    <w:rsid w:val="00AA02ED"/>
    <w:rsid w:val="00AA03BB"/>
    <w:rsid w:val="00AA0825"/>
    <w:rsid w:val="00AA09B1"/>
    <w:rsid w:val="00AA0CC0"/>
    <w:rsid w:val="00AA14B8"/>
    <w:rsid w:val="00AA1685"/>
    <w:rsid w:val="00AA1749"/>
    <w:rsid w:val="00AA17CA"/>
    <w:rsid w:val="00AA1C07"/>
    <w:rsid w:val="00AA2359"/>
    <w:rsid w:val="00AA26E5"/>
    <w:rsid w:val="00AA2D31"/>
    <w:rsid w:val="00AA32F3"/>
    <w:rsid w:val="00AA38A9"/>
    <w:rsid w:val="00AA393E"/>
    <w:rsid w:val="00AA3B16"/>
    <w:rsid w:val="00AA3C6A"/>
    <w:rsid w:val="00AA47FE"/>
    <w:rsid w:val="00AA4989"/>
    <w:rsid w:val="00AA4B36"/>
    <w:rsid w:val="00AA54FF"/>
    <w:rsid w:val="00AA560C"/>
    <w:rsid w:val="00AA5AC7"/>
    <w:rsid w:val="00AA5B0B"/>
    <w:rsid w:val="00AA5DCC"/>
    <w:rsid w:val="00AA5EE3"/>
    <w:rsid w:val="00AA61F8"/>
    <w:rsid w:val="00AA6262"/>
    <w:rsid w:val="00AA63DE"/>
    <w:rsid w:val="00AA660A"/>
    <w:rsid w:val="00AA6786"/>
    <w:rsid w:val="00AA7099"/>
    <w:rsid w:val="00AA7378"/>
    <w:rsid w:val="00AA73F5"/>
    <w:rsid w:val="00AA7C3D"/>
    <w:rsid w:val="00AA7F7F"/>
    <w:rsid w:val="00AB0058"/>
    <w:rsid w:val="00AB0192"/>
    <w:rsid w:val="00AB04C2"/>
    <w:rsid w:val="00AB0CE5"/>
    <w:rsid w:val="00AB0FD0"/>
    <w:rsid w:val="00AB10C4"/>
    <w:rsid w:val="00AB1760"/>
    <w:rsid w:val="00AB1EC0"/>
    <w:rsid w:val="00AB1FA3"/>
    <w:rsid w:val="00AB2831"/>
    <w:rsid w:val="00AB2906"/>
    <w:rsid w:val="00AB2AAE"/>
    <w:rsid w:val="00AB2B78"/>
    <w:rsid w:val="00AB2BE8"/>
    <w:rsid w:val="00AB2C71"/>
    <w:rsid w:val="00AB2D5D"/>
    <w:rsid w:val="00AB31F6"/>
    <w:rsid w:val="00AB369B"/>
    <w:rsid w:val="00AB3A7E"/>
    <w:rsid w:val="00AB406E"/>
    <w:rsid w:val="00AB415B"/>
    <w:rsid w:val="00AB522F"/>
    <w:rsid w:val="00AB5308"/>
    <w:rsid w:val="00AB5DCB"/>
    <w:rsid w:val="00AB6353"/>
    <w:rsid w:val="00AB65EB"/>
    <w:rsid w:val="00AB67C2"/>
    <w:rsid w:val="00AB6888"/>
    <w:rsid w:val="00AB6941"/>
    <w:rsid w:val="00AB6E35"/>
    <w:rsid w:val="00AB6F25"/>
    <w:rsid w:val="00AB7093"/>
    <w:rsid w:val="00AB71D7"/>
    <w:rsid w:val="00AB73EE"/>
    <w:rsid w:val="00AB7B17"/>
    <w:rsid w:val="00AB7CC7"/>
    <w:rsid w:val="00AC01A8"/>
    <w:rsid w:val="00AC01F9"/>
    <w:rsid w:val="00AC0231"/>
    <w:rsid w:val="00AC049A"/>
    <w:rsid w:val="00AC055D"/>
    <w:rsid w:val="00AC07C6"/>
    <w:rsid w:val="00AC0E27"/>
    <w:rsid w:val="00AC2011"/>
    <w:rsid w:val="00AC27A5"/>
    <w:rsid w:val="00AC2D20"/>
    <w:rsid w:val="00AC305D"/>
    <w:rsid w:val="00AC3156"/>
    <w:rsid w:val="00AC33B4"/>
    <w:rsid w:val="00AC372A"/>
    <w:rsid w:val="00AC3738"/>
    <w:rsid w:val="00AC42A3"/>
    <w:rsid w:val="00AC441B"/>
    <w:rsid w:val="00AC4FE8"/>
    <w:rsid w:val="00AC51C2"/>
    <w:rsid w:val="00AC53F1"/>
    <w:rsid w:val="00AC57FB"/>
    <w:rsid w:val="00AC5AEF"/>
    <w:rsid w:val="00AC605F"/>
    <w:rsid w:val="00AC6594"/>
    <w:rsid w:val="00AC6A18"/>
    <w:rsid w:val="00AC6EF4"/>
    <w:rsid w:val="00AC715F"/>
    <w:rsid w:val="00AC728C"/>
    <w:rsid w:val="00AC72BE"/>
    <w:rsid w:val="00AC73C9"/>
    <w:rsid w:val="00AC7690"/>
    <w:rsid w:val="00AC7DA7"/>
    <w:rsid w:val="00AC7E2A"/>
    <w:rsid w:val="00AC7F53"/>
    <w:rsid w:val="00AD0133"/>
    <w:rsid w:val="00AD0861"/>
    <w:rsid w:val="00AD0C8C"/>
    <w:rsid w:val="00AD0D9C"/>
    <w:rsid w:val="00AD0E76"/>
    <w:rsid w:val="00AD11D1"/>
    <w:rsid w:val="00AD1486"/>
    <w:rsid w:val="00AD1BFB"/>
    <w:rsid w:val="00AD1D97"/>
    <w:rsid w:val="00AD2791"/>
    <w:rsid w:val="00AD2842"/>
    <w:rsid w:val="00AD28A2"/>
    <w:rsid w:val="00AD3302"/>
    <w:rsid w:val="00AD330A"/>
    <w:rsid w:val="00AD336E"/>
    <w:rsid w:val="00AD341E"/>
    <w:rsid w:val="00AD3424"/>
    <w:rsid w:val="00AD4263"/>
    <w:rsid w:val="00AD42B0"/>
    <w:rsid w:val="00AD4A74"/>
    <w:rsid w:val="00AD4E3F"/>
    <w:rsid w:val="00AD535C"/>
    <w:rsid w:val="00AD541E"/>
    <w:rsid w:val="00AD6601"/>
    <w:rsid w:val="00AD665C"/>
    <w:rsid w:val="00AD72ED"/>
    <w:rsid w:val="00AD75F8"/>
    <w:rsid w:val="00AD7679"/>
    <w:rsid w:val="00AD7683"/>
    <w:rsid w:val="00AD7FCC"/>
    <w:rsid w:val="00AE065B"/>
    <w:rsid w:val="00AE0AF1"/>
    <w:rsid w:val="00AE0EE2"/>
    <w:rsid w:val="00AE1C29"/>
    <w:rsid w:val="00AE1D15"/>
    <w:rsid w:val="00AE1DB4"/>
    <w:rsid w:val="00AE25D0"/>
    <w:rsid w:val="00AE26C2"/>
    <w:rsid w:val="00AE27AB"/>
    <w:rsid w:val="00AE2887"/>
    <w:rsid w:val="00AE2CFC"/>
    <w:rsid w:val="00AE2D12"/>
    <w:rsid w:val="00AE3315"/>
    <w:rsid w:val="00AE3F30"/>
    <w:rsid w:val="00AE3F7E"/>
    <w:rsid w:val="00AE4077"/>
    <w:rsid w:val="00AE493E"/>
    <w:rsid w:val="00AE4AB4"/>
    <w:rsid w:val="00AE4CD5"/>
    <w:rsid w:val="00AE4D0D"/>
    <w:rsid w:val="00AE4D5E"/>
    <w:rsid w:val="00AE4F82"/>
    <w:rsid w:val="00AE5013"/>
    <w:rsid w:val="00AE5BB5"/>
    <w:rsid w:val="00AE5C84"/>
    <w:rsid w:val="00AE66D0"/>
    <w:rsid w:val="00AE66E4"/>
    <w:rsid w:val="00AE6E14"/>
    <w:rsid w:val="00AE6E73"/>
    <w:rsid w:val="00AE7266"/>
    <w:rsid w:val="00AE73A0"/>
    <w:rsid w:val="00AE7722"/>
    <w:rsid w:val="00AF0940"/>
    <w:rsid w:val="00AF09AC"/>
    <w:rsid w:val="00AF09E3"/>
    <w:rsid w:val="00AF0F94"/>
    <w:rsid w:val="00AF105E"/>
    <w:rsid w:val="00AF144D"/>
    <w:rsid w:val="00AF1973"/>
    <w:rsid w:val="00AF1978"/>
    <w:rsid w:val="00AF1988"/>
    <w:rsid w:val="00AF1A4D"/>
    <w:rsid w:val="00AF1EA7"/>
    <w:rsid w:val="00AF27F0"/>
    <w:rsid w:val="00AF3018"/>
    <w:rsid w:val="00AF30E4"/>
    <w:rsid w:val="00AF33D5"/>
    <w:rsid w:val="00AF34B4"/>
    <w:rsid w:val="00AF364D"/>
    <w:rsid w:val="00AF3D9C"/>
    <w:rsid w:val="00AF4236"/>
    <w:rsid w:val="00AF447F"/>
    <w:rsid w:val="00AF4713"/>
    <w:rsid w:val="00AF498B"/>
    <w:rsid w:val="00AF5345"/>
    <w:rsid w:val="00AF568C"/>
    <w:rsid w:val="00AF5859"/>
    <w:rsid w:val="00AF69EE"/>
    <w:rsid w:val="00AF6A05"/>
    <w:rsid w:val="00AF6D96"/>
    <w:rsid w:val="00AF7C07"/>
    <w:rsid w:val="00B001E8"/>
    <w:rsid w:val="00B0025A"/>
    <w:rsid w:val="00B00648"/>
    <w:rsid w:val="00B00E8D"/>
    <w:rsid w:val="00B0128E"/>
    <w:rsid w:val="00B01425"/>
    <w:rsid w:val="00B017C7"/>
    <w:rsid w:val="00B022E7"/>
    <w:rsid w:val="00B0230F"/>
    <w:rsid w:val="00B02438"/>
    <w:rsid w:val="00B02DFB"/>
    <w:rsid w:val="00B031E3"/>
    <w:rsid w:val="00B032E3"/>
    <w:rsid w:val="00B033CE"/>
    <w:rsid w:val="00B03475"/>
    <w:rsid w:val="00B03C29"/>
    <w:rsid w:val="00B03D16"/>
    <w:rsid w:val="00B03DC5"/>
    <w:rsid w:val="00B04184"/>
    <w:rsid w:val="00B04369"/>
    <w:rsid w:val="00B043D5"/>
    <w:rsid w:val="00B04B7F"/>
    <w:rsid w:val="00B04D4C"/>
    <w:rsid w:val="00B04F23"/>
    <w:rsid w:val="00B052E2"/>
    <w:rsid w:val="00B0553E"/>
    <w:rsid w:val="00B061D4"/>
    <w:rsid w:val="00B0631A"/>
    <w:rsid w:val="00B064F1"/>
    <w:rsid w:val="00B065EF"/>
    <w:rsid w:val="00B066CE"/>
    <w:rsid w:val="00B06735"/>
    <w:rsid w:val="00B06D9E"/>
    <w:rsid w:val="00B06DBC"/>
    <w:rsid w:val="00B06EF2"/>
    <w:rsid w:val="00B07108"/>
    <w:rsid w:val="00B074CD"/>
    <w:rsid w:val="00B077C6"/>
    <w:rsid w:val="00B07E7B"/>
    <w:rsid w:val="00B104E5"/>
    <w:rsid w:val="00B10A78"/>
    <w:rsid w:val="00B10A8C"/>
    <w:rsid w:val="00B10D38"/>
    <w:rsid w:val="00B114C3"/>
    <w:rsid w:val="00B11811"/>
    <w:rsid w:val="00B119E7"/>
    <w:rsid w:val="00B11DA7"/>
    <w:rsid w:val="00B12191"/>
    <w:rsid w:val="00B12214"/>
    <w:rsid w:val="00B1255A"/>
    <w:rsid w:val="00B129C1"/>
    <w:rsid w:val="00B12BF6"/>
    <w:rsid w:val="00B12C3C"/>
    <w:rsid w:val="00B12D4F"/>
    <w:rsid w:val="00B12D54"/>
    <w:rsid w:val="00B13394"/>
    <w:rsid w:val="00B133FF"/>
    <w:rsid w:val="00B13FF5"/>
    <w:rsid w:val="00B143E8"/>
    <w:rsid w:val="00B14768"/>
    <w:rsid w:val="00B156FD"/>
    <w:rsid w:val="00B1607A"/>
    <w:rsid w:val="00B1629D"/>
    <w:rsid w:val="00B165C6"/>
    <w:rsid w:val="00B16F1C"/>
    <w:rsid w:val="00B16FB4"/>
    <w:rsid w:val="00B175E2"/>
    <w:rsid w:val="00B176E5"/>
    <w:rsid w:val="00B1798A"/>
    <w:rsid w:val="00B17AE4"/>
    <w:rsid w:val="00B20071"/>
    <w:rsid w:val="00B202BF"/>
    <w:rsid w:val="00B20381"/>
    <w:rsid w:val="00B206A0"/>
    <w:rsid w:val="00B208BE"/>
    <w:rsid w:val="00B20A9A"/>
    <w:rsid w:val="00B20ADF"/>
    <w:rsid w:val="00B20D32"/>
    <w:rsid w:val="00B20E60"/>
    <w:rsid w:val="00B20F14"/>
    <w:rsid w:val="00B215D5"/>
    <w:rsid w:val="00B2178D"/>
    <w:rsid w:val="00B2184C"/>
    <w:rsid w:val="00B21A5C"/>
    <w:rsid w:val="00B21BBD"/>
    <w:rsid w:val="00B21F55"/>
    <w:rsid w:val="00B21FA6"/>
    <w:rsid w:val="00B221D2"/>
    <w:rsid w:val="00B22A17"/>
    <w:rsid w:val="00B22B04"/>
    <w:rsid w:val="00B22B76"/>
    <w:rsid w:val="00B22E89"/>
    <w:rsid w:val="00B230B7"/>
    <w:rsid w:val="00B231B3"/>
    <w:rsid w:val="00B2356D"/>
    <w:rsid w:val="00B2365B"/>
    <w:rsid w:val="00B239A4"/>
    <w:rsid w:val="00B23A20"/>
    <w:rsid w:val="00B23EF0"/>
    <w:rsid w:val="00B24122"/>
    <w:rsid w:val="00B241BE"/>
    <w:rsid w:val="00B246CF"/>
    <w:rsid w:val="00B24758"/>
    <w:rsid w:val="00B24BE5"/>
    <w:rsid w:val="00B24E80"/>
    <w:rsid w:val="00B25660"/>
    <w:rsid w:val="00B256BB"/>
    <w:rsid w:val="00B25770"/>
    <w:rsid w:val="00B259A2"/>
    <w:rsid w:val="00B259A9"/>
    <w:rsid w:val="00B25DD8"/>
    <w:rsid w:val="00B25DE8"/>
    <w:rsid w:val="00B260AC"/>
    <w:rsid w:val="00B26255"/>
    <w:rsid w:val="00B2710C"/>
    <w:rsid w:val="00B276E0"/>
    <w:rsid w:val="00B2786F"/>
    <w:rsid w:val="00B27ADF"/>
    <w:rsid w:val="00B27E4C"/>
    <w:rsid w:val="00B3022E"/>
    <w:rsid w:val="00B30473"/>
    <w:rsid w:val="00B304BD"/>
    <w:rsid w:val="00B30634"/>
    <w:rsid w:val="00B30DAA"/>
    <w:rsid w:val="00B310D7"/>
    <w:rsid w:val="00B3155E"/>
    <w:rsid w:val="00B316A6"/>
    <w:rsid w:val="00B31831"/>
    <w:rsid w:val="00B319BB"/>
    <w:rsid w:val="00B319CE"/>
    <w:rsid w:val="00B31F8A"/>
    <w:rsid w:val="00B31FD2"/>
    <w:rsid w:val="00B322A4"/>
    <w:rsid w:val="00B3262D"/>
    <w:rsid w:val="00B328D2"/>
    <w:rsid w:val="00B3296F"/>
    <w:rsid w:val="00B32A71"/>
    <w:rsid w:val="00B32FAB"/>
    <w:rsid w:val="00B33233"/>
    <w:rsid w:val="00B3356F"/>
    <w:rsid w:val="00B338CE"/>
    <w:rsid w:val="00B33C5F"/>
    <w:rsid w:val="00B33F3E"/>
    <w:rsid w:val="00B341ED"/>
    <w:rsid w:val="00B346B4"/>
    <w:rsid w:val="00B34FB4"/>
    <w:rsid w:val="00B3593E"/>
    <w:rsid w:val="00B35B57"/>
    <w:rsid w:val="00B35FD7"/>
    <w:rsid w:val="00B36046"/>
    <w:rsid w:val="00B36057"/>
    <w:rsid w:val="00B36416"/>
    <w:rsid w:val="00B36608"/>
    <w:rsid w:val="00B367CD"/>
    <w:rsid w:val="00B36959"/>
    <w:rsid w:val="00B36A13"/>
    <w:rsid w:val="00B40074"/>
    <w:rsid w:val="00B402BE"/>
    <w:rsid w:val="00B4143E"/>
    <w:rsid w:val="00B41674"/>
    <w:rsid w:val="00B4199A"/>
    <w:rsid w:val="00B41C94"/>
    <w:rsid w:val="00B420CD"/>
    <w:rsid w:val="00B429F9"/>
    <w:rsid w:val="00B43381"/>
    <w:rsid w:val="00B43523"/>
    <w:rsid w:val="00B435D1"/>
    <w:rsid w:val="00B43994"/>
    <w:rsid w:val="00B43C7C"/>
    <w:rsid w:val="00B44CE7"/>
    <w:rsid w:val="00B45411"/>
    <w:rsid w:val="00B45412"/>
    <w:rsid w:val="00B459E1"/>
    <w:rsid w:val="00B45C95"/>
    <w:rsid w:val="00B46148"/>
    <w:rsid w:val="00B4629E"/>
    <w:rsid w:val="00B46504"/>
    <w:rsid w:val="00B46702"/>
    <w:rsid w:val="00B46BC8"/>
    <w:rsid w:val="00B46C0F"/>
    <w:rsid w:val="00B47106"/>
    <w:rsid w:val="00B4729B"/>
    <w:rsid w:val="00B4746F"/>
    <w:rsid w:val="00B47CCB"/>
    <w:rsid w:val="00B502E0"/>
    <w:rsid w:val="00B50561"/>
    <w:rsid w:val="00B50707"/>
    <w:rsid w:val="00B50BF6"/>
    <w:rsid w:val="00B51E31"/>
    <w:rsid w:val="00B520CC"/>
    <w:rsid w:val="00B52145"/>
    <w:rsid w:val="00B528D9"/>
    <w:rsid w:val="00B5296F"/>
    <w:rsid w:val="00B5331D"/>
    <w:rsid w:val="00B53613"/>
    <w:rsid w:val="00B53BB7"/>
    <w:rsid w:val="00B53BE6"/>
    <w:rsid w:val="00B5402D"/>
    <w:rsid w:val="00B54086"/>
    <w:rsid w:val="00B548A4"/>
    <w:rsid w:val="00B5496E"/>
    <w:rsid w:val="00B55319"/>
    <w:rsid w:val="00B55BF6"/>
    <w:rsid w:val="00B55C3B"/>
    <w:rsid w:val="00B55D6A"/>
    <w:rsid w:val="00B5674E"/>
    <w:rsid w:val="00B56931"/>
    <w:rsid w:val="00B56A94"/>
    <w:rsid w:val="00B56C84"/>
    <w:rsid w:val="00B56CAB"/>
    <w:rsid w:val="00B57A81"/>
    <w:rsid w:val="00B57AF3"/>
    <w:rsid w:val="00B57D8C"/>
    <w:rsid w:val="00B60042"/>
    <w:rsid w:val="00B603B1"/>
    <w:rsid w:val="00B6040C"/>
    <w:rsid w:val="00B6053C"/>
    <w:rsid w:val="00B606BB"/>
    <w:rsid w:val="00B60CF7"/>
    <w:rsid w:val="00B60DE1"/>
    <w:rsid w:val="00B60DE5"/>
    <w:rsid w:val="00B61567"/>
    <w:rsid w:val="00B61B57"/>
    <w:rsid w:val="00B61C61"/>
    <w:rsid w:val="00B61E76"/>
    <w:rsid w:val="00B6208B"/>
    <w:rsid w:val="00B62A79"/>
    <w:rsid w:val="00B62AB0"/>
    <w:rsid w:val="00B62FEA"/>
    <w:rsid w:val="00B631CA"/>
    <w:rsid w:val="00B63B5B"/>
    <w:rsid w:val="00B63D70"/>
    <w:rsid w:val="00B63DA1"/>
    <w:rsid w:val="00B63E6D"/>
    <w:rsid w:val="00B63EF2"/>
    <w:rsid w:val="00B63EFA"/>
    <w:rsid w:val="00B64583"/>
    <w:rsid w:val="00B64671"/>
    <w:rsid w:val="00B64A0D"/>
    <w:rsid w:val="00B64B75"/>
    <w:rsid w:val="00B64CF6"/>
    <w:rsid w:val="00B64EAA"/>
    <w:rsid w:val="00B6630C"/>
    <w:rsid w:val="00B665B1"/>
    <w:rsid w:val="00B6661B"/>
    <w:rsid w:val="00B66ACE"/>
    <w:rsid w:val="00B66BB5"/>
    <w:rsid w:val="00B66CC2"/>
    <w:rsid w:val="00B670EE"/>
    <w:rsid w:val="00B673FF"/>
    <w:rsid w:val="00B67ACA"/>
    <w:rsid w:val="00B70B9A"/>
    <w:rsid w:val="00B7111B"/>
    <w:rsid w:val="00B711D0"/>
    <w:rsid w:val="00B711E2"/>
    <w:rsid w:val="00B7152B"/>
    <w:rsid w:val="00B718BB"/>
    <w:rsid w:val="00B71A13"/>
    <w:rsid w:val="00B71A60"/>
    <w:rsid w:val="00B71C69"/>
    <w:rsid w:val="00B72016"/>
    <w:rsid w:val="00B7238A"/>
    <w:rsid w:val="00B72B8B"/>
    <w:rsid w:val="00B72C02"/>
    <w:rsid w:val="00B72C93"/>
    <w:rsid w:val="00B72E39"/>
    <w:rsid w:val="00B732C3"/>
    <w:rsid w:val="00B738B6"/>
    <w:rsid w:val="00B73EC2"/>
    <w:rsid w:val="00B74277"/>
    <w:rsid w:val="00B74E3E"/>
    <w:rsid w:val="00B750B3"/>
    <w:rsid w:val="00B75313"/>
    <w:rsid w:val="00B75B51"/>
    <w:rsid w:val="00B75D5D"/>
    <w:rsid w:val="00B76236"/>
    <w:rsid w:val="00B76388"/>
    <w:rsid w:val="00B7640F"/>
    <w:rsid w:val="00B76688"/>
    <w:rsid w:val="00B76C51"/>
    <w:rsid w:val="00B76CF4"/>
    <w:rsid w:val="00B770FD"/>
    <w:rsid w:val="00B771BA"/>
    <w:rsid w:val="00B7737B"/>
    <w:rsid w:val="00B77882"/>
    <w:rsid w:val="00B778F7"/>
    <w:rsid w:val="00B77985"/>
    <w:rsid w:val="00B77A5D"/>
    <w:rsid w:val="00B80863"/>
    <w:rsid w:val="00B81462"/>
    <w:rsid w:val="00B814DC"/>
    <w:rsid w:val="00B81C7A"/>
    <w:rsid w:val="00B81D18"/>
    <w:rsid w:val="00B81DA4"/>
    <w:rsid w:val="00B81EEF"/>
    <w:rsid w:val="00B81F72"/>
    <w:rsid w:val="00B82169"/>
    <w:rsid w:val="00B82594"/>
    <w:rsid w:val="00B82880"/>
    <w:rsid w:val="00B82DD5"/>
    <w:rsid w:val="00B83085"/>
    <w:rsid w:val="00B830FB"/>
    <w:rsid w:val="00B837AA"/>
    <w:rsid w:val="00B8388B"/>
    <w:rsid w:val="00B83C11"/>
    <w:rsid w:val="00B83ED0"/>
    <w:rsid w:val="00B8426E"/>
    <w:rsid w:val="00B844F5"/>
    <w:rsid w:val="00B84723"/>
    <w:rsid w:val="00B857D1"/>
    <w:rsid w:val="00B85A1E"/>
    <w:rsid w:val="00B86018"/>
    <w:rsid w:val="00B863EF"/>
    <w:rsid w:val="00B8684C"/>
    <w:rsid w:val="00B86864"/>
    <w:rsid w:val="00B86DCE"/>
    <w:rsid w:val="00B874E0"/>
    <w:rsid w:val="00B87C07"/>
    <w:rsid w:val="00B87D5D"/>
    <w:rsid w:val="00B87F57"/>
    <w:rsid w:val="00B90631"/>
    <w:rsid w:val="00B90CA7"/>
    <w:rsid w:val="00B90D4C"/>
    <w:rsid w:val="00B90E8D"/>
    <w:rsid w:val="00B90EE9"/>
    <w:rsid w:val="00B90FFD"/>
    <w:rsid w:val="00B910A0"/>
    <w:rsid w:val="00B913A9"/>
    <w:rsid w:val="00B91554"/>
    <w:rsid w:val="00B91AB0"/>
    <w:rsid w:val="00B91CA8"/>
    <w:rsid w:val="00B923AC"/>
    <w:rsid w:val="00B92C7D"/>
    <w:rsid w:val="00B92E94"/>
    <w:rsid w:val="00B92FED"/>
    <w:rsid w:val="00B93D97"/>
    <w:rsid w:val="00B94285"/>
    <w:rsid w:val="00B943D5"/>
    <w:rsid w:val="00B94515"/>
    <w:rsid w:val="00B94829"/>
    <w:rsid w:val="00B94B2B"/>
    <w:rsid w:val="00B94D38"/>
    <w:rsid w:val="00B9523B"/>
    <w:rsid w:val="00B95609"/>
    <w:rsid w:val="00B95BDB"/>
    <w:rsid w:val="00B964EE"/>
    <w:rsid w:val="00B965F3"/>
    <w:rsid w:val="00B96814"/>
    <w:rsid w:val="00B96A70"/>
    <w:rsid w:val="00B96E18"/>
    <w:rsid w:val="00B96EDE"/>
    <w:rsid w:val="00B96EEC"/>
    <w:rsid w:val="00B97039"/>
    <w:rsid w:val="00B9738F"/>
    <w:rsid w:val="00B97B91"/>
    <w:rsid w:val="00B97D0D"/>
    <w:rsid w:val="00BA0BA0"/>
    <w:rsid w:val="00BA0F60"/>
    <w:rsid w:val="00BA0F61"/>
    <w:rsid w:val="00BA173B"/>
    <w:rsid w:val="00BA1A0A"/>
    <w:rsid w:val="00BA245C"/>
    <w:rsid w:val="00BA252E"/>
    <w:rsid w:val="00BA255D"/>
    <w:rsid w:val="00BA2E15"/>
    <w:rsid w:val="00BA311F"/>
    <w:rsid w:val="00BA3406"/>
    <w:rsid w:val="00BA353C"/>
    <w:rsid w:val="00BA3C8B"/>
    <w:rsid w:val="00BA3CE6"/>
    <w:rsid w:val="00BA432E"/>
    <w:rsid w:val="00BA43B6"/>
    <w:rsid w:val="00BA4496"/>
    <w:rsid w:val="00BA4DF3"/>
    <w:rsid w:val="00BA59D5"/>
    <w:rsid w:val="00BA6230"/>
    <w:rsid w:val="00BA6538"/>
    <w:rsid w:val="00BA75E6"/>
    <w:rsid w:val="00BA7626"/>
    <w:rsid w:val="00BA7B44"/>
    <w:rsid w:val="00BA7EAC"/>
    <w:rsid w:val="00BB02C1"/>
    <w:rsid w:val="00BB0BE7"/>
    <w:rsid w:val="00BB0E12"/>
    <w:rsid w:val="00BB1061"/>
    <w:rsid w:val="00BB189D"/>
    <w:rsid w:val="00BB26FA"/>
    <w:rsid w:val="00BB2797"/>
    <w:rsid w:val="00BB28E1"/>
    <w:rsid w:val="00BB2A60"/>
    <w:rsid w:val="00BB2C6E"/>
    <w:rsid w:val="00BB2CC8"/>
    <w:rsid w:val="00BB32FE"/>
    <w:rsid w:val="00BB3311"/>
    <w:rsid w:val="00BB37B1"/>
    <w:rsid w:val="00BB389C"/>
    <w:rsid w:val="00BB393C"/>
    <w:rsid w:val="00BB4046"/>
    <w:rsid w:val="00BB41F5"/>
    <w:rsid w:val="00BB46C2"/>
    <w:rsid w:val="00BB4DC6"/>
    <w:rsid w:val="00BB51D1"/>
    <w:rsid w:val="00BB54EC"/>
    <w:rsid w:val="00BB59ED"/>
    <w:rsid w:val="00BB5C8A"/>
    <w:rsid w:val="00BB5ED9"/>
    <w:rsid w:val="00BB611E"/>
    <w:rsid w:val="00BB62E1"/>
    <w:rsid w:val="00BB650F"/>
    <w:rsid w:val="00BB730C"/>
    <w:rsid w:val="00BB776A"/>
    <w:rsid w:val="00BB784F"/>
    <w:rsid w:val="00BB7E8F"/>
    <w:rsid w:val="00BC07D7"/>
    <w:rsid w:val="00BC1048"/>
    <w:rsid w:val="00BC113B"/>
    <w:rsid w:val="00BC1246"/>
    <w:rsid w:val="00BC138B"/>
    <w:rsid w:val="00BC1810"/>
    <w:rsid w:val="00BC1D91"/>
    <w:rsid w:val="00BC2EAA"/>
    <w:rsid w:val="00BC31BA"/>
    <w:rsid w:val="00BC3DDC"/>
    <w:rsid w:val="00BC4353"/>
    <w:rsid w:val="00BC4442"/>
    <w:rsid w:val="00BC4623"/>
    <w:rsid w:val="00BC533C"/>
    <w:rsid w:val="00BC56AC"/>
    <w:rsid w:val="00BC5708"/>
    <w:rsid w:val="00BC5771"/>
    <w:rsid w:val="00BC5E78"/>
    <w:rsid w:val="00BC615D"/>
    <w:rsid w:val="00BC63A0"/>
    <w:rsid w:val="00BC63D4"/>
    <w:rsid w:val="00BC6BE3"/>
    <w:rsid w:val="00BC7619"/>
    <w:rsid w:val="00BC77C0"/>
    <w:rsid w:val="00BD00C3"/>
    <w:rsid w:val="00BD0256"/>
    <w:rsid w:val="00BD0872"/>
    <w:rsid w:val="00BD0EAE"/>
    <w:rsid w:val="00BD152C"/>
    <w:rsid w:val="00BD1C7A"/>
    <w:rsid w:val="00BD1E4A"/>
    <w:rsid w:val="00BD2838"/>
    <w:rsid w:val="00BD28DA"/>
    <w:rsid w:val="00BD2B00"/>
    <w:rsid w:val="00BD2B0A"/>
    <w:rsid w:val="00BD2EF2"/>
    <w:rsid w:val="00BD3325"/>
    <w:rsid w:val="00BD34B5"/>
    <w:rsid w:val="00BD3584"/>
    <w:rsid w:val="00BD36BA"/>
    <w:rsid w:val="00BD36FC"/>
    <w:rsid w:val="00BD3A1F"/>
    <w:rsid w:val="00BD4189"/>
    <w:rsid w:val="00BD44D1"/>
    <w:rsid w:val="00BD4DDF"/>
    <w:rsid w:val="00BD5180"/>
    <w:rsid w:val="00BD5193"/>
    <w:rsid w:val="00BD56A8"/>
    <w:rsid w:val="00BD5BB4"/>
    <w:rsid w:val="00BD5DEF"/>
    <w:rsid w:val="00BD6184"/>
    <w:rsid w:val="00BD62B2"/>
    <w:rsid w:val="00BD661C"/>
    <w:rsid w:val="00BD69D2"/>
    <w:rsid w:val="00BD738B"/>
    <w:rsid w:val="00BD756C"/>
    <w:rsid w:val="00BD7AC3"/>
    <w:rsid w:val="00BD7C15"/>
    <w:rsid w:val="00BD7F86"/>
    <w:rsid w:val="00BE038E"/>
    <w:rsid w:val="00BE0398"/>
    <w:rsid w:val="00BE03B6"/>
    <w:rsid w:val="00BE0599"/>
    <w:rsid w:val="00BE0948"/>
    <w:rsid w:val="00BE0A13"/>
    <w:rsid w:val="00BE0F41"/>
    <w:rsid w:val="00BE18D1"/>
    <w:rsid w:val="00BE1B54"/>
    <w:rsid w:val="00BE1F1F"/>
    <w:rsid w:val="00BE1FB6"/>
    <w:rsid w:val="00BE225D"/>
    <w:rsid w:val="00BE2275"/>
    <w:rsid w:val="00BE249B"/>
    <w:rsid w:val="00BE284D"/>
    <w:rsid w:val="00BE2CD9"/>
    <w:rsid w:val="00BE2DF0"/>
    <w:rsid w:val="00BE3392"/>
    <w:rsid w:val="00BE3C08"/>
    <w:rsid w:val="00BE3C0F"/>
    <w:rsid w:val="00BE3E1E"/>
    <w:rsid w:val="00BE43DE"/>
    <w:rsid w:val="00BE4FF3"/>
    <w:rsid w:val="00BE5077"/>
    <w:rsid w:val="00BE5816"/>
    <w:rsid w:val="00BE6352"/>
    <w:rsid w:val="00BE6381"/>
    <w:rsid w:val="00BE6465"/>
    <w:rsid w:val="00BE6500"/>
    <w:rsid w:val="00BE6E56"/>
    <w:rsid w:val="00BE7274"/>
    <w:rsid w:val="00BE7784"/>
    <w:rsid w:val="00BF005C"/>
    <w:rsid w:val="00BF02E9"/>
    <w:rsid w:val="00BF06B1"/>
    <w:rsid w:val="00BF074C"/>
    <w:rsid w:val="00BF07EA"/>
    <w:rsid w:val="00BF0AD7"/>
    <w:rsid w:val="00BF0EA0"/>
    <w:rsid w:val="00BF27DA"/>
    <w:rsid w:val="00BF2836"/>
    <w:rsid w:val="00BF28C7"/>
    <w:rsid w:val="00BF2BB0"/>
    <w:rsid w:val="00BF2D49"/>
    <w:rsid w:val="00BF3907"/>
    <w:rsid w:val="00BF3BB4"/>
    <w:rsid w:val="00BF3C5F"/>
    <w:rsid w:val="00BF43E9"/>
    <w:rsid w:val="00BF46F5"/>
    <w:rsid w:val="00BF486D"/>
    <w:rsid w:val="00BF499E"/>
    <w:rsid w:val="00BF49A3"/>
    <w:rsid w:val="00BF4ACC"/>
    <w:rsid w:val="00BF4B6E"/>
    <w:rsid w:val="00BF4DE7"/>
    <w:rsid w:val="00BF5411"/>
    <w:rsid w:val="00BF5603"/>
    <w:rsid w:val="00BF5607"/>
    <w:rsid w:val="00BF59F5"/>
    <w:rsid w:val="00BF5B25"/>
    <w:rsid w:val="00BF6030"/>
    <w:rsid w:val="00BF65B8"/>
    <w:rsid w:val="00BF6D38"/>
    <w:rsid w:val="00BF6D3C"/>
    <w:rsid w:val="00BF6D94"/>
    <w:rsid w:val="00BF6E4C"/>
    <w:rsid w:val="00BF6EB4"/>
    <w:rsid w:val="00BF7183"/>
    <w:rsid w:val="00BF718E"/>
    <w:rsid w:val="00BF71E8"/>
    <w:rsid w:val="00BF75F6"/>
    <w:rsid w:val="00BF7C0A"/>
    <w:rsid w:val="00BF7E47"/>
    <w:rsid w:val="00C00098"/>
    <w:rsid w:val="00C00570"/>
    <w:rsid w:val="00C0070E"/>
    <w:rsid w:val="00C00E21"/>
    <w:rsid w:val="00C01642"/>
    <w:rsid w:val="00C017E8"/>
    <w:rsid w:val="00C01858"/>
    <w:rsid w:val="00C01967"/>
    <w:rsid w:val="00C02300"/>
    <w:rsid w:val="00C02426"/>
    <w:rsid w:val="00C026CF"/>
    <w:rsid w:val="00C0276D"/>
    <w:rsid w:val="00C02809"/>
    <w:rsid w:val="00C02F71"/>
    <w:rsid w:val="00C02F7D"/>
    <w:rsid w:val="00C03139"/>
    <w:rsid w:val="00C032F6"/>
    <w:rsid w:val="00C0346B"/>
    <w:rsid w:val="00C03740"/>
    <w:rsid w:val="00C03A0F"/>
    <w:rsid w:val="00C03A80"/>
    <w:rsid w:val="00C050E8"/>
    <w:rsid w:val="00C051A5"/>
    <w:rsid w:val="00C05229"/>
    <w:rsid w:val="00C05301"/>
    <w:rsid w:val="00C05804"/>
    <w:rsid w:val="00C05BE1"/>
    <w:rsid w:val="00C05CC8"/>
    <w:rsid w:val="00C05D0E"/>
    <w:rsid w:val="00C05DFE"/>
    <w:rsid w:val="00C05E85"/>
    <w:rsid w:val="00C065A2"/>
    <w:rsid w:val="00C06988"/>
    <w:rsid w:val="00C06C96"/>
    <w:rsid w:val="00C07F47"/>
    <w:rsid w:val="00C10049"/>
    <w:rsid w:val="00C10404"/>
    <w:rsid w:val="00C105E0"/>
    <w:rsid w:val="00C108A6"/>
    <w:rsid w:val="00C10ADF"/>
    <w:rsid w:val="00C10D84"/>
    <w:rsid w:val="00C11866"/>
    <w:rsid w:val="00C1197B"/>
    <w:rsid w:val="00C11B0C"/>
    <w:rsid w:val="00C11B4A"/>
    <w:rsid w:val="00C11EA9"/>
    <w:rsid w:val="00C11F4F"/>
    <w:rsid w:val="00C11F79"/>
    <w:rsid w:val="00C1230B"/>
    <w:rsid w:val="00C12479"/>
    <w:rsid w:val="00C12621"/>
    <w:rsid w:val="00C1269B"/>
    <w:rsid w:val="00C12743"/>
    <w:rsid w:val="00C128E3"/>
    <w:rsid w:val="00C12B22"/>
    <w:rsid w:val="00C131CC"/>
    <w:rsid w:val="00C13564"/>
    <w:rsid w:val="00C13733"/>
    <w:rsid w:val="00C13A9A"/>
    <w:rsid w:val="00C13F4A"/>
    <w:rsid w:val="00C13F66"/>
    <w:rsid w:val="00C14771"/>
    <w:rsid w:val="00C14886"/>
    <w:rsid w:val="00C14A1E"/>
    <w:rsid w:val="00C14A3F"/>
    <w:rsid w:val="00C14AB3"/>
    <w:rsid w:val="00C159E2"/>
    <w:rsid w:val="00C162A7"/>
    <w:rsid w:val="00C1659E"/>
    <w:rsid w:val="00C16DC3"/>
    <w:rsid w:val="00C171E2"/>
    <w:rsid w:val="00C17D16"/>
    <w:rsid w:val="00C20281"/>
    <w:rsid w:val="00C20630"/>
    <w:rsid w:val="00C20C2B"/>
    <w:rsid w:val="00C214EB"/>
    <w:rsid w:val="00C2177D"/>
    <w:rsid w:val="00C22741"/>
    <w:rsid w:val="00C22B24"/>
    <w:rsid w:val="00C247DB"/>
    <w:rsid w:val="00C24966"/>
    <w:rsid w:val="00C2515D"/>
    <w:rsid w:val="00C251CF"/>
    <w:rsid w:val="00C2587F"/>
    <w:rsid w:val="00C25AA3"/>
    <w:rsid w:val="00C2628C"/>
    <w:rsid w:val="00C26838"/>
    <w:rsid w:val="00C26EC1"/>
    <w:rsid w:val="00C27132"/>
    <w:rsid w:val="00C27166"/>
    <w:rsid w:val="00C27527"/>
    <w:rsid w:val="00C27985"/>
    <w:rsid w:val="00C27BE7"/>
    <w:rsid w:val="00C303A4"/>
    <w:rsid w:val="00C30A77"/>
    <w:rsid w:val="00C30D70"/>
    <w:rsid w:val="00C30E0D"/>
    <w:rsid w:val="00C30F08"/>
    <w:rsid w:val="00C31408"/>
    <w:rsid w:val="00C31499"/>
    <w:rsid w:val="00C3191D"/>
    <w:rsid w:val="00C319C9"/>
    <w:rsid w:val="00C31E45"/>
    <w:rsid w:val="00C31EAA"/>
    <w:rsid w:val="00C3220F"/>
    <w:rsid w:val="00C32399"/>
    <w:rsid w:val="00C328E9"/>
    <w:rsid w:val="00C329D9"/>
    <w:rsid w:val="00C32A4E"/>
    <w:rsid w:val="00C32F54"/>
    <w:rsid w:val="00C32F87"/>
    <w:rsid w:val="00C3311E"/>
    <w:rsid w:val="00C336BA"/>
    <w:rsid w:val="00C3373F"/>
    <w:rsid w:val="00C3392D"/>
    <w:rsid w:val="00C33AED"/>
    <w:rsid w:val="00C33DBA"/>
    <w:rsid w:val="00C34144"/>
    <w:rsid w:val="00C34D41"/>
    <w:rsid w:val="00C34ECC"/>
    <w:rsid w:val="00C362DB"/>
    <w:rsid w:val="00C3684E"/>
    <w:rsid w:val="00C37C0C"/>
    <w:rsid w:val="00C37F2C"/>
    <w:rsid w:val="00C406EF"/>
    <w:rsid w:val="00C40857"/>
    <w:rsid w:val="00C40FAD"/>
    <w:rsid w:val="00C41CD9"/>
    <w:rsid w:val="00C4238A"/>
    <w:rsid w:val="00C423B4"/>
    <w:rsid w:val="00C42A33"/>
    <w:rsid w:val="00C42B63"/>
    <w:rsid w:val="00C4308A"/>
    <w:rsid w:val="00C43805"/>
    <w:rsid w:val="00C4430F"/>
    <w:rsid w:val="00C453EB"/>
    <w:rsid w:val="00C45FA4"/>
    <w:rsid w:val="00C460D3"/>
    <w:rsid w:val="00C4620A"/>
    <w:rsid w:val="00C46328"/>
    <w:rsid w:val="00C466CE"/>
    <w:rsid w:val="00C4672B"/>
    <w:rsid w:val="00C46B40"/>
    <w:rsid w:val="00C46D53"/>
    <w:rsid w:val="00C46D84"/>
    <w:rsid w:val="00C46DFB"/>
    <w:rsid w:val="00C471F8"/>
    <w:rsid w:val="00C475EA"/>
    <w:rsid w:val="00C47B85"/>
    <w:rsid w:val="00C47DF7"/>
    <w:rsid w:val="00C47EB1"/>
    <w:rsid w:val="00C50EB1"/>
    <w:rsid w:val="00C50EBA"/>
    <w:rsid w:val="00C51348"/>
    <w:rsid w:val="00C51B1A"/>
    <w:rsid w:val="00C52386"/>
    <w:rsid w:val="00C52565"/>
    <w:rsid w:val="00C52A75"/>
    <w:rsid w:val="00C5301E"/>
    <w:rsid w:val="00C5315E"/>
    <w:rsid w:val="00C531C7"/>
    <w:rsid w:val="00C535F5"/>
    <w:rsid w:val="00C53B2C"/>
    <w:rsid w:val="00C53C97"/>
    <w:rsid w:val="00C53E79"/>
    <w:rsid w:val="00C54043"/>
    <w:rsid w:val="00C540B2"/>
    <w:rsid w:val="00C5423F"/>
    <w:rsid w:val="00C54455"/>
    <w:rsid w:val="00C54546"/>
    <w:rsid w:val="00C54C95"/>
    <w:rsid w:val="00C54D61"/>
    <w:rsid w:val="00C55345"/>
    <w:rsid w:val="00C55577"/>
    <w:rsid w:val="00C55BB2"/>
    <w:rsid w:val="00C55E6E"/>
    <w:rsid w:val="00C55F76"/>
    <w:rsid w:val="00C55FCF"/>
    <w:rsid w:val="00C5688A"/>
    <w:rsid w:val="00C56F1D"/>
    <w:rsid w:val="00C5752B"/>
    <w:rsid w:val="00C57559"/>
    <w:rsid w:val="00C576F3"/>
    <w:rsid w:val="00C57858"/>
    <w:rsid w:val="00C579F6"/>
    <w:rsid w:val="00C57A0B"/>
    <w:rsid w:val="00C57D37"/>
    <w:rsid w:val="00C6020D"/>
    <w:rsid w:val="00C60437"/>
    <w:rsid w:val="00C605BE"/>
    <w:rsid w:val="00C606A6"/>
    <w:rsid w:val="00C60B3B"/>
    <w:rsid w:val="00C60C02"/>
    <w:rsid w:val="00C60F1F"/>
    <w:rsid w:val="00C61695"/>
    <w:rsid w:val="00C62239"/>
    <w:rsid w:val="00C62398"/>
    <w:rsid w:val="00C624A9"/>
    <w:rsid w:val="00C6269A"/>
    <w:rsid w:val="00C62C28"/>
    <w:rsid w:val="00C62D2A"/>
    <w:rsid w:val="00C62D30"/>
    <w:rsid w:val="00C62E16"/>
    <w:rsid w:val="00C62E1B"/>
    <w:rsid w:val="00C633D3"/>
    <w:rsid w:val="00C63961"/>
    <w:rsid w:val="00C63BB2"/>
    <w:rsid w:val="00C64328"/>
    <w:rsid w:val="00C647EA"/>
    <w:rsid w:val="00C64AFF"/>
    <w:rsid w:val="00C64CD9"/>
    <w:rsid w:val="00C65192"/>
    <w:rsid w:val="00C65202"/>
    <w:rsid w:val="00C656FB"/>
    <w:rsid w:val="00C659FF"/>
    <w:rsid w:val="00C666FF"/>
    <w:rsid w:val="00C66B59"/>
    <w:rsid w:val="00C67094"/>
    <w:rsid w:val="00C67675"/>
    <w:rsid w:val="00C67FBF"/>
    <w:rsid w:val="00C713DF"/>
    <w:rsid w:val="00C71501"/>
    <w:rsid w:val="00C715B4"/>
    <w:rsid w:val="00C715CC"/>
    <w:rsid w:val="00C71AB3"/>
    <w:rsid w:val="00C72282"/>
    <w:rsid w:val="00C722B1"/>
    <w:rsid w:val="00C722EB"/>
    <w:rsid w:val="00C723D4"/>
    <w:rsid w:val="00C7241C"/>
    <w:rsid w:val="00C72FD8"/>
    <w:rsid w:val="00C73733"/>
    <w:rsid w:val="00C74561"/>
    <w:rsid w:val="00C75169"/>
    <w:rsid w:val="00C755C2"/>
    <w:rsid w:val="00C75EC2"/>
    <w:rsid w:val="00C76027"/>
    <w:rsid w:val="00C76224"/>
    <w:rsid w:val="00C76272"/>
    <w:rsid w:val="00C76452"/>
    <w:rsid w:val="00C767A0"/>
    <w:rsid w:val="00C806F3"/>
    <w:rsid w:val="00C808B0"/>
    <w:rsid w:val="00C810C7"/>
    <w:rsid w:val="00C8111E"/>
    <w:rsid w:val="00C81ED9"/>
    <w:rsid w:val="00C82082"/>
    <w:rsid w:val="00C82532"/>
    <w:rsid w:val="00C82B1D"/>
    <w:rsid w:val="00C82C42"/>
    <w:rsid w:val="00C82EF4"/>
    <w:rsid w:val="00C830CA"/>
    <w:rsid w:val="00C8324F"/>
    <w:rsid w:val="00C837AF"/>
    <w:rsid w:val="00C837F2"/>
    <w:rsid w:val="00C83869"/>
    <w:rsid w:val="00C838E2"/>
    <w:rsid w:val="00C83D22"/>
    <w:rsid w:val="00C84322"/>
    <w:rsid w:val="00C84350"/>
    <w:rsid w:val="00C84785"/>
    <w:rsid w:val="00C84DA6"/>
    <w:rsid w:val="00C85194"/>
    <w:rsid w:val="00C85474"/>
    <w:rsid w:val="00C85C9B"/>
    <w:rsid w:val="00C86042"/>
    <w:rsid w:val="00C8647A"/>
    <w:rsid w:val="00C86B8D"/>
    <w:rsid w:val="00C872E0"/>
    <w:rsid w:val="00C879FC"/>
    <w:rsid w:val="00C87B2A"/>
    <w:rsid w:val="00C90684"/>
    <w:rsid w:val="00C907E2"/>
    <w:rsid w:val="00C90C97"/>
    <w:rsid w:val="00C90EDC"/>
    <w:rsid w:val="00C91276"/>
    <w:rsid w:val="00C91395"/>
    <w:rsid w:val="00C9178B"/>
    <w:rsid w:val="00C91A20"/>
    <w:rsid w:val="00C91BE9"/>
    <w:rsid w:val="00C92387"/>
    <w:rsid w:val="00C931D5"/>
    <w:rsid w:val="00C934BC"/>
    <w:rsid w:val="00C937C4"/>
    <w:rsid w:val="00C93E18"/>
    <w:rsid w:val="00C9432F"/>
    <w:rsid w:val="00C945A1"/>
    <w:rsid w:val="00C94B47"/>
    <w:rsid w:val="00C94C3F"/>
    <w:rsid w:val="00C94DD0"/>
    <w:rsid w:val="00C94F3F"/>
    <w:rsid w:val="00C9503C"/>
    <w:rsid w:val="00C95269"/>
    <w:rsid w:val="00C95635"/>
    <w:rsid w:val="00C957B7"/>
    <w:rsid w:val="00C959D3"/>
    <w:rsid w:val="00C96039"/>
    <w:rsid w:val="00C9680A"/>
    <w:rsid w:val="00C968DE"/>
    <w:rsid w:val="00C96DAB"/>
    <w:rsid w:val="00C96EF4"/>
    <w:rsid w:val="00C97120"/>
    <w:rsid w:val="00C9719A"/>
    <w:rsid w:val="00C97217"/>
    <w:rsid w:val="00C972C1"/>
    <w:rsid w:val="00C97443"/>
    <w:rsid w:val="00C979B5"/>
    <w:rsid w:val="00C97A36"/>
    <w:rsid w:val="00CA089A"/>
    <w:rsid w:val="00CA0BC7"/>
    <w:rsid w:val="00CA155B"/>
    <w:rsid w:val="00CA1A3A"/>
    <w:rsid w:val="00CA1C89"/>
    <w:rsid w:val="00CA1D13"/>
    <w:rsid w:val="00CA246C"/>
    <w:rsid w:val="00CA25F0"/>
    <w:rsid w:val="00CA2B84"/>
    <w:rsid w:val="00CA3480"/>
    <w:rsid w:val="00CA39D6"/>
    <w:rsid w:val="00CA3A64"/>
    <w:rsid w:val="00CA3D49"/>
    <w:rsid w:val="00CA3E0C"/>
    <w:rsid w:val="00CA3FC3"/>
    <w:rsid w:val="00CA419E"/>
    <w:rsid w:val="00CA41BC"/>
    <w:rsid w:val="00CA4334"/>
    <w:rsid w:val="00CA45F5"/>
    <w:rsid w:val="00CA4A20"/>
    <w:rsid w:val="00CA506B"/>
    <w:rsid w:val="00CA50C3"/>
    <w:rsid w:val="00CA518D"/>
    <w:rsid w:val="00CA547C"/>
    <w:rsid w:val="00CA57F3"/>
    <w:rsid w:val="00CA5A0B"/>
    <w:rsid w:val="00CA5D31"/>
    <w:rsid w:val="00CA61B5"/>
    <w:rsid w:val="00CA62BB"/>
    <w:rsid w:val="00CA65FE"/>
    <w:rsid w:val="00CA760F"/>
    <w:rsid w:val="00CA7B28"/>
    <w:rsid w:val="00CB020E"/>
    <w:rsid w:val="00CB0667"/>
    <w:rsid w:val="00CB1692"/>
    <w:rsid w:val="00CB18AE"/>
    <w:rsid w:val="00CB19D1"/>
    <w:rsid w:val="00CB2106"/>
    <w:rsid w:val="00CB217C"/>
    <w:rsid w:val="00CB221D"/>
    <w:rsid w:val="00CB23A3"/>
    <w:rsid w:val="00CB2480"/>
    <w:rsid w:val="00CB27E6"/>
    <w:rsid w:val="00CB2E70"/>
    <w:rsid w:val="00CB2F38"/>
    <w:rsid w:val="00CB313F"/>
    <w:rsid w:val="00CB3514"/>
    <w:rsid w:val="00CB3D35"/>
    <w:rsid w:val="00CB406B"/>
    <w:rsid w:val="00CB4158"/>
    <w:rsid w:val="00CB43C1"/>
    <w:rsid w:val="00CB4703"/>
    <w:rsid w:val="00CB48CE"/>
    <w:rsid w:val="00CB4CD2"/>
    <w:rsid w:val="00CB526F"/>
    <w:rsid w:val="00CB5BCF"/>
    <w:rsid w:val="00CB5D59"/>
    <w:rsid w:val="00CB5F4D"/>
    <w:rsid w:val="00CB60B9"/>
    <w:rsid w:val="00CB644A"/>
    <w:rsid w:val="00CB67E1"/>
    <w:rsid w:val="00CB6C51"/>
    <w:rsid w:val="00CB6D59"/>
    <w:rsid w:val="00CB713C"/>
    <w:rsid w:val="00CB7574"/>
    <w:rsid w:val="00CB7E3D"/>
    <w:rsid w:val="00CB7E5D"/>
    <w:rsid w:val="00CC05E9"/>
    <w:rsid w:val="00CC06EC"/>
    <w:rsid w:val="00CC0774"/>
    <w:rsid w:val="00CC0AB0"/>
    <w:rsid w:val="00CC0CE0"/>
    <w:rsid w:val="00CC0E73"/>
    <w:rsid w:val="00CC180A"/>
    <w:rsid w:val="00CC240A"/>
    <w:rsid w:val="00CC24DF"/>
    <w:rsid w:val="00CC2AEF"/>
    <w:rsid w:val="00CC3371"/>
    <w:rsid w:val="00CC3E21"/>
    <w:rsid w:val="00CC4332"/>
    <w:rsid w:val="00CC4414"/>
    <w:rsid w:val="00CC441F"/>
    <w:rsid w:val="00CC44B9"/>
    <w:rsid w:val="00CC4960"/>
    <w:rsid w:val="00CC4EF0"/>
    <w:rsid w:val="00CC5129"/>
    <w:rsid w:val="00CC5CC4"/>
    <w:rsid w:val="00CC5DC1"/>
    <w:rsid w:val="00CC6053"/>
    <w:rsid w:val="00CC6073"/>
    <w:rsid w:val="00CC60A6"/>
    <w:rsid w:val="00CC6358"/>
    <w:rsid w:val="00CC6460"/>
    <w:rsid w:val="00CC6764"/>
    <w:rsid w:val="00CC6895"/>
    <w:rsid w:val="00CC6D44"/>
    <w:rsid w:val="00CC7143"/>
    <w:rsid w:val="00CC7C0B"/>
    <w:rsid w:val="00CD0398"/>
    <w:rsid w:val="00CD0564"/>
    <w:rsid w:val="00CD05B8"/>
    <w:rsid w:val="00CD06F0"/>
    <w:rsid w:val="00CD0887"/>
    <w:rsid w:val="00CD09DC"/>
    <w:rsid w:val="00CD0FA2"/>
    <w:rsid w:val="00CD1012"/>
    <w:rsid w:val="00CD1507"/>
    <w:rsid w:val="00CD15EF"/>
    <w:rsid w:val="00CD275E"/>
    <w:rsid w:val="00CD2C66"/>
    <w:rsid w:val="00CD2E27"/>
    <w:rsid w:val="00CD307D"/>
    <w:rsid w:val="00CD3084"/>
    <w:rsid w:val="00CD30CB"/>
    <w:rsid w:val="00CD3208"/>
    <w:rsid w:val="00CD3396"/>
    <w:rsid w:val="00CD3596"/>
    <w:rsid w:val="00CD3C11"/>
    <w:rsid w:val="00CD3F32"/>
    <w:rsid w:val="00CD405D"/>
    <w:rsid w:val="00CD406D"/>
    <w:rsid w:val="00CD43F8"/>
    <w:rsid w:val="00CD4458"/>
    <w:rsid w:val="00CD46B1"/>
    <w:rsid w:val="00CD4755"/>
    <w:rsid w:val="00CD4A99"/>
    <w:rsid w:val="00CD51B1"/>
    <w:rsid w:val="00CD549E"/>
    <w:rsid w:val="00CD55C8"/>
    <w:rsid w:val="00CD592A"/>
    <w:rsid w:val="00CD59A8"/>
    <w:rsid w:val="00CD5E12"/>
    <w:rsid w:val="00CD66CA"/>
    <w:rsid w:val="00CD6DF6"/>
    <w:rsid w:val="00CD72BB"/>
    <w:rsid w:val="00CD73D6"/>
    <w:rsid w:val="00CE0286"/>
    <w:rsid w:val="00CE0830"/>
    <w:rsid w:val="00CE08A8"/>
    <w:rsid w:val="00CE0ADF"/>
    <w:rsid w:val="00CE0BCA"/>
    <w:rsid w:val="00CE0BD3"/>
    <w:rsid w:val="00CE0BE7"/>
    <w:rsid w:val="00CE1704"/>
    <w:rsid w:val="00CE1A4B"/>
    <w:rsid w:val="00CE1EBC"/>
    <w:rsid w:val="00CE2271"/>
    <w:rsid w:val="00CE261A"/>
    <w:rsid w:val="00CE2799"/>
    <w:rsid w:val="00CE2E0C"/>
    <w:rsid w:val="00CE2FF9"/>
    <w:rsid w:val="00CE3034"/>
    <w:rsid w:val="00CE3340"/>
    <w:rsid w:val="00CE3791"/>
    <w:rsid w:val="00CE385A"/>
    <w:rsid w:val="00CE3A6F"/>
    <w:rsid w:val="00CE3C0F"/>
    <w:rsid w:val="00CE40F1"/>
    <w:rsid w:val="00CE5192"/>
    <w:rsid w:val="00CE519D"/>
    <w:rsid w:val="00CE56AC"/>
    <w:rsid w:val="00CE5CC2"/>
    <w:rsid w:val="00CE6106"/>
    <w:rsid w:val="00CE66AA"/>
    <w:rsid w:val="00CE67B9"/>
    <w:rsid w:val="00CE6A28"/>
    <w:rsid w:val="00CE6A31"/>
    <w:rsid w:val="00CE6D6C"/>
    <w:rsid w:val="00CE6DE2"/>
    <w:rsid w:val="00CE730D"/>
    <w:rsid w:val="00CE7A14"/>
    <w:rsid w:val="00CF061F"/>
    <w:rsid w:val="00CF08B9"/>
    <w:rsid w:val="00CF08E7"/>
    <w:rsid w:val="00CF09EA"/>
    <w:rsid w:val="00CF0BB3"/>
    <w:rsid w:val="00CF124F"/>
    <w:rsid w:val="00CF153D"/>
    <w:rsid w:val="00CF15FB"/>
    <w:rsid w:val="00CF1C68"/>
    <w:rsid w:val="00CF1F1A"/>
    <w:rsid w:val="00CF2129"/>
    <w:rsid w:val="00CF2599"/>
    <w:rsid w:val="00CF320D"/>
    <w:rsid w:val="00CF34B8"/>
    <w:rsid w:val="00CF3A53"/>
    <w:rsid w:val="00CF3CE7"/>
    <w:rsid w:val="00CF3D00"/>
    <w:rsid w:val="00CF3E6A"/>
    <w:rsid w:val="00CF42BF"/>
    <w:rsid w:val="00CF4395"/>
    <w:rsid w:val="00CF45EF"/>
    <w:rsid w:val="00CF4828"/>
    <w:rsid w:val="00CF4CBD"/>
    <w:rsid w:val="00CF4E6C"/>
    <w:rsid w:val="00CF5018"/>
    <w:rsid w:val="00CF524A"/>
    <w:rsid w:val="00CF52FB"/>
    <w:rsid w:val="00CF56B7"/>
    <w:rsid w:val="00CF6273"/>
    <w:rsid w:val="00CF6AA5"/>
    <w:rsid w:val="00CF6F10"/>
    <w:rsid w:val="00CF6F54"/>
    <w:rsid w:val="00CF6FE4"/>
    <w:rsid w:val="00CF7334"/>
    <w:rsid w:val="00CF75D7"/>
    <w:rsid w:val="00CF78C3"/>
    <w:rsid w:val="00CF7942"/>
    <w:rsid w:val="00CF7A49"/>
    <w:rsid w:val="00CF7C72"/>
    <w:rsid w:val="00CF7D88"/>
    <w:rsid w:val="00D00FED"/>
    <w:rsid w:val="00D01A0F"/>
    <w:rsid w:val="00D01B0B"/>
    <w:rsid w:val="00D025A0"/>
    <w:rsid w:val="00D02C01"/>
    <w:rsid w:val="00D02C38"/>
    <w:rsid w:val="00D02F95"/>
    <w:rsid w:val="00D03030"/>
    <w:rsid w:val="00D030FF"/>
    <w:rsid w:val="00D03175"/>
    <w:rsid w:val="00D03189"/>
    <w:rsid w:val="00D031DE"/>
    <w:rsid w:val="00D0359D"/>
    <w:rsid w:val="00D03830"/>
    <w:rsid w:val="00D0429D"/>
    <w:rsid w:val="00D04C9B"/>
    <w:rsid w:val="00D0511B"/>
    <w:rsid w:val="00D05196"/>
    <w:rsid w:val="00D058C2"/>
    <w:rsid w:val="00D05CD5"/>
    <w:rsid w:val="00D06194"/>
    <w:rsid w:val="00D063D8"/>
    <w:rsid w:val="00D06419"/>
    <w:rsid w:val="00D066D7"/>
    <w:rsid w:val="00D06D38"/>
    <w:rsid w:val="00D072E4"/>
    <w:rsid w:val="00D0752E"/>
    <w:rsid w:val="00D07837"/>
    <w:rsid w:val="00D07AF6"/>
    <w:rsid w:val="00D103BE"/>
    <w:rsid w:val="00D1048E"/>
    <w:rsid w:val="00D10650"/>
    <w:rsid w:val="00D10895"/>
    <w:rsid w:val="00D10AD5"/>
    <w:rsid w:val="00D10B3A"/>
    <w:rsid w:val="00D10F6A"/>
    <w:rsid w:val="00D11420"/>
    <w:rsid w:val="00D114B6"/>
    <w:rsid w:val="00D114C8"/>
    <w:rsid w:val="00D11505"/>
    <w:rsid w:val="00D117BA"/>
    <w:rsid w:val="00D118FE"/>
    <w:rsid w:val="00D11E00"/>
    <w:rsid w:val="00D12351"/>
    <w:rsid w:val="00D12355"/>
    <w:rsid w:val="00D139DB"/>
    <w:rsid w:val="00D13CC3"/>
    <w:rsid w:val="00D13FFC"/>
    <w:rsid w:val="00D14836"/>
    <w:rsid w:val="00D14CE2"/>
    <w:rsid w:val="00D14CF1"/>
    <w:rsid w:val="00D14EEE"/>
    <w:rsid w:val="00D155E1"/>
    <w:rsid w:val="00D1592B"/>
    <w:rsid w:val="00D159A3"/>
    <w:rsid w:val="00D15D48"/>
    <w:rsid w:val="00D15E2F"/>
    <w:rsid w:val="00D1624C"/>
    <w:rsid w:val="00D1656F"/>
    <w:rsid w:val="00D16A55"/>
    <w:rsid w:val="00D16C51"/>
    <w:rsid w:val="00D16E2E"/>
    <w:rsid w:val="00D17C3B"/>
    <w:rsid w:val="00D17C85"/>
    <w:rsid w:val="00D2082A"/>
    <w:rsid w:val="00D2097D"/>
    <w:rsid w:val="00D219BE"/>
    <w:rsid w:val="00D223BE"/>
    <w:rsid w:val="00D22593"/>
    <w:rsid w:val="00D225BD"/>
    <w:rsid w:val="00D2273A"/>
    <w:rsid w:val="00D22C22"/>
    <w:rsid w:val="00D231E6"/>
    <w:rsid w:val="00D232A2"/>
    <w:rsid w:val="00D2340B"/>
    <w:rsid w:val="00D234D5"/>
    <w:rsid w:val="00D24457"/>
    <w:rsid w:val="00D246B8"/>
    <w:rsid w:val="00D24937"/>
    <w:rsid w:val="00D24CAD"/>
    <w:rsid w:val="00D24E64"/>
    <w:rsid w:val="00D25A3B"/>
    <w:rsid w:val="00D261C3"/>
    <w:rsid w:val="00D26445"/>
    <w:rsid w:val="00D26708"/>
    <w:rsid w:val="00D26A37"/>
    <w:rsid w:val="00D26C57"/>
    <w:rsid w:val="00D27591"/>
    <w:rsid w:val="00D27900"/>
    <w:rsid w:val="00D27F7A"/>
    <w:rsid w:val="00D301C0"/>
    <w:rsid w:val="00D3032D"/>
    <w:rsid w:val="00D303CD"/>
    <w:rsid w:val="00D308CF"/>
    <w:rsid w:val="00D30D27"/>
    <w:rsid w:val="00D30D58"/>
    <w:rsid w:val="00D313CC"/>
    <w:rsid w:val="00D317E5"/>
    <w:rsid w:val="00D31CEF"/>
    <w:rsid w:val="00D3226B"/>
    <w:rsid w:val="00D323F1"/>
    <w:rsid w:val="00D332CC"/>
    <w:rsid w:val="00D3341E"/>
    <w:rsid w:val="00D33426"/>
    <w:rsid w:val="00D338C5"/>
    <w:rsid w:val="00D3472B"/>
    <w:rsid w:val="00D3497C"/>
    <w:rsid w:val="00D34B3A"/>
    <w:rsid w:val="00D34D48"/>
    <w:rsid w:val="00D350C0"/>
    <w:rsid w:val="00D35127"/>
    <w:rsid w:val="00D35311"/>
    <w:rsid w:val="00D35316"/>
    <w:rsid w:val="00D35B50"/>
    <w:rsid w:val="00D3672F"/>
    <w:rsid w:val="00D36951"/>
    <w:rsid w:val="00D3715E"/>
    <w:rsid w:val="00D37862"/>
    <w:rsid w:val="00D3789A"/>
    <w:rsid w:val="00D379B5"/>
    <w:rsid w:val="00D37DF1"/>
    <w:rsid w:val="00D37FD5"/>
    <w:rsid w:val="00D407DF"/>
    <w:rsid w:val="00D40B0A"/>
    <w:rsid w:val="00D4135B"/>
    <w:rsid w:val="00D41744"/>
    <w:rsid w:val="00D41EB2"/>
    <w:rsid w:val="00D4251F"/>
    <w:rsid w:val="00D42A4A"/>
    <w:rsid w:val="00D42C6A"/>
    <w:rsid w:val="00D4328F"/>
    <w:rsid w:val="00D435E7"/>
    <w:rsid w:val="00D43707"/>
    <w:rsid w:val="00D4455F"/>
    <w:rsid w:val="00D446E0"/>
    <w:rsid w:val="00D44DB4"/>
    <w:rsid w:val="00D45320"/>
    <w:rsid w:val="00D45441"/>
    <w:rsid w:val="00D45986"/>
    <w:rsid w:val="00D45A32"/>
    <w:rsid w:val="00D45D99"/>
    <w:rsid w:val="00D46341"/>
    <w:rsid w:val="00D4692C"/>
    <w:rsid w:val="00D47286"/>
    <w:rsid w:val="00D47467"/>
    <w:rsid w:val="00D47881"/>
    <w:rsid w:val="00D47E4C"/>
    <w:rsid w:val="00D47FFB"/>
    <w:rsid w:val="00D51195"/>
    <w:rsid w:val="00D512C4"/>
    <w:rsid w:val="00D51600"/>
    <w:rsid w:val="00D5167C"/>
    <w:rsid w:val="00D517FF"/>
    <w:rsid w:val="00D52547"/>
    <w:rsid w:val="00D52B7A"/>
    <w:rsid w:val="00D52C45"/>
    <w:rsid w:val="00D52D7C"/>
    <w:rsid w:val="00D535E6"/>
    <w:rsid w:val="00D5382D"/>
    <w:rsid w:val="00D53E51"/>
    <w:rsid w:val="00D53EFB"/>
    <w:rsid w:val="00D53F2D"/>
    <w:rsid w:val="00D542C1"/>
    <w:rsid w:val="00D5466C"/>
    <w:rsid w:val="00D54CD1"/>
    <w:rsid w:val="00D55022"/>
    <w:rsid w:val="00D551EC"/>
    <w:rsid w:val="00D55276"/>
    <w:rsid w:val="00D554E4"/>
    <w:rsid w:val="00D5556D"/>
    <w:rsid w:val="00D561C9"/>
    <w:rsid w:val="00D56379"/>
    <w:rsid w:val="00D56493"/>
    <w:rsid w:val="00D56A20"/>
    <w:rsid w:val="00D56A28"/>
    <w:rsid w:val="00D56BF2"/>
    <w:rsid w:val="00D56D44"/>
    <w:rsid w:val="00D574B5"/>
    <w:rsid w:val="00D579C3"/>
    <w:rsid w:val="00D57C55"/>
    <w:rsid w:val="00D600AC"/>
    <w:rsid w:val="00D609B0"/>
    <w:rsid w:val="00D61488"/>
    <w:rsid w:val="00D617CB"/>
    <w:rsid w:val="00D61ADB"/>
    <w:rsid w:val="00D62255"/>
    <w:rsid w:val="00D623AB"/>
    <w:rsid w:val="00D62877"/>
    <w:rsid w:val="00D62982"/>
    <w:rsid w:val="00D62A93"/>
    <w:rsid w:val="00D62C0E"/>
    <w:rsid w:val="00D62C86"/>
    <w:rsid w:val="00D62DFC"/>
    <w:rsid w:val="00D63DCD"/>
    <w:rsid w:val="00D6451E"/>
    <w:rsid w:val="00D648DF"/>
    <w:rsid w:val="00D64A7D"/>
    <w:rsid w:val="00D64C0B"/>
    <w:rsid w:val="00D64EA2"/>
    <w:rsid w:val="00D65B73"/>
    <w:rsid w:val="00D65BE3"/>
    <w:rsid w:val="00D65DE9"/>
    <w:rsid w:val="00D65EED"/>
    <w:rsid w:val="00D66407"/>
    <w:rsid w:val="00D664B6"/>
    <w:rsid w:val="00D665BE"/>
    <w:rsid w:val="00D66B85"/>
    <w:rsid w:val="00D66ED4"/>
    <w:rsid w:val="00D67414"/>
    <w:rsid w:val="00D67593"/>
    <w:rsid w:val="00D675C6"/>
    <w:rsid w:val="00D67AB8"/>
    <w:rsid w:val="00D703E6"/>
    <w:rsid w:val="00D704EE"/>
    <w:rsid w:val="00D7068E"/>
    <w:rsid w:val="00D706BF"/>
    <w:rsid w:val="00D707EA"/>
    <w:rsid w:val="00D70BE8"/>
    <w:rsid w:val="00D70C8D"/>
    <w:rsid w:val="00D71216"/>
    <w:rsid w:val="00D71968"/>
    <w:rsid w:val="00D71EB3"/>
    <w:rsid w:val="00D71F86"/>
    <w:rsid w:val="00D7269D"/>
    <w:rsid w:val="00D7299D"/>
    <w:rsid w:val="00D72AA3"/>
    <w:rsid w:val="00D72F17"/>
    <w:rsid w:val="00D7307C"/>
    <w:rsid w:val="00D7327B"/>
    <w:rsid w:val="00D737BD"/>
    <w:rsid w:val="00D738B3"/>
    <w:rsid w:val="00D739DB"/>
    <w:rsid w:val="00D73A3B"/>
    <w:rsid w:val="00D73A4D"/>
    <w:rsid w:val="00D73C77"/>
    <w:rsid w:val="00D73DCC"/>
    <w:rsid w:val="00D7552A"/>
    <w:rsid w:val="00D75877"/>
    <w:rsid w:val="00D75ADD"/>
    <w:rsid w:val="00D75D41"/>
    <w:rsid w:val="00D760F8"/>
    <w:rsid w:val="00D761C6"/>
    <w:rsid w:val="00D762BE"/>
    <w:rsid w:val="00D76A8D"/>
    <w:rsid w:val="00D77420"/>
    <w:rsid w:val="00D7759E"/>
    <w:rsid w:val="00D77744"/>
    <w:rsid w:val="00D77DC6"/>
    <w:rsid w:val="00D77E02"/>
    <w:rsid w:val="00D77EE5"/>
    <w:rsid w:val="00D77F0D"/>
    <w:rsid w:val="00D801D2"/>
    <w:rsid w:val="00D805AC"/>
    <w:rsid w:val="00D80773"/>
    <w:rsid w:val="00D80B1A"/>
    <w:rsid w:val="00D80DB3"/>
    <w:rsid w:val="00D80E0F"/>
    <w:rsid w:val="00D81006"/>
    <w:rsid w:val="00D81B82"/>
    <w:rsid w:val="00D82515"/>
    <w:rsid w:val="00D82B36"/>
    <w:rsid w:val="00D830FD"/>
    <w:rsid w:val="00D83B0C"/>
    <w:rsid w:val="00D83D65"/>
    <w:rsid w:val="00D83DA8"/>
    <w:rsid w:val="00D83FCC"/>
    <w:rsid w:val="00D845EC"/>
    <w:rsid w:val="00D85205"/>
    <w:rsid w:val="00D852A5"/>
    <w:rsid w:val="00D8532B"/>
    <w:rsid w:val="00D855C1"/>
    <w:rsid w:val="00D8569E"/>
    <w:rsid w:val="00D857C1"/>
    <w:rsid w:val="00D859B7"/>
    <w:rsid w:val="00D85B89"/>
    <w:rsid w:val="00D85F64"/>
    <w:rsid w:val="00D86478"/>
    <w:rsid w:val="00D864A4"/>
    <w:rsid w:val="00D86845"/>
    <w:rsid w:val="00D86B5D"/>
    <w:rsid w:val="00D86F27"/>
    <w:rsid w:val="00D8707B"/>
    <w:rsid w:val="00D87189"/>
    <w:rsid w:val="00D874D5"/>
    <w:rsid w:val="00D87CEB"/>
    <w:rsid w:val="00D90101"/>
    <w:rsid w:val="00D901CE"/>
    <w:rsid w:val="00D903BE"/>
    <w:rsid w:val="00D90856"/>
    <w:rsid w:val="00D917F8"/>
    <w:rsid w:val="00D91D31"/>
    <w:rsid w:val="00D9212C"/>
    <w:rsid w:val="00D9245D"/>
    <w:rsid w:val="00D925A6"/>
    <w:rsid w:val="00D9328C"/>
    <w:rsid w:val="00D9369C"/>
    <w:rsid w:val="00D93EF2"/>
    <w:rsid w:val="00D9403B"/>
    <w:rsid w:val="00D94053"/>
    <w:rsid w:val="00D94320"/>
    <w:rsid w:val="00D945C2"/>
    <w:rsid w:val="00D94C73"/>
    <w:rsid w:val="00D94F72"/>
    <w:rsid w:val="00D95383"/>
    <w:rsid w:val="00D95575"/>
    <w:rsid w:val="00D955A7"/>
    <w:rsid w:val="00D95D53"/>
    <w:rsid w:val="00D962D7"/>
    <w:rsid w:val="00D97073"/>
    <w:rsid w:val="00D970D5"/>
    <w:rsid w:val="00D97378"/>
    <w:rsid w:val="00D9749B"/>
    <w:rsid w:val="00D97640"/>
    <w:rsid w:val="00D97AAF"/>
    <w:rsid w:val="00D97F86"/>
    <w:rsid w:val="00DA0296"/>
    <w:rsid w:val="00DA057F"/>
    <w:rsid w:val="00DA06AD"/>
    <w:rsid w:val="00DA1875"/>
    <w:rsid w:val="00DA19D3"/>
    <w:rsid w:val="00DA227D"/>
    <w:rsid w:val="00DA278E"/>
    <w:rsid w:val="00DA3C94"/>
    <w:rsid w:val="00DA3FC8"/>
    <w:rsid w:val="00DA4018"/>
    <w:rsid w:val="00DA4F3D"/>
    <w:rsid w:val="00DA530B"/>
    <w:rsid w:val="00DA5825"/>
    <w:rsid w:val="00DA588C"/>
    <w:rsid w:val="00DA59BD"/>
    <w:rsid w:val="00DA5A2D"/>
    <w:rsid w:val="00DA5A8E"/>
    <w:rsid w:val="00DA5BA5"/>
    <w:rsid w:val="00DA5F17"/>
    <w:rsid w:val="00DA5F4E"/>
    <w:rsid w:val="00DA602E"/>
    <w:rsid w:val="00DA6808"/>
    <w:rsid w:val="00DA69B4"/>
    <w:rsid w:val="00DA6DB5"/>
    <w:rsid w:val="00DA6E45"/>
    <w:rsid w:val="00DA714B"/>
    <w:rsid w:val="00DA716B"/>
    <w:rsid w:val="00DA767E"/>
    <w:rsid w:val="00DA7796"/>
    <w:rsid w:val="00DA7973"/>
    <w:rsid w:val="00DA7D9E"/>
    <w:rsid w:val="00DA7E0E"/>
    <w:rsid w:val="00DB0212"/>
    <w:rsid w:val="00DB03CC"/>
    <w:rsid w:val="00DB0A38"/>
    <w:rsid w:val="00DB1091"/>
    <w:rsid w:val="00DB1393"/>
    <w:rsid w:val="00DB1A13"/>
    <w:rsid w:val="00DB20AA"/>
    <w:rsid w:val="00DB21E8"/>
    <w:rsid w:val="00DB2244"/>
    <w:rsid w:val="00DB26AC"/>
    <w:rsid w:val="00DB290C"/>
    <w:rsid w:val="00DB2AC3"/>
    <w:rsid w:val="00DB2B85"/>
    <w:rsid w:val="00DB2CDE"/>
    <w:rsid w:val="00DB2D8B"/>
    <w:rsid w:val="00DB355F"/>
    <w:rsid w:val="00DB3596"/>
    <w:rsid w:val="00DB409C"/>
    <w:rsid w:val="00DB4206"/>
    <w:rsid w:val="00DB47F9"/>
    <w:rsid w:val="00DB522B"/>
    <w:rsid w:val="00DB5905"/>
    <w:rsid w:val="00DB5BD2"/>
    <w:rsid w:val="00DB5F69"/>
    <w:rsid w:val="00DB6180"/>
    <w:rsid w:val="00DB61E1"/>
    <w:rsid w:val="00DB661D"/>
    <w:rsid w:val="00DB7082"/>
    <w:rsid w:val="00DB708A"/>
    <w:rsid w:val="00DB7128"/>
    <w:rsid w:val="00DB7153"/>
    <w:rsid w:val="00DB7650"/>
    <w:rsid w:val="00DB782D"/>
    <w:rsid w:val="00DB7B1D"/>
    <w:rsid w:val="00DC0264"/>
    <w:rsid w:val="00DC1130"/>
    <w:rsid w:val="00DC1365"/>
    <w:rsid w:val="00DC1F25"/>
    <w:rsid w:val="00DC2C1E"/>
    <w:rsid w:val="00DC3421"/>
    <w:rsid w:val="00DC377C"/>
    <w:rsid w:val="00DC3BE2"/>
    <w:rsid w:val="00DC4271"/>
    <w:rsid w:val="00DC45A3"/>
    <w:rsid w:val="00DC45B8"/>
    <w:rsid w:val="00DC461B"/>
    <w:rsid w:val="00DC48E4"/>
    <w:rsid w:val="00DC4E54"/>
    <w:rsid w:val="00DC517B"/>
    <w:rsid w:val="00DC5365"/>
    <w:rsid w:val="00DC5387"/>
    <w:rsid w:val="00DC55AE"/>
    <w:rsid w:val="00DC577D"/>
    <w:rsid w:val="00DC57C5"/>
    <w:rsid w:val="00DC5CA2"/>
    <w:rsid w:val="00DC6A86"/>
    <w:rsid w:val="00DC791E"/>
    <w:rsid w:val="00DC7B1E"/>
    <w:rsid w:val="00DD0ACB"/>
    <w:rsid w:val="00DD0D76"/>
    <w:rsid w:val="00DD0F42"/>
    <w:rsid w:val="00DD118F"/>
    <w:rsid w:val="00DD1243"/>
    <w:rsid w:val="00DD1280"/>
    <w:rsid w:val="00DD144C"/>
    <w:rsid w:val="00DD14C5"/>
    <w:rsid w:val="00DD1B04"/>
    <w:rsid w:val="00DD1B1C"/>
    <w:rsid w:val="00DD1CE6"/>
    <w:rsid w:val="00DD23F0"/>
    <w:rsid w:val="00DD2B93"/>
    <w:rsid w:val="00DD3232"/>
    <w:rsid w:val="00DD338C"/>
    <w:rsid w:val="00DD35E7"/>
    <w:rsid w:val="00DD399F"/>
    <w:rsid w:val="00DD3A98"/>
    <w:rsid w:val="00DD3F98"/>
    <w:rsid w:val="00DD4008"/>
    <w:rsid w:val="00DD435E"/>
    <w:rsid w:val="00DD4D3B"/>
    <w:rsid w:val="00DD4DDC"/>
    <w:rsid w:val="00DD4E75"/>
    <w:rsid w:val="00DD5335"/>
    <w:rsid w:val="00DD56EC"/>
    <w:rsid w:val="00DD5E06"/>
    <w:rsid w:val="00DD5E86"/>
    <w:rsid w:val="00DD6592"/>
    <w:rsid w:val="00DD6701"/>
    <w:rsid w:val="00DD695A"/>
    <w:rsid w:val="00DD6AA5"/>
    <w:rsid w:val="00DD71A5"/>
    <w:rsid w:val="00DD7408"/>
    <w:rsid w:val="00DD75FD"/>
    <w:rsid w:val="00DD7A56"/>
    <w:rsid w:val="00DD7C2F"/>
    <w:rsid w:val="00DE0245"/>
    <w:rsid w:val="00DE026B"/>
    <w:rsid w:val="00DE13C9"/>
    <w:rsid w:val="00DE13DD"/>
    <w:rsid w:val="00DE1568"/>
    <w:rsid w:val="00DE18BD"/>
    <w:rsid w:val="00DE1CE1"/>
    <w:rsid w:val="00DE1DF5"/>
    <w:rsid w:val="00DE2523"/>
    <w:rsid w:val="00DE28CA"/>
    <w:rsid w:val="00DE2933"/>
    <w:rsid w:val="00DE2BF3"/>
    <w:rsid w:val="00DE2C9B"/>
    <w:rsid w:val="00DE30F9"/>
    <w:rsid w:val="00DE32C6"/>
    <w:rsid w:val="00DE34D2"/>
    <w:rsid w:val="00DE3679"/>
    <w:rsid w:val="00DE3CC6"/>
    <w:rsid w:val="00DE4045"/>
    <w:rsid w:val="00DE440A"/>
    <w:rsid w:val="00DE49AA"/>
    <w:rsid w:val="00DE4E40"/>
    <w:rsid w:val="00DE5121"/>
    <w:rsid w:val="00DE544E"/>
    <w:rsid w:val="00DE57C8"/>
    <w:rsid w:val="00DE6113"/>
    <w:rsid w:val="00DE64FD"/>
    <w:rsid w:val="00DE670E"/>
    <w:rsid w:val="00DE6E42"/>
    <w:rsid w:val="00DE70B1"/>
    <w:rsid w:val="00DE76A4"/>
    <w:rsid w:val="00DE76FA"/>
    <w:rsid w:val="00DE798C"/>
    <w:rsid w:val="00DE79C4"/>
    <w:rsid w:val="00DE7B3F"/>
    <w:rsid w:val="00DE7C56"/>
    <w:rsid w:val="00DF0351"/>
    <w:rsid w:val="00DF0436"/>
    <w:rsid w:val="00DF051B"/>
    <w:rsid w:val="00DF0707"/>
    <w:rsid w:val="00DF14F4"/>
    <w:rsid w:val="00DF16A1"/>
    <w:rsid w:val="00DF16B9"/>
    <w:rsid w:val="00DF1D83"/>
    <w:rsid w:val="00DF2624"/>
    <w:rsid w:val="00DF2F9A"/>
    <w:rsid w:val="00DF325A"/>
    <w:rsid w:val="00DF35D4"/>
    <w:rsid w:val="00DF3BCC"/>
    <w:rsid w:val="00DF47B9"/>
    <w:rsid w:val="00DF4BB4"/>
    <w:rsid w:val="00DF50D7"/>
    <w:rsid w:val="00DF5D56"/>
    <w:rsid w:val="00DF6279"/>
    <w:rsid w:val="00DF63E9"/>
    <w:rsid w:val="00DF6520"/>
    <w:rsid w:val="00DF68D0"/>
    <w:rsid w:val="00DF68D9"/>
    <w:rsid w:val="00DF6FA7"/>
    <w:rsid w:val="00DF765B"/>
    <w:rsid w:val="00DF7A52"/>
    <w:rsid w:val="00DF7A96"/>
    <w:rsid w:val="00E001AA"/>
    <w:rsid w:val="00E00307"/>
    <w:rsid w:val="00E00736"/>
    <w:rsid w:val="00E009C3"/>
    <w:rsid w:val="00E02142"/>
    <w:rsid w:val="00E0256C"/>
    <w:rsid w:val="00E0261C"/>
    <w:rsid w:val="00E02BDB"/>
    <w:rsid w:val="00E02F54"/>
    <w:rsid w:val="00E02FFD"/>
    <w:rsid w:val="00E034DA"/>
    <w:rsid w:val="00E0361B"/>
    <w:rsid w:val="00E03C74"/>
    <w:rsid w:val="00E03CBC"/>
    <w:rsid w:val="00E03DDB"/>
    <w:rsid w:val="00E03EF3"/>
    <w:rsid w:val="00E0499A"/>
    <w:rsid w:val="00E04A82"/>
    <w:rsid w:val="00E04C18"/>
    <w:rsid w:val="00E051CE"/>
    <w:rsid w:val="00E053CB"/>
    <w:rsid w:val="00E05581"/>
    <w:rsid w:val="00E057B6"/>
    <w:rsid w:val="00E060AC"/>
    <w:rsid w:val="00E060B1"/>
    <w:rsid w:val="00E0701A"/>
    <w:rsid w:val="00E1069E"/>
    <w:rsid w:val="00E109A1"/>
    <w:rsid w:val="00E10A4D"/>
    <w:rsid w:val="00E11252"/>
    <w:rsid w:val="00E116D7"/>
    <w:rsid w:val="00E121D8"/>
    <w:rsid w:val="00E1227C"/>
    <w:rsid w:val="00E1253F"/>
    <w:rsid w:val="00E12ECA"/>
    <w:rsid w:val="00E12F81"/>
    <w:rsid w:val="00E13602"/>
    <w:rsid w:val="00E13987"/>
    <w:rsid w:val="00E13E4F"/>
    <w:rsid w:val="00E13EF1"/>
    <w:rsid w:val="00E14500"/>
    <w:rsid w:val="00E14C54"/>
    <w:rsid w:val="00E157C7"/>
    <w:rsid w:val="00E15B5C"/>
    <w:rsid w:val="00E15C95"/>
    <w:rsid w:val="00E15EE9"/>
    <w:rsid w:val="00E160B2"/>
    <w:rsid w:val="00E164B3"/>
    <w:rsid w:val="00E16905"/>
    <w:rsid w:val="00E16C9D"/>
    <w:rsid w:val="00E17184"/>
    <w:rsid w:val="00E17702"/>
    <w:rsid w:val="00E17868"/>
    <w:rsid w:val="00E20326"/>
    <w:rsid w:val="00E20482"/>
    <w:rsid w:val="00E20812"/>
    <w:rsid w:val="00E20A2A"/>
    <w:rsid w:val="00E20B01"/>
    <w:rsid w:val="00E20BAA"/>
    <w:rsid w:val="00E20BF8"/>
    <w:rsid w:val="00E21AD2"/>
    <w:rsid w:val="00E21EB4"/>
    <w:rsid w:val="00E21F31"/>
    <w:rsid w:val="00E22206"/>
    <w:rsid w:val="00E22683"/>
    <w:rsid w:val="00E22761"/>
    <w:rsid w:val="00E22B5F"/>
    <w:rsid w:val="00E22C2A"/>
    <w:rsid w:val="00E22D21"/>
    <w:rsid w:val="00E22E45"/>
    <w:rsid w:val="00E22E4B"/>
    <w:rsid w:val="00E2337D"/>
    <w:rsid w:val="00E233E1"/>
    <w:rsid w:val="00E2344F"/>
    <w:rsid w:val="00E23D64"/>
    <w:rsid w:val="00E23E61"/>
    <w:rsid w:val="00E23EFF"/>
    <w:rsid w:val="00E240AF"/>
    <w:rsid w:val="00E25BA0"/>
    <w:rsid w:val="00E25BF1"/>
    <w:rsid w:val="00E25C91"/>
    <w:rsid w:val="00E25DD6"/>
    <w:rsid w:val="00E260F7"/>
    <w:rsid w:val="00E261CF"/>
    <w:rsid w:val="00E26266"/>
    <w:rsid w:val="00E264DB"/>
    <w:rsid w:val="00E26971"/>
    <w:rsid w:val="00E269E2"/>
    <w:rsid w:val="00E271A0"/>
    <w:rsid w:val="00E271BA"/>
    <w:rsid w:val="00E27283"/>
    <w:rsid w:val="00E274AA"/>
    <w:rsid w:val="00E27693"/>
    <w:rsid w:val="00E27AB1"/>
    <w:rsid w:val="00E302C0"/>
    <w:rsid w:val="00E3036B"/>
    <w:rsid w:val="00E30945"/>
    <w:rsid w:val="00E30E25"/>
    <w:rsid w:val="00E31306"/>
    <w:rsid w:val="00E31842"/>
    <w:rsid w:val="00E32707"/>
    <w:rsid w:val="00E32713"/>
    <w:rsid w:val="00E334AE"/>
    <w:rsid w:val="00E338E2"/>
    <w:rsid w:val="00E33FA3"/>
    <w:rsid w:val="00E3432A"/>
    <w:rsid w:val="00E34B11"/>
    <w:rsid w:val="00E34C93"/>
    <w:rsid w:val="00E34CA6"/>
    <w:rsid w:val="00E34EB8"/>
    <w:rsid w:val="00E3526E"/>
    <w:rsid w:val="00E3548F"/>
    <w:rsid w:val="00E35499"/>
    <w:rsid w:val="00E35AF8"/>
    <w:rsid w:val="00E35FAC"/>
    <w:rsid w:val="00E364C6"/>
    <w:rsid w:val="00E36883"/>
    <w:rsid w:val="00E368EE"/>
    <w:rsid w:val="00E36C4E"/>
    <w:rsid w:val="00E36CB6"/>
    <w:rsid w:val="00E37038"/>
    <w:rsid w:val="00E371CB"/>
    <w:rsid w:val="00E37278"/>
    <w:rsid w:val="00E3798A"/>
    <w:rsid w:val="00E37B25"/>
    <w:rsid w:val="00E37D39"/>
    <w:rsid w:val="00E40490"/>
    <w:rsid w:val="00E407A8"/>
    <w:rsid w:val="00E40B67"/>
    <w:rsid w:val="00E40CA8"/>
    <w:rsid w:val="00E4111B"/>
    <w:rsid w:val="00E41469"/>
    <w:rsid w:val="00E414E3"/>
    <w:rsid w:val="00E41787"/>
    <w:rsid w:val="00E41EA1"/>
    <w:rsid w:val="00E4231C"/>
    <w:rsid w:val="00E4274C"/>
    <w:rsid w:val="00E427C9"/>
    <w:rsid w:val="00E42C8B"/>
    <w:rsid w:val="00E4363A"/>
    <w:rsid w:val="00E43A1D"/>
    <w:rsid w:val="00E44389"/>
    <w:rsid w:val="00E4439A"/>
    <w:rsid w:val="00E44739"/>
    <w:rsid w:val="00E44774"/>
    <w:rsid w:val="00E44B39"/>
    <w:rsid w:val="00E45358"/>
    <w:rsid w:val="00E45780"/>
    <w:rsid w:val="00E45A47"/>
    <w:rsid w:val="00E45DAA"/>
    <w:rsid w:val="00E46033"/>
    <w:rsid w:val="00E46447"/>
    <w:rsid w:val="00E464D4"/>
    <w:rsid w:val="00E46B86"/>
    <w:rsid w:val="00E473D9"/>
    <w:rsid w:val="00E474C9"/>
    <w:rsid w:val="00E474DD"/>
    <w:rsid w:val="00E47C81"/>
    <w:rsid w:val="00E47C98"/>
    <w:rsid w:val="00E47E5C"/>
    <w:rsid w:val="00E47F44"/>
    <w:rsid w:val="00E50050"/>
    <w:rsid w:val="00E507C7"/>
    <w:rsid w:val="00E5080C"/>
    <w:rsid w:val="00E516D3"/>
    <w:rsid w:val="00E5225A"/>
    <w:rsid w:val="00E52262"/>
    <w:rsid w:val="00E523FA"/>
    <w:rsid w:val="00E526CF"/>
    <w:rsid w:val="00E526DF"/>
    <w:rsid w:val="00E52DA7"/>
    <w:rsid w:val="00E5311A"/>
    <w:rsid w:val="00E531F4"/>
    <w:rsid w:val="00E5325D"/>
    <w:rsid w:val="00E5362D"/>
    <w:rsid w:val="00E53C30"/>
    <w:rsid w:val="00E545A6"/>
    <w:rsid w:val="00E556A3"/>
    <w:rsid w:val="00E55A29"/>
    <w:rsid w:val="00E55B24"/>
    <w:rsid w:val="00E5677A"/>
    <w:rsid w:val="00E571AF"/>
    <w:rsid w:val="00E57440"/>
    <w:rsid w:val="00E57BE0"/>
    <w:rsid w:val="00E57D4B"/>
    <w:rsid w:val="00E57E62"/>
    <w:rsid w:val="00E57E68"/>
    <w:rsid w:val="00E60A45"/>
    <w:rsid w:val="00E60C24"/>
    <w:rsid w:val="00E60D1E"/>
    <w:rsid w:val="00E60D87"/>
    <w:rsid w:val="00E61256"/>
    <w:rsid w:val="00E61483"/>
    <w:rsid w:val="00E617F7"/>
    <w:rsid w:val="00E61C36"/>
    <w:rsid w:val="00E62237"/>
    <w:rsid w:val="00E622EE"/>
    <w:rsid w:val="00E62720"/>
    <w:rsid w:val="00E62818"/>
    <w:rsid w:val="00E628B5"/>
    <w:rsid w:val="00E62D51"/>
    <w:rsid w:val="00E63459"/>
    <w:rsid w:val="00E63904"/>
    <w:rsid w:val="00E64009"/>
    <w:rsid w:val="00E64413"/>
    <w:rsid w:val="00E64B94"/>
    <w:rsid w:val="00E64DB6"/>
    <w:rsid w:val="00E64EE9"/>
    <w:rsid w:val="00E652B3"/>
    <w:rsid w:val="00E656F8"/>
    <w:rsid w:val="00E661FA"/>
    <w:rsid w:val="00E664E1"/>
    <w:rsid w:val="00E66C6A"/>
    <w:rsid w:val="00E673F7"/>
    <w:rsid w:val="00E67807"/>
    <w:rsid w:val="00E67FCC"/>
    <w:rsid w:val="00E67FF0"/>
    <w:rsid w:val="00E70308"/>
    <w:rsid w:val="00E70632"/>
    <w:rsid w:val="00E70655"/>
    <w:rsid w:val="00E70A48"/>
    <w:rsid w:val="00E70ADB"/>
    <w:rsid w:val="00E70CF1"/>
    <w:rsid w:val="00E70E8B"/>
    <w:rsid w:val="00E7139A"/>
    <w:rsid w:val="00E7141A"/>
    <w:rsid w:val="00E71606"/>
    <w:rsid w:val="00E71630"/>
    <w:rsid w:val="00E718BF"/>
    <w:rsid w:val="00E71F21"/>
    <w:rsid w:val="00E720DE"/>
    <w:rsid w:val="00E7212B"/>
    <w:rsid w:val="00E72329"/>
    <w:rsid w:val="00E72D9D"/>
    <w:rsid w:val="00E73BFB"/>
    <w:rsid w:val="00E73C5F"/>
    <w:rsid w:val="00E73E53"/>
    <w:rsid w:val="00E73E95"/>
    <w:rsid w:val="00E73FF9"/>
    <w:rsid w:val="00E744C8"/>
    <w:rsid w:val="00E745DF"/>
    <w:rsid w:val="00E745E7"/>
    <w:rsid w:val="00E74643"/>
    <w:rsid w:val="00E74941"/>
    <w:rsid w:val="00E74A32"/>
    <w:rsid w:val="00E74B72"/>
    <w:rsid w:val="00E74C02"/>
    <w:rsid w:val="00E74FF2"/>
    <w:rsid w:val="00E75316"/>
    <w:rsid w:val="00E75870"/>
    <w:rsid w:val="00E764E9"/>
    <w:rsid w:val="00E76503"/>
    <w:rsid w:val="00E767D0"/>
    <w:rsid w:val="00E76820"/>
    <w:rsid w:val="00E76B0C"/>
    <w:rsid w:val="00E76DEB"/>
    <w:rsid w:val="00E76EEF"/>
    <w:rsid w:val="00E76F0C"/>
    <w:rsid w:val="00E77133"/>
    <w:rsid w:val="00E80185"/>
    <w:rsid w:val="00E80B36"/>
    <w:rsid w:val="00E81CBA"/>
    <w:rsid w:val="00E82198"/>
    <w:rsid w:val="00E82A23"/>
    <w:rsid w:val="00E82A64"/>
    <w:rsid w:val="00E83148"/>
    <w:rsid w:val="00E83155"/>
    <w:rsid w:val="00E8319C"/>
    <w:rsid w:val="00E83964"/>
    <w:rsid w:val="00E83BA6"/>
    <w:rsid w:val="00E83FD8"/>
    <w:rsid w:val="00E83FDD"/>
    <w:rsid w:val="00E8401A"/>
    <w:rsid w:val="00E8458B"/>
    <w:rsid w:val="00E845CF"/>
    <w:rsid w:val="00E849A5"/>
    <w:rsid w:val="00E84BAF"/>
    <w:rsid w:val="00E857D5"/>
    <w:rsid w:val="00E85A8B"/>
    <w:rsid w:val="00E85DC3"/>
    <w:rsid w:val="00E86090"/>
    <w:rsid w:val="00E86124"/>
    <w:rsid w:val="00E86237"/>
    <w:rsid w:val="00E866BC"/>
    <w:rsid w:val="00E86712"/>
    <w:rsid w:val="00E86B06"/>
    <w:rsid w:val="00E86F70"/>
    <w:rsid w:val="00E87706"/>
    <w:rsid w:val="00E87DC5"/>
    <w:rsid w:val="00E87E02"/>
    <w:rsid w:val="00E90366"/>
    <w:rsid w:val="00E90DFC"/>
    <w:rsid w:val="00E914E4"/>
    <w:rsid w:val="00E9173D"/>
    <w:rsid w:val="00E91827"/>
    <w:rsid w:val="00E91DE6"/>
    <w:rsid w:val="00E91E0B"/>
    <w:rsid w:val="00E9207B"/>
    <w:rsid w:val="00E92215"/>
    <w:rsid w:val="00E922AA"/>
    <w:rsid w:val="00E92310"/>
    <w:rsid w:val="00E93162"/>
    <w:rsid w:val="00E935B9"/>
    <w:rsid w:val="00E94089"/>
    <w:rsid w:val="00E94466"/>
    <w:rsid w:val="00E95456"/>
    <w:rsid w:val="00E9577C"/>
    <w:rsid w:val="00E95B75"/>
    <w:rsid w:val="00E95DEA"/>
    <w:rsid w:val="00E960E9"/>
    <w:rsid w:val="00E96663"/>
    <w:rsid w:val="00E96A64"/>
    <w:rsid w:val="00E96B12"/>
    <w:rsid w:val="00E96E80"/>
    <w:rsid w:val="00E97346"/>
    <w:rsid w:val="00E976B1"/>
    <w:rsid w:val="00EA0A1E"/>
    <w:rsid w:val="00EA1190"/>
    <w:rsid w:val="00EA1239"/>
    <w:rsid w:val="00EA1443"/>
    <w:rsid w:val="00EA1FE5"/>
    <w:rsid w:val="00EA21EE"/>
    <w:rsid w:val="00EA239E"/>
    <w:rsid w:val="00EA24A9"/>
    <w:rsid w:val="00EA25EE"/>
    <w:rsid w:val="00EA26EE"/>
    <w:rsid w:val="00EA2A40"/>
    <w:rsid w:val="00EA2CE4"/>
    <w:rsid w:val="00EA313F"/>
    <w:rsid w:val="00EA32C0"/>
    <w:rsid w:val="00EA358A"/>
    <w:rsid w:val="00EA3D68"/>
    <w:rsid w:val="00EA498F"/>
    <w:rsid w:val="00EA49F1"/>
    <w:rsid w:val="00EA508A"/>
    <w:rsid w:val="00EA524A"/>
    <w:rsid w:val="00EA5553"/>
    <w:rsid w:val="00EA563C"/>
    <w:rsid w:val="00EA571D"/>
    <w:rsid w:val="00EA5789"/>
    <w:rsid w:val="00EA58E4"/>
    <w:rsid w:val="00EA598E"/>
    <w:rsid w:val="00EA5A45"/>
    <w:rsid w:val="00EA5C7A"/>
    <w:rsid w:val="00EA5FE8"/>
    <w:rsid w:val="00EA62FC"/>
    <w:rsid w:val="00EA6325"/>
    <w:rsid w:val="00EA6DA9"/>
    <w:rsid w:val="00EA6E94"/>
    <w:rsid w:val="00EA6FCC"/>
    <w:rsid w:val="00EA7D42"/>
    <w:rsid w:val="00EA7D75"/>
    <w:rsid w:val="00EB0975"/>
    <w:rsid w:val="00EB17EA"/>
    <w:rsid w:val="00EB1B00"/>
    <w:rsid w:val="00EB1D3D"/>
    <w:rsid w:val="00EB2F75"/>
    <w:rsid w:val="00EB3826"/>
    <w:rsid w:val="00EB3DED"/>
    <w:rsid w:val="00EB3F94"/>
    <w:rsid w:val="00EB400F"/>
    <w:rsid w:val="00EB460B"/>
    <w:rsid w:val="00EB4BA6"/>
    <w:rsid w:val="00EB514E"/>
    <w:rsid w:val="00EB5BA3"/>
    <w:rsid w:val="00EB604E"/>
    <w:rsid w:val="00EB60AF"/>
    <w:rsid w:val="00EB6291"/>
    <w:rsid w:val="00EB6637"/>
    <w:rsid w:val="00EB6664"/>
    <w:rsid w:val="00EB6A78"/>
    <w:rsid w:val="00EB6D14"/>
    <w:rsid w:val="00EB6E92"/>
    <w:rsid w:val="00EB6F05"/>
    <w:rsid w:val="00EB7066"/>
    <w:rsid w:val="00EB72B5"/>
    <w:rsid w:val="00EB7D23"/>
    <w:rsid w:val="00EB7F65"/>
    <w:rsid w:val="00EC038B"/>
    <w:rsid w:val="00EC0492"/>
    <w:rsid w:val="00EC0A0A"/>
    <w:rsid w:val="00EC0E69"/>
    <w:rsid w:val="00EC1201"/>
    <w:rsid w:val="00EC12CC"/>
    <w:rsid w:val="00EC135C"/>
    <w:rsid w:val="00EC192D"/>
    <w:rsid w:val="00EC1B47"/>
    <w:rsid w:val="00EC1D44"/>
    <w:rsid w:val="00EC2142"/>
    <w:rsid w:val="00EC26DA"/>
    <w:rsid w:val="00EC28A1"/>
    <w:rsid w:val="00EC2FB0"/>
    <w:rsid w:val="00EC3787"/>
    <w:rsid w:val="00EC3DE6"/>
    <w:rsid w:val="00EC3FA4"/>
    <w:rsid w:val="00EC40DA"/>
    <w:rsid w:val="00EC40EF"/>
    <w:rsid w:val="00EC43E9"/>
    <w:rsid w:val="00EC472C"/>
    <w:rsid w:val="00EC4ADB"/>
    <w:rsid w:val="00EC4B50"/>
    <w:rsid w:val="00EC54F7"/>
    <w:rsid w:val="00EC583F"/>
    <w:rsid w:val="00EC5BD8"/>
    <w:rsid w:val="00EC7081"/>
    <w:rsid w:val="00EC7A75"/>
    <w:rsid w:val="00ED0020"/>
    <w:rsid w:val="00ED0069"/>
    <w:rsid w:val="00ED01DD"/>
    <w:rsid w:val="00ED0460"/>
    <w:rsid w:val="00ED0472"/>
    <w:rsid w:val="00ED04F8"/>
    <w:rsid w:val="00ED0957"/>
    <w:rsid w:val="00ED0B6C"/>
    <w:rsid w:val="00ED1208"/>
    <w:rsid w:val="00ED1239"/>
    <w:rsid w:val="00ED12CC"/>
    <w:rsid w:val="00ED147B"/>
    <w:rsid w:val="00ED1BAB"/>
    <w:rsid w:val="00ED247E"/>
    <w:rsid w:val="00ED248B"/>
    <w:rsid w:val="00ED250D"/>
    <w:rsid w:val="00ED259C"/>
    <w:rsid w:val="00ED2AF1"/>
    <w:rsid w:val="00ED2C04"/>
    <w:rsid w:val="00ED2C2B"/>
    <w:rsid w:val="00ED2C67"/>
    <w:rsid w:val="00ED2ECB"/>
    <w:rsid w:val="00ED326A"/>
    <w:rsid w:val="00ED34D0"/>
    <w:rsid w:val="00ED3999"/>
    <w:rsid w:val="00ED3CEE"/>
    <w:rsid w:val="00ED3DF9"/>
    <w:rsid w:val="00ED3E42"/>
    <w:rsid w:val="00ED3E84"/>
    <w:rsid w:val="00ED3FE1"/>
    <w:rsid w:val="00ED40A0"/>
    <w:rsid w:val="00ED41D4"/>
    <w:rsid w:val="00ED4285"/>
    <w:rsid w:val="00ED509E"/>
    <w:rsid w:val="00ED52D8"/>
    <w:rsid w:val="00ED54AC"/>
    <w:rsid w:val="00ED54BC"/>
    <w:rsid w:val="00ED5D8E"/>
    <w:rsid w:val="00ED5E56"/>
    <w:rsid w:val="00ED6114"/>
    <w:rsid w:val="00ED6719"/>
    <w:rsid w:val="00ED6AE5"/>
    <w:rsid w:val="00ED73CD"/>
    <w:rsid w:val="00ED7653"/>
    <w:rsid w:val="00ED7B7F"/>
    <w:rsid w:val="00ED7CDD"/>
    <w:rsid w:val="00ED7D79"/>
    <w:rsid w:val="00ED7DE1"/>
    <w:rsid w:val="00EE01A2"/>
    <w:rsid w:val="00EE02E5"/>
    <w:rsid w:val="00EE03A3"/>
    <w:rsid w:val="00EE2333"/>
    <w:rsid w:val="00EE2653"/>
    <w:rsid w:val="00EE2ACD"/>
    <w:rsid w:val="00EE312A"/>
    <w:rsid w:val="00EE334C"/>
    <w:rsid w:val="00EE3784"/>
    <w:rsid w:val="00EE3AEC"/>
    <w:rsid w:val="00EE3AFD"/>
    <w:rsid w:val="00EE3C82"/>
    <w:rsid w:val="00EE4BD7"/>
    <w:rsid w:val="00EE4C2A"/>
    <w:rsid w:val="00EE4D5C"/>
    <w:rsid w:val="00EE4DF1"/>
    <w:rsid w:val="00EE4ED7"/>
    <w:rsid w:val="00EE5E95"/>
    <w:rsid w:val="00EE5ED3"/>
    <w:rsid w:val="00EE66E7"/>
    <w:rsid w:val="00EE674C"/>
    <w:rsid w:val="00EE6A1B"/>
    <w:rsid w:val="00EE7074"/>
    <w:rsid w:val="00EE75EE"/>
    <w:rsid w:val="00EE78B7"/>
    <w:rsid w:val="00EE7B68"/>
    <w:rsid w:val="00EE7F81"/>
    <w:rsid w:val="00EF02D8"/>
    <w:rsid w:val="00EF1088"/>
    <w:rsid w:val="00EF144F"/>
    <w:rsid w:val="00EF146E"/>
    <w:rsid w:val="00EF197C"/>
    <w:rsid w:val="00EF1B2E"/>
    <w:rsid w:val="00EF2271"/>
    <w:rsid w:val="00EF22F1"/>
    <w:rsid w:val="00EF2527"/>
    <w:rsid w:val="00EF25CE"/>
    <w:rsid w:val="00EF26D5"/>
    <w:rsid w:val="00EF2A90"/>
    <w:rsid w:val="00EF2B99"/>
    <w:rsid w:val="00EF3640"/>
    <w:rsid w:val="00EF367F"/>
    <w:rsid w:val="00EF3820"/>
    <w:rsid w:val="00EF3ACA"/>
    <w:rsid w:val="00EF5118"/>
    <w:rsid w:val="00EF512E"/>
    <w:rsid w:val="00EF5616"/>
    <w:rsid w:val="00EF5904"/>
    <w:rsid w:val="00EF641E"/>
    <w:rsid w:val="00EF655A"/>
    <w:rsid w:val="00EF659F"/>
    <w:rsid w:val="00EF6FC5"/>
    <w:rsid w:val="00EF7799"/>
    <w:rsid w:val="00EF7809"/>
    <w:rsid w:val="00F00239"/>
    <w:rsid w:val="00F013E8"/>
    <w:rsid w:val="00F01618"/>
    <w:rsid w:val="00F01770"/>
    <w:rsid w:val="00F019F2"/>
    <w:rsid w:val="00F01DAF"/>
    <w:rsid w:val="00F01E9A"/>
    <w:rsid w:val="00F0288E"/>
    <w:rsid w:val="00F02903"/>
    <w:rsid w:val="00F03062"/>
    <w:rsid w:val="00F034E4"/>
    <w:rsid w:val="00F0373A"/>
    <w:rsid w:val="00F039BB"/>
    <w:rsid w:val="00F039C6"/>
    <w:rsid w:val="00F03A81"/>
    <w:rsid w:val="00F0404E"/>
    <w:rsid w:val="00F042D7"/>
    <w:rsid w:val="00F04463"/>
    <w:rsid w:val="00F04C77"/>
    <w:rsid w:val="00F04E8D"/>
    <w:rsid w:val="00F04F21"/>
    <w:rsid w:val="00F04F5C"/>
    <w:rsid w:val="00F0553E"/>
    <w:rsid w:val="00F05541"/>
    <w:rsid w:val="00F062E3"/>
    <w:rsid w:val="00F063D1"/>
    <w:rsid w:val="00F06801"/>
    <w:rsid w:val="00F06880"/>
    <w:rsid w:val="00F06CFD"/>
    <w:rsid w:val="00F072C8"/>
    <w:rsid w:val="00F074B5"/>
    <w:rsid w:val="00F07913"/>
    <w:rsid w:val="00F07A9F"/>
    <w:rsid w:val="00F10133"/>
    <w:rsid w:val="00F10E98"/>
    <w:rsid w:val="00F11157"/>
    <w:rsid w:val="00F112D0"/>
    <w:rsid w:val="00F113DA"/>
    <w:rsid w:val="00F11749"/>
    <w:rsid w:val="00F118B2"/>
    <w:rsid w:val="00F11B77"/>
    <w:rsid w:val="00F12DD1"/>
    <w:rsid w:val="00F12F5B"/>
    <w:rsid w:val="00F1369D"/>
    <w:rsid w:val="00F136CA"/>
    <w:rsid w:val="00F14077"/>
    <w:rsid w:val="00F1423D"/>
    <w:rsid w:val="00F14434"/>
    <w:rsid w:val="00F149B6"/>
    <w:rsid w:val="00F14F13"/>
    <w:rsid w:val="00F15ACB"/>
    <w:rsid w:val="00F15DCE"/>
    <w:rsid w:val="00F15F65"/>
    <w:rsid w:val="00F16104"/>
    <w:rsid w:val="00F162F3"/>
    <w:rsid w:val="00F16463"/>
    <w:rsid w:val="00F16C63"/>
    <w:rsid w:val="00F16EA3"/>
    <w:rsid w:val="00F17057"/>
    <w:rsid w:val="00F17C45"/>
    <w:rsid w:val="00F2021C"/>
    <w:rsid w:val="00F20928"/>
    <w:rsid w:val="00F20A4A"/>
    <w:rsid w:val="00F20B46"/>
    <w:rsid w:val="00F20D9E"/>
    <w:rsid w:val="00F20F43"/>
    <w:rsid w:val="00F2111D"/>
    <w:rsid w:val="00F212FF"/>
    <w:rsid w:val="00F21374"/>
    <w:rsid w:val="00F21538"/>
    <w:rsid w:val="00F22268"/>
    <w:rsid w:val="00F22444"/>
    <w:rsid w:val="00F22718"/>
    <w:rsid w:val="00F228D4"/>
    <w:rsid w:val="00F22D4F"/>
    <w:rsid w:val="00F23124"/>
    <w:rsid w:val="00F231A8"/>
    <w:rsid w:val="00F2401F"/>
    <w:rsid w:val="00F246CB"/>
    <w:rsid w:val="00F24854"/>
    <w:rsid w:val="00F24AC0"/>
    <w:rsid w:val="00F24D4C"/>
    <w:rsid w:val="00F24E89"/>
    <w:rsid w:val="00F2589A"/>
    <w:rsid w:val="00F259E4"/>
    <w:rsid w:val="00F25BE7"/>
    <w:rsid w:val="00F26102"/>
    <w:rsid w:val="00F26253"/>
    <w:rsid w:val="00F2709B"/>
    <w:rsid w:val="00F27E3A"/>
    <w:rsid w:val="00F30090"/>
    <w:rsid w:val="00F301B2"/>
    <w:rsid w:val="00F30B7F"/>
    <w:rsid w:val="00F30DB0"/>
    <w:rsid w:val="00F310B8"/>
    <w:rsid w:val="00F312B0"/>
    <w:rsid w:val="00F31E16"/>
    <w:rsid w:val="00F320C7"/>
    <w:rsid w:val="00F3275F"/>
    <w:rsid w:val="00F3302C"/>
    <w:rsid w:val="00F3310E"/>
    <w:rsid w:val="00F3372A"/>
    <w:rsid w:val="00F33793"/>
    <w:rsid w:val="00F337B9"/>
    <w:rsid w:val="00F33AA1"/>
    <w:rsid w:val="00F34115"/>
    <w:rsid w:val="00F342D2"/>
    <w:rsid w:val="00F34FBC"/>
    <w:rsid w:val="00F34FC3"/>
    <w:rsid w:val="00F350C1"/>
    <w:rsid w:val="00F352EC"/>
    <w:rsid w:val="00F35571"/>
    <w:rsid w:val="00F36164"/>
    <w:rsid w:val="00F36684"/>
    <w:rsid w:val="00F368D0"/>
    <w:rsid w:val="00F36E72"/>
    <w:rsid w:val="00F370D1"/>
    <w:rsid w:val="00F3736F"/>
    <w:rsid w:val="00F40136"/>
    <w:rsid w:val="00F40145"/>
    <w:rsid w:val="00F40233"/>
    <w:rsid w:val="00F40EFD"/>
    <w:rsid w:val="00F40F49"/>
    <w:rsid w:val="00F4102A"/>
    <w:rsid w:val="00F410FB"/>
    <w:rsid w:val="00F411DE"/>
    <w:rsid w:val="00F4154E"/>
    <w:rsid w:val="00F4199C"/>
    <w:rsid w:val="00F41AB3"/>
    <w:rsid w:val="00F41BF0"/>
    <w:rsid w:val="00F41CB7"/>
    <w:rsid w:val="00F425CB"/>
    <w:rsid w:val="00F4283C"/>
    <w:rsid w:val="00F428AC"/>
    <w:rsid w:val="00F429A9"/>
    <w:rsid w:val="00F42A4C"/>
    <w:rsid w:val="00F42CE6"/>
    <w:rsid w:val="00F43175"/>
    <w:rsid w:val="00F43368"/>
    <w:rsid w:val="00F43422"/>
    <w:rsid w:val="00F434D2"/>
    <w:rsid w:val="00F43778"/>
    <w:rsid w:val="00F4392F"/>
    <w:rsid w:val="00F43B9A"/>
    <w:rsid w:val="00F44113"/>
    <w:rsid w:val="00F44319"/>
    <w:rsid w:val="00F443F9"/>
    <w:rsid w:val="00F4446D"/>
    <w:rsid w:val="00F44518"/>
    <w:rsid w:val="00F44741"/>
    <w:rsid w:val="00F44AC1"/>
    <w:rsid w:val="00F44EF8"/>
    <w:rsid w:val="00F45169"/>
    <w:rsid w:val="00F4550F"/>
    <w:rsid w:val="00F45D25"/>
    <w:rsid w:val="00F45D34"/>
    <w:rsid w:val="00F45E26"/>
    <w:rsid w:val="00F46053"/>
    <w:rsid w:val="00F460C2"/>
    <w:rsid w:val="00F4658D"/>
    <w:rsid w:val="00F46661"/>
    <w:rsid w:val="00F467A6"/>
    <w:rsid w:val="00F46935"/>
    <w:rsid w:val="00F46994"/>
    <w:rsid w:val="00F46C8E"/>
    <w:rsid w:val="00F47529"/>
    <w:rsid w:val="00F47C05"/>
    <w:rsid w:val="00F47C6B"/>
    <w:rsid w:val="00F47D6D"/>
    <w:rsid w:val="00F50D4A"/>
    <w:rsid w:val="00F50E94"/>
    <w:rsid w:val="00F51417"/>
    <w:rsid w:val="00F514EB"/>
    <w:rsid w:val="00F51840"/>
    <w:rsid w:val="00F518DA"/>
    <w:rsid w:val="00F51BC2"/>
    <w:rsid w:val="00F51C4E"/>
    <w:rsid w:val="00F51D6C"/>
    <w:rsid w:val="00F522CC"/>
    <w:rsid w:val="00F52787"/>
    <w:rsid w:val="00F5298B"/>
    <w:rsid w:val="00F52DB1"/>
    <w:rsid w:val="00F52DB7"/>
    <w:rsid w:val="00F530A2"/>
    <w:rsid w:val="00F533FB"/>
    <w:rsid w:val="00F53840"/>
    <w:rsid w:val="00F53966"/>
    <w:rsid w:val="00F53C5D"/>
    <w:rsid w:val="00F53CDF"/>
    <w:rsid w:val="00F53E5E"/>
    <w:rsid w:val="00F54563"/>
    <w:rsid w:val="00F54E0A"/>
    <w:rsid w:val="00F54EE1"/>
    <w:rsid w:val="00F555C2"/>
    <w:rsid w:val="00F556C4"/>
    <w:rsid w:val="00F556FD"/>
    <w:rsid w:val="00F55CA2"/>
    <w:rsid w:val="00F55EEB"/>
    <w:rsid w:val="00F5613D"/>
    <w:rsid w:val="00F56469"/>
    <w:rsid w:val="00F5652D"/>
    <w:rsid w:val="00F56B54"/>
    <w:rsid w:val="00F56E8C"/>
    <w:rsid w:val="00F56F55"/>
    <w:rsid w:val="00F57239"/>
    <w:rsid w:val="00F574BB"/>
    <w:rsid w:val="00F57599"/>
    <w:rsid w:val="00F57800"/>
    <w:rsid w:val="00F57B4E"/>
    <w:rsid w:val="00F57C98"/>
    <w:rsid w:val="00F57D24"/>
    <w:rsid w:val="00F57DA8"/>
    <w:rsid w:val="00F60292"/>
    <w:rsid w:val="00F605CC"/>
    <w:rsid w:val="00F6068F"/>
    <w:rsid w:val="00F60C04"/>
    <w:rsid w:val="00F60E9F"/>
    <w:rsid w:val="00F61264"/>
    <w:rsid w:val="00F616EE"/>
    <w:rsid w:val="00F61783"/>
    <w:rsid w:val="00F618B8"/>
    <w:rsid w:val="00F6197F"/>
    <w:rsid w:val="00F61D72"/>
    <w:rsid w:val="00F61D8B"/>
    <w:rsid w:val="00F62056"/>
    <w:rsid w:val="00F6253E"/>
    <w:rsid w:val="00F62769"/>
    <w:rsid w:val="00F62993"/>
    <w:rsid w:val="00F62C95"/>
    <w:rsid w:val="00F633CF"/>
    <w:rsid w:val="00F63A4E"/>
    <w:rsid w:val="00F63B9C"/>
    <w:rsid w:val="00F6446B"/>
    <w:rsid w:val="00F6449D"/>
    <w:rsid w:val="00F65039"/>
    <w:rsid w:val="00F6512C"/>
    <w:rsid w:val="00F65312"/>
    <w:rsid w:val="00F65984"/>
    <w:rsid w:val="00F65A62"/>
    <w:rsid w:val="00F65D33"/>
    <w:rsid w:val="00F665C4"/>
    <w:rsid w:val="00F66A3D"/>
    <w:rsid w:val="00F66BEB"/>
    <w:rsid w:val="00F671E4"/>
    <w:rsid w:val="00F6738A"/>
    <w:rsid w:val="00F67DB0"/>
    <w:rsid w:val="00F70331"/>
    <w:rsid w:val="00F709E6"/>
    <w:rsid w:val="00F70AE3"/>
    <w:rsid w:val="00F70BDC"/>
    <w:rsid w:val="00F70DC4"/>
    <w:rsid w:val="00F7115E"/>
    <w:rsid w:val="00F71B2E"/>
    <w:rsid w:val="00F71E3B"/>
    <w:rsid w:val="00F71EA7"/>
    <w:rsid w:val="00F71FF1"/>
    <w:rsid w:val="00F720D2"/>
    <w:rsid w:val="00F723CC"/>
    <w:rsid w:val="00F72CFF"/>
    <w:rsid w:val="00F72D00"/>
    <w:rsid w:val="00F73479"/>
    <w:rsid w:val="00F73894"/>
    <w:rsid w:val="00F744F1"/>
    <w:rsid w:val="00F74CC6"/>
    <w:rsid w:val="00F74E27"/>
    <w:rsid w:val="00F75B70"/>
    <w:rsid w:val="00F75C5E"/>
    <w:rsid w:val="00F7633D"/>
    <w:rsid w:val="00F765BB"/>
    <w:rsid w:val="00F7677E"/>
    <w:rsid w:val="00F76858"/>
    <w:rsid w:val="00F76C31"/>
    <w:rsid w:val="00F76C6E"/>
    <w:rsid w:val="00F76D98"/>
    <w:rsid w:val="00F77020"/>
    <w:rsid w:val="00F77156"/>
    <w:rsid w:val="00F77503"/>
    <w:rsid w:val="00F778DE"/>
    <w:rsid w:val="00F779AC"/>
    <w:rsid w:val="00F77E22"/>
    <w:rsid w:val="00F80245"/>
    <w:rsid w:val="00F80273"/>
    <w:rsid w:val="00F808C7"/>
    <w:rsid w:val="00F80BBE"/>
    <w:rsid w:val="00F80CC2"/>
    <w:rsid w:val="00F80D62"/>
    <w:rsid w:val="00F80F96"/>
    <w:rsid w:val="00F816C1"/>
    <w:rsid w:val="00F81831"/>
    <w:rsid w:val="00F81925"/>
    <w:rsid w:val="00F81972"/>
    <w:rsid w:val="00F81BD7"/>
    <w:rsid w:val="00F82052"/>
    <w:rsid w:val="00F821C7"/>
    <w:rsid w:val="00F8299C"/>
    <w:rsid w:val="00F82DA4"/>
    <w:rsid w:val="00F82F2C"/>
    <w:rsid w:val="00F8311E"/>
    <w:rsid w:val="00F836F6"/>
    <w:rsid w:val="00F83912"/>
    <w:rsid w:val="00F84FB7"/>
    <w:rsid w:val="00F854A0"/>
    <w:rsid w:val="00F8551E"/>
    <w:rsid w:val="00F85755"/>
    <w:rsid w:val="00F85C04"/>
    <w:rsid w:val="00F865C6"/>
    <w:rsid w:val="00F868B9"/>
    <w:rsid w:val="00F86918"/>
    <w:rsid w:val="00F86A92"/>
    <w:rsid w:val="00F86EFC"/>
    <w:rsid w:val="00F870C8"/>
    <w:rsid w:val="00F879F4"/>
    <w:rsid w:val="00F87C62"/>
    <w:rsid w:val="00F87F3B"/>
    <w:rsid w:val="00F90192"/>
    <w:rsid w:val="00F9066E"/>
    <w:rsid w:val="00F90998"/>
    <w:rsid w:val="00F90A49"/>
    <w:rsid w:val="00F90E1A"/>
    <w:rsid w:val="00F91850"/>
    <w:rsid w:val="00F91DD5"/>
    <w:rsid w:val="00F9220F"/>
    <w:rsid w:val="00F92246"/>
    <w:rsid w:val="00F922C5"/>
    <w:rsid w:val="00F92AAA"/>
    <w:rsid w:val="00F92BDB"/>
    <w:rsid w:val="00F92F6D"/>
    <w:rsid w:val="00F9335F"/>
    <w:rsid w:val="00F93475"/>
    <w:rsid w:val="00F9473F"/>
    <w:rsid w:val="00F94DA2"/>
    <w:rsid w:val="00F94FEA"/>
    <w:rsid w:val="00F95292"/>
    <w:rsid w:val="00F952C0"/>
    <w:rsid w:val="00F954A0"/>
    <w:rsid w:val="00F95AFC"/>
    <w:rsid w:val="00F96488"/>
    <w:rsid w:val="00F9673B"/>
    <w:rsid w:val="00F968C3"/>
    <w:rsid w:val="00F96A37"/>
    <w:rsid w:val="00F96AAD"/>
    <w:rsid w:val="00F96E18"/>
    <w:rsid w:val="00F976DC"/>
    <w:rsid w:val="00F978B9"/>
    <w:rsid w:val="00F978CC"/>
    <w:rsid w:val="00F97A5D"/>
    <w:rsid w:val="00F97CAD"/>
    <w:rsid w:val="00FA001A"/>
    <w:rsid w:val="00FA05E5"/>
    <w:rsid w:val="00FA07F0"/>
    <w:rsid w:val="00FA08B2"/>
    <w:rsid w:val="00FA1013"/>
    <w:rsid w:val="00FA232E"/>
    <w:rsid w:val="00FA244E"/>
    <w:rsid w:val="00FA254A"/>
    <w:rsid w:val="00FA2784"/>
    <w:rsid w:val="00FA2A14"/>
    <w:rsid w:val="00FA388F"/>
    <w:rsid w:val="00FA38B5"/>
    <w:rsid w:val="00FA3949"/>
    <w:rsid w:val="00FA3F31"/>
    <w:rsid w:val="00FA401B"/>
    <w:rsid w:val="00FA40D4"/>
    <w:rsid w:val="00FA5290"/>
    <w:rsid w:val="00FA5483"/>
    <w:rsid w:val="00FA5902"/>
    <w:rsid w:val="00FA5A40"/>
    <w:rsid w:val="00FA5A4E"/>
    <w:rsid w:val="00FA5C58"/>
    <w:rsid w:val="00FA6919"/>
    <w:rsid w:val="00FA7220"/>
    <w:rsid w:val="00FA7972"/>
    <w:rsid w:val="00FA7D35"/>
    <w:rsid w:val="00FB01D8"/>
    <w:rsid w:val="00FB02C7"/>
    <w:rsid w:val="00FB03B4"/>
    <w:rsid w:val="00FB0471"/>
    <w:rsid w:val="00FB0539"/>
    <w:rsid w:val="00FB05EB"/>
    <w:rsid w:val="00FB0C15"/>
    <w:rsid w:val="00FB1570"/>
    <w:rsid w:val="00FB1901"/>
    <w:rsid w:val="00FB1915"/>
    <w:rsid w:val="00FB1E11"/>
    <w:rsid w:val="00FB2E7E"/>
    <w:rsid w:val="00FB36F1"/>
    <w:rsid w:val="00FB3CAC"/>
    <w:rsid w:val="00FB3E86"/>
    <w:rsid w:val="00FB3FD8"/>
    <w:rsid w:val="00FB41E0"/>
    <w:rsid w:val="00FB4B29"/>
    <w:rsid w:val="00FB5984"/>
    <w:rsid w:val="00FB5D03"/>
    <w:rsid w:val="00FB5F74"/>
    <w:rsid w:val="00FB60F8"/>
    <w:rsid w:val="00FB6356"/>
    <w:rsid w:val="00FB6813"/>
    <w:rsid w:val="00FB69D9"/>
    <w:rsid w:val="00FB6F67"/>
    <w:rsid w:val="00FB793B"/>
    <w:rsid w:val="00FB79FC"/>
    <w:rsid w:val="00FB7AA6"/>
    <w:rsid w:val="00FB7DBE"/>
    <w:rsid w:val="00FC0073"/>
    <w:rsid w:val="00FC01C5"/>
    <w:rsid w:val="00FC0262"/>
    <w:rsid w:val="00FC0946"/>
    <w:rsid w:val="00FC096F"/>
    <w:rsid w:val="00FC0B40"/>
    <w:rsid w:val="00FC176A"/>
    <w:rsid w:val="00FC1BB2"/>
    <w:rsid w:val="00FC247A"/>
    <w:rsid w:val="00FC2827"/>
    <w:rsid w:val="00FC3287"/>
    <w:rsid w:val="00FC339F"/>
    <w:rsid w:val="00FC3876"/>
    <w:rsid w:val="00FC3C36"/>
    <w:rsid w:val="00FC3D0E"/>
    <w:rsid w:val="00FC3DEA"/>
    <w:rsid w:val="00FC3E06"/>
    <w:rsid w:val="00FC431D"/>
    <w:rsid w:val="00FC4357"/>
    <w:rsid w:val="00FC436D"/>
    <w:rsid w:val="00FC459A"/>
    <w:rsid w:val="00FC45BA"/>
    <w:rsid w:val="00FC4911"/>
    <w:rsid w:val="00FC4A79"/>
    <w:rsid w:val="00FC4A7B"/>
    <w:rsid w:val="00FC4BA1"/>
    <w:rsid w:val="00FC4CEE"/>
    <w:rsid w:val="00FC4D15"/>
    <w:rsid w:val="00FC4D6E"/>
    <w:rsid w:val="00FC4F5C"/>
    <w:rsid w:val="00FC50B7"/>
    <w:rsid w:val="00FC5657"/>
    <w:rsid w:val="00FC579E"/>
    <w:rsid w:val="00FC57AC"/>
    <w:rsid w:val="00FC5BAB"/>
    <w:rsid w:val="00FC657D"/>
    <w:rsid w:val="00FC694D"/>
    <w:rsid w:val="00FC7040"/>
    <w:rsid w:val="00FC7AEC"/>
    <w:rsid w:val="00FC7C7D"/>
    <w:rsid w:val="00FC7E01"/>
    <w:rsid w:val="00FD0061"/>
    <w:rsid w:val="00FD05B3"/>
    <w:rsid w:val="00FD05C5"/>
    <w:rsid w:val="00FD0684"/>
    <w:rsid w:val="00FD089D"/>
    <w:rsid w:val="00FD1B57"/>
    <w:rsid w:val="00FD1E92"/>
    <w:rsid w:val="00FD1F85"/>
    <w:rsid w:val="00FD1FE1"/>
    <w:rsid w:val="00FD2131"/>
    <w:rsid w:val="00FD22EA"/>
    <w:rsid w:val="00FD24D2"/>
    <w:rsid w:val="00FD26DF"/>
    <w:rsid w:val="00FD2B5C"/>
    <w:rsid w:val="00FD2D7E"/>
    <w:rsid w:val="00FD2ED9"/>
    <w:rsid w:val="00FD3135"/>
    <w:rsid w:val="00FD34E3"/>
    <w:rsid w:val="00FD39CA"/>
    <w:rsid w:val="00FD3B10"/>
    <w:rsid w:val="00FD4234"/>
    <w:rsid w:val="00FD4314"/>
    <w:rsid w:val="00FD4439"/>
    <w:rsid w:val="00FD494E"/>
    <w:rsid w:val="00FD4BE7"/>
    <w:rsid w:val="00FD4FAB"/>
    <w:rsid w:val="00FD505D"/>
    <w:rsid w:val="00FD52EA"/>
    <w:rsid w:val="00FD5521"/>
    <w:rsid w:val="00FD58A9"/>
    <w:rsid w:val="00FD5D0B"/>
    <w:rsid w:val="00FD5FF9"/>
    <w:rsid w:val="00FD6550"/>
    <w:rsid w:val="00FD68BF"/>
    <w:rsid w:val="00FD6ABE"/>
    <w:rsid w:val="00FD6E3A"/>
    <w:rsid w:val="00FD7081"/>
    <w:rsid w:val="00FD7351"/>
    <w:rsid w:val="00FD73AC"/>
    <w:rsid w:val="00FD7512"/>
    <w:rsid w:val="00FD76AD"/>
    <w:rsid w:val="00FD7860"/>
    <w:rsid w:val="00FD7AB8"/>
    <w:rsid w:val="00FD7BDE"/>
    <w:rsid w:val="00FD7F13"/>
    <w:rsid w:val="00FD7F3E"/>
    <w:rsid w:val="00FE00E7"/>
    <w:rsid w:val="00FE0395"/>
    <w:rsid w:val="00FE0BC4"/>
    <w:rsid w:val="00FE0BDA"/>
    <w:rsid w:val="00FE0C4A"/>
    <w:rsid w:val="00FE0D25"/>
    <w:rsid w:val="00FE0E31"/>
    <w:rsid w:val="00FE12C3"/>
    <w:rsid w:val="00FE1579"/>
    <w:rsid w:val="00FE1B53"/>
    <w:rsid w:val="00FE252D"/>
    <w:rsid w:val="00FE266B"/>
    <w:rsid w:val="00FE2B54"/>
    <w:rsid w:val="00FE2C4D"/>
    <w:rsid w:val="00FE302B"/>
    <w:rsid w:val="00FE3275"/>
    <w:rsid w:val="00FE3278"/>
    <w:rsid w:val="00FE327C"/>
    <w:rsid w:val="00FE33A7"/>
    <w:rsid w:val="00FE37B0"/>
    <w:rsid w:val="00FE39DC"/>
    <w:rsid w:val="00FE3A48"/>
    <w:rsid w:val="00FE3C42"/>
    <w:rsid w:val="00FE42B0"/>
    <w:rsid w:val="00FE4505"/>
    <w:rsid w:val="00FE46EF"/>
    <w:rsid w:val="00FE4720"/>
    <w:rsid w:val="00FE4BF4"/>
    <w:rsid w:val="00FE4C14"/>
    <w:rsid w:val="00FE502C"/>
    <w:rsid w:val="00FE5CB1"/>
    <w:rsid w:val="00FE644C"/>
    <w:rsid w:val="00FE674A"/>
    <w:rsid w:val="00FE6A06"/>
    <w:rsid w:val="00FE6C8D"/>
    <w:rsid w:val="00FE6F57"/>
    <w:rsid w:val="00FE7095"/>
    <w:rsid w:val="00FE70F9"/>
    <w:rsid w:val="00FE718F"/>
    <w:rsid w:val="00FE72EC"/>
    <w:rsid w:val="00FE76AB"/>
    <w:rsid w:val="00FE7A43"/>
    <w:rsid w:val="00FE7B41"/>
    <w:rsid w:val="00FE7B66"/>
    <w:rsid w:val="00FE7F8E"/>
    <w:rsid w:val="00FF011C"/>
    <w:rsid w:val="00FF0168"/>
    <w:rsid w:val="00FF0798"/>
    <w:rsid w:val="00FF08C4"/>
    <w:rsid w:val="00FF0A49"/>
    <w:rsid w:val="00FF1533"/>
    <w:rsid w:val="00FF1B9C"/>
    <w:rsid w:val="00FF1BF1"/>
    <w:rsid w:val="00FF1CAA"/>
    <w:rsid w:val="00FF21FD"/>
    <w:rsid w:val="00FF2455"/>
    <w:rsid w:val="00FF24E8"/>
    <w:rsid w:val="00FF27DE"/>
    <w:rsid w:val="00FF2EC0"/>
    <w:rsid w:val="00FF3086"/>
    <w:rsid w:val="00FF3612"/>
    <w:rsid w:val="00FF371B"/>
    <w:rsid w:val="00FF376A"/>
    <w:rsid w:val="00FF377D"/>
    <w:rsid w:val="00FF3A18"/>
    <w:rsid w:val="00FF42B6"/>
    <w:rsid w:val="00FF4476"/>
    <w:rsid w:val="00FF44B1"/>
    <w:rsid w:val="00FF45D7"/>
    <w:rsid w:val="00FF4BAA"/>
    <w:rsid w:val="00FF502E"/>
    <w:rsid w:val="00FF53B8"/>
    <w:rsid w:val="00FF54A5"/>
    <w:rsid w:val="00FF5609"/>
    <w:rsid w:val="00FF5AD3"/>
    <w:rsid w:val="00FF5D28"/>
    <w:rsid w:val="00FF6253"/>
    <w:rsid w:val="00FF629B"/>
    <w:rsid w:val="00FF699C"/>
    <w:rsid w:val="00FF6F89"/>
    <w:rsid w:val="00FF73BF"/>
    <w:rsid w:val="00FF77B0"/>
    <w:rsid w:val="00FF7D7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qFormat="1"/>
    <w:lsdException w:name="table of figures"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45780"/>
    <w:rPr>
      <w:rFonts w:ascii="Calibri" w:hAnsi="Calibri"/>
      <w:sz w:val="22"/>
      <w:lang w:eastAsia="en-US"/>
    </w:rPr>
  </w:style>
  <w:style w:type="paragraph" w:styleId="Heading1">
    <w:name w:val="heading 1"/>
    <w:basedOn w:val="Normal"/>
    <w:next w:val="Normal"/>
    <w:link w:val="Heading1Char"/>
    <w:autoRedefine/>
    <w:qFormat/>
    <w:rsid w:val="00BE0948"/>
    <w:pPr>
      <w:keepNext/>
      <w:numPr>
        <w:numId w:val="3"/>
      </w:numPr>
      <w:spacing w:after="120"/>
      <w:jc w:val="center"/>
      <w:outlineLvl w:val="0"/>
    </w:pPr>
    <w:rPr>
      <w:b/>
      <w:noProof/>
      <w:color w:val="1F497D"/>
      <w:sz w:val="32"/>
      <w:szCs w:val="36"/>
      <w14:shadow w14:blurRad="50800" w14:dist="38100" w14:dir="2700000" w14:sx="100000" w14:sy="100000" w14:kx="0" w14:ky="0" w14:algn="tl">
        <w14:srgbClr w14:val="000000">
          <w14:alpha w14:val="60000"/>
        </w14:srgbClr>
      </w14:shadow>
    </w:rPr>
  </w:style>
  <w:style w:type="paragraph" w:styleId="Heading2">
    <w:name w:val="heading 2"/>
    <w:basedOn w:val="Normal"/>
    <w:next w:val="Normal"/>
    <w:link w:val="Heading2Char"/>
    <w:autoRedefine/>
    <w:qFormat/>
    <w:rsid w:val="003F18B1"/>
    <w:pPr>
      <w:keepNext/>
      <w:numPr>
        <w:ilvl w:val="1"/>
        <w:numId w:val="3"/>
      </w:numPr>
      <w:spacing w:before="240"/>
      <w:outlineLvl w:val="1"/>
    </w:pPr>
    <w:rPr>
      <w:b/>
      <w:color w:val="1F497D"/>
      <w:sz w:val="28"/>
      <w:szCs w:val="28"/>
    </w:rPr>
  </w:style>
  <w:style w:type="paragraph" w:styleId="Heading3">
    <w:name w:val="heading 3"/>
    <w:basedOn w:val="Normal"/>
    <w:next w:val="Normal"/>
    <w:link w:val="Heading3Char"/>
    <w:autoRedefine/>
    <w:qFormat/>
    <w:rsid w:val="00560DA7"/>
    <w:pPr>
      <w:keepNext/>
      <w:numPr>
        <w:ilvl w:val="2"/>
        <w:numId w:val="3"/>
      </w:numPr>
      <w:spacing w:before="120" w:after="120"/>
      <w:outlineLvl w:val="2"/>
    </w:pPr>
    <w:rPr>
      <w:rFonts w:ascii="Times New Roman" w:hAnsi="Times New Roman"/>
      <w:b/>
      <w:color w:val="008000"/>
      <w:sz w:val="24"/>
      <w:szCs w:val="24"/>
      <w:u w:val="single"/>
    </w:rPr>
  </w:style>
  <w:style w:type="paragraph" w:styleId="Heading4">
    <w:name w:val="heading 4"/>
    <w:basedOn w:val="Normal"/>
    <w:next w:val="Normal"/>
    <w:link w:val="Heading4Char"/>
    <w:qFormat/>
    <w:rsid w:val="00560DA7"/>
    <w:pPr>
      <w:keepNext/>
      <w:numPr>
        <w:ilvl w:val="3"/>
        <w:numId w:val="3"/>
      </w:numPr>
      <w:spacing w:before="240" w:after="60"/>
      <w:outlineLvl w:val="3"/>
    </w:pPr>
    <w:rPr>
      <w:rFonts w:ascii="Times New Roman" w:hAnsi="Times New Roman"/>
      <w:b/>
      <w:bCs/>
      <w:sz w:val="28"/>
      <w:szCs w:val="28"/>
    </w:rPr>
  </w:style>
  <w:style w:type="paragraph" w:styleId="Heading5">
    <w:name w:val="heading 5"/>
    <w:basedOn w:val="Normal"/>
    <w:next w:val="Normal"/>
    <w:link w:val="Heading5Char"/>
    <w:qFormat/>
    <w:rsid w:val="00560DA7"/>
    <w:pPr>
      <w:numPr>
        <w:ilvl w:val="4"/>
        <w:numId w:val="3"/>
      </w:numPr>
      <w:spacing w:before="240" w:after="60"/>
      <w:outlineLvl w:val="4"/>
    </w:pPr>
    <w:rPr>
      <w:b/>
      <w:bCs/>
      <w:i/>
      <w:iCs/>
      <w:sz w:val="26"/>
      <w:szCs w:val="26"/>
    </w:rPr>
  </w:style>
  <w:style w:type="paragraph" w:styleId="Heading6">
    <w:name w:val="heading 6"/>
    <w:basedOn w:val="Normal"/>
    <w:next w:val="Normal"/>
    <w:link w:val="Heading6Char"/>
    <w:qFormat/>
    <w:rsid w:val="00560DA7"/>
    <w:pPr>
      <w:numPr>
        <w:ilvl w:val="5"/>
        <w:numId w:val="3"/>
      </w:numPr>
      <w:spacing w:before="240" w:after="60"/>
      <w:outlineLvl w:val="5"/>
    </w:pPr>
    <w:rPr>
      <w:rFonts w:ascii="Times New Roman" w:hAnsi="Times New Roman"/>
      <w:b/>
      <w:bCs/>
      <w:szCs w:val="22"/>
    </w:rPr>
  </w:style>
  <w:style w:type="paragraph" w:styleId="Heading7">
    <w:name w:val="heading 7"/>
    <w:basedOn w:val="Normal"/>
    <w:next w:val="Normal"/>
    <w:link w:val="Heading7Char"/>
    <w:qFormat/>
    <w:rsid w:val="00560DA7"/>
    <w:pPr>
      <w:numPr>
        <w:ilvl w:val="6"/>
        <w:numId w:val="3"/>
      </w:numPr>
      <w:spacing w:before="240" w:after="60"/>
      <w:outlineLvl w:val="6"/>
    </w:pPr>
    <w:rPr>
      <w:rFonts w:ascii="Times New Roman" w:hAnsi="Times New Roman"/>
      <w:sz w:val="24"/>
      <w:szCs w:val="24"/>
    </w:rPr>
  </w:style>
  <w:style w:type="paragraph" w:styleId="Heading8">
    <w:name w:val="heading 8"/>
    <w:basedOn w:val="Normal"/>
    <w:next w:val="Normal"/>
    <w:link w:val="Heading8Char"/>
    <w:qFormat/>
    <w:rsid w:val="00560DA7"/>
    <w:pPr>
      <w:numPr>
        <w:ilvl w:val="7"/>
        <w:numId w:val="3"/>
      </w:numPr>
      <w:spacing w:before="240" w:after="60"/>
      <w:outlineLvl w:val="7"/>
    </w:pPr>
    <w:rPr>
      <w:rFonts w:ascii="Times New Roman" w:hAnsi="Times New Roman"/>
      <w:i/>
      <w:iCs/>
      <w:sz w:val="24"/>
      <w:szCs w:val="24"/>
    </w:rPr>
  </w:style>
  <w:style w:type="paragraph" w:styleId="Heading9">
    <w:name w:val="heading 9"/>
    <w:basedOn w:val="Normal"/>
    <w:next w:val="Normal"/>
    <w:link w:val="Heading9Char"/>
    <w:qFormat/>
    <w:rsid w:val="00560DA7"/>
    <w:pPr>
      <w:numPr>
        <w:ilvl w:val="8"/>
        <w:numId w:val="3"/>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E0948"/>
    <w:rPr>
      <w:rFonts w:ascii="Calibri" w:hAnsi="Calibri"/>
      <w:b/>
      <w:noProof/>
      <w:color w:val="1F497D"/>
      <w:sz w:val="32"/>
      <w:szCs w:val="36"/>
      <w:lang w:eastAsia="en-US"/>
      <w14:shadow w14:blurRad="50800" w14:dist="38100" w14:dir="2700000" w14:sx="100000" w14:sy="100000" w14:kx="0" w14:ky="0" w14:algn="tl">
        <w14:srgbClr w14:val="000000">
          <w14:alpha w14:val="60000"/>
        </w14:srgbClr>
      </w14:shadow>
    </w:rPr>
  </w:style>
  <w:style w:type="character" w:customStyle="1" w:styleId="Heading2Char">
    <w:name w:val="Heading 2 Char"/>
    <w:basedOn w:val="DefaultParagraphFont"/>
    <w:link w:val="Heading2"/>
    <w:rsid w:val="003F18B1"/>
    <w:rPr>
      <w:rFonts w:ascii="Calibri" w:hAnsi="Calibri"/>
      <w:b/>
      <w:color w:val="1F497D"/>
      <w:sz w:val="28"/>
      <w:szCs w:val="28"/>
      <w:lang w:eastAsia="en-US"/>
    </w:rPr>
  </w:style>
  <w:style w:type="character" w:customStyle="1" w:styleId="Heading3Char">
    <w:name w:val="Heading 3 Char"/>
    <w:basedOn w:val="DefaultParagraphFont"/>
    <w:link w:val="Heading3"/>
    <w:rsid w:val="00AA02ED"/>
    <w:rPr>
      <w:b/>
      <w:color w:val="008000"/>
      <w:sz w:val="24"/>
      <w:szCs w:val="24"/>
      <w:u w:val="single"/>
      <w:lang w:eastAsia="en-US"/>
    </w:rPr>
  </w:style>
  <w:style w:type="character" w:customStyle="1" w:styleId="Heading4Char">
    <w:name w:val="Heading 4 Char"/>
    <w:basedOn w:val="DefaultParagraphFont"/>
    <w:link w:val="Heading4"/>
    <w:rsid w:val="00AA02ED"/>
    <w:rPr>
      <w:b/>
      <w:bCs/>
      <w:sz w:val="28"/>
      <w:szCs w:val="28"/>
      <w:lang w:eastAsia="en-US"/>
    </w:rPr>
  </w:style>
  <w:style w:type="character" w:customStyle="1" w:styleId="Heading5Char">
    <w:name w:val="Heading 5 Char"/>
    <w:basedOn w:val="DefaultParagraphFont"/>
    <w:link w:val="Heading5"/>
    <w:rsid w:val="00AA02ED"/>
    <w:rPr>
      <w:rFonts w:ascii="Calibri" w:hAnsi="Calibri"/>
      <w:b/>
      <w:bCs/>
      <w:i/>
      <w:iCs/>
      <w:sz w:val="26"/>
      <w:szCs w:val="26"/>
      <w:lang w:eastAsia="en-US"/>
    </w:rPr>
  </w:style>
  <w:style w:type="character" w:customStyle="1" w:styleId="Heading6Char">
    <w:name w:val="Heading 6 Char"/>
    <w:basedOn w:val="DefaultParagraphFont"/>
    <w:link w:val="Heading6"/>
    <w:rsid w:val="00AA02ED"/>
    <w:rPr>
      <w:b/>
      <w:bCs/>
      <w:sz w:val="22"/>
      <w:szCs w:val="22"/>
      <w:lang w:eastAsia="en-US"/>
    </w:rPr>
  </w:style>
  <w:style w:type="character" w:customStyle="1" w:styleId="Heading7Char">
    <w:name w:val="Heading 7 Char"/>
    <w:basedOn w:val="DefaultParagraphFont"/>
    <w:link w:val="Heading7"/>
    <w:rsid w:val="00AA02ED"/>
    <w:rPr>
      <w:sz w:val="24"/>
      <w:szCs w:val="24"/>
      <w:lang w:eastAsia="en-US"/>
    </w:rPr>
  </w:style>
  <w:style w:type="character" w:customStyle="1" w:styleId="Heading8Char">
    <w:name w:val="Heading 8 Char"/>
    <w:basedOn w:val="DefaultParagraphFont"/>
    <w:link w:val="Heading8"/>
    <w:rsid w:val="00AA02ED"/>
    <w:rPr>
      <w:i/>
      <w:iCs/>
      <w:sz w:val="24"/>
      <w:szCs w:val="24"/>
      <w:lang w:eastAsia="en-US"/>
    </w:rPr>
  </w:style>
  <w:style w:type="character" w:customStyle="1" w:styleId="Heading9Char">
    <w:name w:val="Heading 9 Char"/>
    <w:basedOn w:val="DefaultParagraphFont"/>
    <w:link w:val="Heading9"/>
    <w:rsid w:val="00AA02ED"/>
    <w:rPr>
      <w:rFonts w:ascii="Calibri" w:hAnsi="Calibri" w:cs="Arial"/>
      <w:sz w:val="22"/>
      <w:szCs w:val="22"/>
      <w:lang w:eastAsia="en-US"/>
    </w:rPr>
  </w:style>
  <w:style w:type="paragraph" w:styleId="Footer">
    <w:name w:val="footer"/>
    <w:basedOn w:val="Normal"/>
    <w:link w:val="FooterChar"/>
    <w:rsid w:val="005E3FDD"/>
    <w:pPr>
      <w:tabs>
        <w:tab w:val="center" w:pos="4320"/>
        <w:tab w:val="right" w:pos="8640"/>
      </w:tabs>
    </w:pPr>
  </w:style>
  <w:style w:type="character" w:customStyle="1" w:styleId="FooterChar">
    <w:name w:val="Footer Char"/>
    <w:basedOn w:val="DefaultParagraphFont"/>
    <w:link w:val="Footer"/>
    <w:rsid w:val="00AA02ED"/>
    <w:rPr>
      <w:rFonts w:ascii="Calibri" w:hAnsi="Calibri"/>
      <w:sz w:val="22"/>
      <w:lang w:eastAsia="en-US"/>
    </w:rPr>
  </w:style>
  <w:style w:type="character" w:styleId="PageNumber">
    <w:name w:val="page number"/>
    <w:basedOn w:val="DefaultParagraphFont"/>
    <w:rsid w:val="005E3FDD"/>
  </w:style>
  <w:style w:type="paragraph" w:styleId="FootnoteText">
    <w:name w:val="footnote text"/>
    <w:basedOn w:val="Normal"/>
    <w:link w:val="FootnoteTextChar"/>
    <w:autoRedefine/>
    <w:rsid w:val="008B2193"/>
    <w:pPr>
      <w:tabs>
        <w:tab w:val="left" w:pos="180"/>
      </w:tabs>
      <w:ind w:left="180" w:hanging="180"/>
    </w:pPr>
    <w:rPr>
      <w:sz w:val="18"/>
    </w:rPr>
  </w:style>
  <w:style w:type="character" w:customStyle="1" w:styleId="FootnoteTextChar">
    <w:name w:val="Footnote Text Char"/>
    <w:basedOn w:val="DefaultParagraphFont"/>
    <w:link w:val="FootnoteText"/>
    <w:rsid w:val="008B2193"/>
    <w:rPr>
      <w:rFonts w:ascii="Calibri" w:hAnsi="Calibri"/>
      <w:sz w:val="18"/>
      <w:lang w:eastAsia="en-US"/>
    </w:rPr>
  </w:style>
  <w:style w:type="character" w:styleId="FootnoteReference">
    <w:name w:val="footnote reference"/>
    <w:basedOn w:val="DefaultParagraphFont"/>
    <w:semiHidden/>
    <w:rsid w:val="005E3FDD"/>
    <w:rPr>
      <w:vertAlign w:val="superscript"/>
    </w:rPr>
  </w:style>
  <w:style w:type="paragraph" w:styleId="BodyText">
    <w:name w:val="Body Text"/>
    <w:rsid w:val="005E3FDD"/>
    <w:pPr>
      <w:spacing w:line="288" w:lineRule="auto"/>
    </w:pPr>
    <w:rPr>
      <w:rFonts w:ascii="Arial" w:eastAsia="SimSun" w:hAnsi="Arial"/>
      <w:snapToGrid w:val="0"/>
      <w:color w:val="000000"/>
      <w:sz w:val="22"/>
      <w:szCs w:val="24"/>
      <w:lang w:eastAsia="zh-CN"/>
    </w:rPr>
  </w:style>
  <w:style w:type="paragraph" w:styleId="TOC2">
    <w:name w:val="toc 2"/>
    <w:basedOn w:val="Normal"/>
    <w:next w:val="Normal"/>
    <w:autoRedefine/>
    <w:uiPriority w:val="39"/>
    <w:rsid w:val="0012461A"/>
    <w:pPr>
      <w:tabs>
        <w:tab w:val="left" w:pos="960"/>
        <w:tab w:val="right" w:leader="dot" w:pos="9720"/>
      </w:tabs>
      <w:adjustRightInd w:val="0"/>
      <w:spacing w:before="60"/>
      <w:ind w:left="907" w:hanging="360"/>
    </w:pPr>
    <w:rPr>
      <w:b/>
      <w:noProof/>
    </w:rPr>
  </w:style>
  <w:style w:type="paragraph" w:styleId="TOC1">
    <w:name w:val="toc 1"/>
    <w:basedOn w:val="Normal"/>
    <w:next w:val="Normal"/>
    <w:autoRedefine/>
    <w:uiPriority w:val="39"/>
    <w:rsid w:val="0012461A"/>
    <w:pPr>
      <w:tabs>
        <w:tab w:val="left" w:pos="540"/>
        <w:tab w:val="right" w:leader="dot" w:pos="9900"/>
      </w:tabs>
      <w:spacing w:before="300" w:after="60"/>
      <w:ind w:right="86"/>
    </w:pPr>
    <w:rPr>
      <w:b/>
      <w:noProof/>
      <w:color w:val="1F497D"/>
      <w:sz w:val="24"/>
      <w:szCs w:val="24"/>
    </w:rPr>
  </w:style>
  <w:style w:type="paragraph" w:styleId="TOC3">
    <w:name w:val="toc 3"/>
    <w:basedOn w:val="Normal"/>
    <w:next w:val="Normal"/>
    <w:autoRedefine/>
    <w:uiPriority w:val="39"/>
    <w:rsid w:val="005E4A29"/>
    <w:pPr>
      <w:tabs>
        <w:tab w:val="left" w:pos="900"/>
        <w:tab w:val="right" w:leader="dot" w:pos="9180"/>
        <w:tab w:val="left" w:pos="9360"/>
      </w:tabs>
      <w:spacing w:after="80"/>
      <w:ind w:left="547" w:right="144"/>
      <w:jc w:val="center"/>
    </w:pPr>
  </w:style>
  <w:style w:type="character" w:styleId="Hyperlink">
    <w:name w:val="Hyperlink"/>
    <w:basedOn w:val="DefaultParagraphFont"/>
    <w:uiPriority w:val="99"/>
    <w:rsid w:val="000B0AD5"/>
    <w:rPr>
      <w:rFonts w:ascii="Calibri" w:hAnsi="Calibri"/>
      <w:color w:val="0000FF"/>
      <w:sz w:val="20"/>
      <w:szCs w:val="22"/>
      <w:u w:val="single"/>
    </w:rPr>
  </w:style>
  <w:style w:type="paragraph" w:styleId="Caption">
    <w:name w:val="caption"/>
    <w:basedOn w:val="Normal"/>
    <w:next w:val="Normal"/>
    <w:autoRedefine/>
    <w:qFormat/>
    <w:rsid w:val="003003F1"/>
    <w:pPr>
      <w:keepNext/>
      <w:spacing w:line="288" w:lineRule="auto"/>
      <w:jc w:val="center"/>
    </w:pPr>
    <w:rPr>
      <w:b/>
      <w:w w:val="90"/>
      <w:sz w:val="20"/>
    </w:rPr>
  </w:style>
  <w:style w:type="character" w:customStyle="1" w:styleId="StyleArialNarrow">
    <w:name w:val="Style Arial Narrow"/>
    <w:basedOn w:val="DefaultParagraphFont"/>
    <w:rsid w:val="005E3FDD"/>
    <w:rPr>
      <w:rFonts w:ascii="Arial Narrow" w:hAnsi="Arial Narrow"/>
      <w:sz w:val="20"/>
    </w:rPr>
  </w:style>
  <w:style w:type="paragraph" w:customStyle="1" w:styleId="Note">
    <w:name w:val="Note"/>
    <w:basedOn w:val="Normal"/>
    <w:autoRedefine/>
    <w:rsid w:val="00170301"/>
    <w:pPr>
      <w:framePr w:hSpace="180" w:wrap="around" w:vAnchor="text" w:hAnchor="margin" w:xAlign="right" w:y="2"/>
      <w:tabs>
        <w:tab w:val="left" w:pos="540"/>
      </w:tabs>
      <w:spacing w:before="40"/>
      <w:ind w:left="547" w:hanging="547"/>
      <w:suppressOverlap/>
      <w:jc w:val="center"/>
    </w:pPr>
    <w:rPr>
      <w:rFonts w:eastAsia="SimSun"/>
      <w:i/>
      <w:noProof/>
      <w:sz w:val="18"/>
      <w:lang w:eastAsia="zh-CN"/>
    </w:rPr>
  </w:style>
  <w:style w:type="paragraph" w:styleId="Title">
    <w:name w:val="Title"/>
    <w:basedOn w:val="Quote"/>
    <w:next w:val="Normal"/>
    <w:link w:val="TitleChar"/>
    <w:autoRedefine/>
    <w:qFormat/>
    <w:rsid w:val="00B22E89"/>
    <w:pPr>
      <w:pBdr>
        <w:bottom w:val="single" w:sz="4" w:space="4" w:color="4F81BD"/>
      </w:pBdr>
      <w:spacing w:before="360" w:after="600"/>
      <w:ind w:left="936" w:right="936"/>
    </w:pPr>
    <w:rPr>
      <w:b/>
      <w:bCs/>
      <w:i w:val="0"/>
      <w:smallCaps/>
      <w:color w:val="365F91"/>
      <w:sz w:val="32"/>
      <w:szCs w:val="36"/>
    </w:rPr>
  </w:style>
  <w:style w:type="paragraph" w:styleId="Quote">
    <w:name w:val="Quote"/>
    <w:basedOn w:val="Normal"/>
    <w:next w:val="Normal"/>
    <w:link w:val="QuoteChar"/>
    <w:uiPriority w:val="29"/>
    <w:qFormat/>
    <w:rsid w:val="00AD7683"/>
    <w:rPr>
      <w:i/>
      <w:iCs/>
      <w:color w:val="000000"/>
    </w:rPr>
  </w:style>
  <w:style w:type="character" w:customStyle="1" w:styleId="QuoteChar">
    <w:name w:val="Quote Char"/>
    <w:basedOn w:val="DefaultParagraphFont"/>
    <w:link w:val="Quote"/>
    <w:uiPriority w:val="29"/>
    <w:rsid w:val="00AD7683"/>
    <w:rPr>
      <w:rFonts w:ascii="Calibri" w:hAnsi="Calibri"/>
      <w:i/>
      <w:iCs/>
      <w:color w:val="000000"/>
      <w:sz w:val="22"/>
      <w:lang w:eastAsia="en-US"/>
    </w:rPr>
  </w:style>
  <w:style w:type="character" w:customStyle="1" w:styleId="TitleChar">
    <w:name w:val="Title Char"/>
    <w:basedOn w:val="DefaultParagraphFont"/>
    <w:link w:val="Title"/>
    <w:rsid w:val="00B22E89"/>
    <w:rPr>
      <w:rFonts w:ascii="Calibri" w:hAnsi="Calibri"/>
      <w:b/>
      <w:bCs/>
      <w:iCs/>
      <w:smallCaps/>
      <w:color w:val="365F91"/>
      <w:sz w:val="32"/>
      <w:szCs w:val="36"/>
      <w:lang w:eastAsia="en-US"/>
    </w:rPr>
  </w:style>
  <w:style w:type="paragraph" w:styleId="BalloonText">
    <w:name w:val="Balloon Text"/>
    <w:basedOn w:val="Normal"/>
    <w:link w:val="BalloonTextChar"/>
    <w:semiHidden/>
    <w:rsid w:val="005E3FDD"/>
    <w:rPr>
      <w:rFonts w:ascii="Tahoma" w:hAnsi="Tahoma" w:cs="Tahoma"/>
      <w:sz w:val="16"/>
      <w:szCs w:val="16"/>
    </w:rPr>
  </w:style>
  <w:style w:type="character" w:customStyle="1" w:styleId="BalloonTextChar">
    <w:name w:val="Balloon Text Char"/>
    <w:basedOn w:val="DefaultParagraphFont"/>
    <w:link w:val="BalloonText"/>
    <w:semiHidden/>
    <w:rsid w:val="00AA02ED"/>
    <w:rPr>
      <w:rFonts w:ascii="Tahoma" w:hAnsi="Tahoma" w:cs="Tahoma"/>
      <w:sz w:val="16"/>
      <w:szCs w:val="16"/>
      <w:lang w:eastAsia="en-US"/>
    </w:rPr>
  </w:style>
  <w:style w:type="paragraph" w:styleId="Subtitle">
    <w:name w:val="Subtitle"/>
    <w:basedOn w:val="Normal"/>
    <w:link w:val="SubtitleChar"/>
    <w:autoRedefine/>
    <w:qFormat/>
    <w:rsid w:val="005E3FDD"/>
    <w:pPr>
      <w:framePr w:hSpace="180" w:wrap="around" w:vAnchor="text" w:hAnchor="margin" w:xAlign="right" w:y="456"/>
      <w:suppressOverlap/>
      <w:jc w:val="center"/>
    </w:pPr>
    <w:rPr>
      <w:b/>
      <w:sz w:val="20"/>
    </w:rPr>
  </w:style>
  <w:style w:type="character" w:customStyle="1" w:styleId="SubtitleChar">
    <w:name w:val="Subtitle Char"/>
    <w:basedOn w:val="DefaultParagraphFont"/>
    <w:link w:val="Subtitle"/>
    <w:rsid w:val="00AA02ED"/>
    <w:rPr>
      <w:rFonts w:ascii="Calibri" w:hAnsi="Calibri"/>
      <w:b/>
      <w:lang w:eastAsia="en-US"/>
    </w:rPr>
  </w:style>
  <w:style w:type="paragraph" w:styleId="CommentText">
    <w:name w:val="annotation text"/>
    <w:basedOn w:val="Normal"/>
    <w:link w:val="CommentTextChar"/>
    <w:semiHidden/>
    <w:rsid w:val="005E3FDD"/>
  </w:style>
  <w:style w:type="character" w:customStyle="1" w:styleId="CommentTextChar">
    <w:name w:val="Comment Text Char"/>
    <w:basedOn w:val="DefaultParagraphFont"/>
    <w:link w:val="CommentText"/>
    <w:semiHidden/>
    <w:rsid w:val="00AA02ED"/>
    <w:rPr>
      <w:rFonts w:ascii="Calibri" w:hAnsi="Calibri"/>
      <w:sz w:val="22"/>
      <w:lang w:eastAsia="en-US"/>
    </w:rPr>
  </w:style>
  <w:style w:type="paragraph" w:customStyle="1" w:styleId="Report">
    <w:name w:val="Report"/>
    <w:basedOn w:val="Normal"/>
    <w:rsid w:val="005E3FDD"/>
    <w:pPr>
      <w:keepLines/>
      <w:spacing w:before="100"/>
    </w:pPr>
    <w:rPr>
      <w:rFonts w:eastAsia="SimSun"/>
      <w:color w:val="FF0000"/>
      <w:szCs w:val="24"/>
      <w:lang w:eastAsia="zh-CN"/>
    </w:rPr>
  </w:style>
  <w:style w:type="paragraph" w:customStyle="1" w:styleId="Figure">
    <w:name w:val="Figure"/>
    <w:basedOn w:val="BodyText"/>
    <w:autoRedefine/>
    <w:rsid w:val="005E3FDD"/>
    <w:pPr>
      <w:keepNext/>
      <w:framePr w:hSpace="180" w:wrap="around" w:vAnchor="text" w:hAnchor="margin" w:xAlign="right" w:y="679"/>
      <w:tabs>
        <w:tab w:val="left" w:pos="4078"/>
      </w:tabs>
      <w:ind w:left="720" w:right="-72" w:hanging="720"/>
      <w:suppressOverlap/>
    </w:pPr>
    <w:rPr>
      <w:b/>
      <w:szCs w:val="20"/>
    </w:rPr>
  </w:style>
  <w:style w:type="character" w:customStyle="1" w:styleId="BodyTextChar">
    <w:name w:val="Body Text Char"/>
    <w:basedOn w:val="DefaultParagraphFont"/>
    <w:rsid w:val="005E3FDD"/>
    <w:rPr>
      <w:rFonts w:ascii="Arial" w:eastAsia="SimSun" w:hAnsi="Arial"/>
      <w:noProof w:val="0"/>
      <w:snapToGrid w:val="0"/>
      <w:color w:val="000000"/>
      <w:sz w:val="22"/>
      <w:szCs w:val="24"/>
      <w:lang w:val="en-US" w:eastAsia="zh-CN" w:bidi="ar-SA"/>
    </w:rPr>
  </w:style>
  <w:style w:type="character" w:customStyle="1" w:styleId="FigureChar">
    <w:name w:val="Figure Char"/>
    <w:basedOn w:val="figurechar0"/>
    <w:qFormat/>
    <w:rsid w:val="00650386"/>
    <w:rPr>
      <w:rFonts w:ascii="Calibri" w:eastAsia="SimSun" w:hAnsi="Calibri"/>
      <w:b/>
      <w:noProof w:val="0"/>
      <w:snapToGrid/>
      <w:color w:val="1F497D"/>
      <w:sz w:val="22"/>
      <w:szCs w:val="24"/>
      <w:lang w:val="en-US" w:eastAsia="zh-CN" w:bidi="ar-SA"/>
    </w:rPr>
  </w:style>
  <w:style w:type="paragraph" w:styleId="TableofFigures">
    <w:name w:val="table of figures"/>
    <w:basedOn w:val="Normal"/>
    <w:next w:val="Normal"/>
    <w:autoRedefine/>
    <w:uiPriority w:val="99"/>
    <w:rsid w:val="00B36416"/>
    <w:pPr>
      <w:tabs>
        <w:tab w:val="right" w:leader="dot" w:pos="9926"/>
      </w:tabs>
      <w:spacing w:before="60" w:after="60"/>
      <w:ind w:left="900" w:hanging="900"/>
    </w:pPr>
    <w:rPr>
      <w:rFonts w:asciiTheme="minorHAnsi" w:hAnsiTheme="minorHAnsi"/>
      <w:b/>
      <w:noProof/>
    </w:rPr>
  </w:style>
  <w:style w:type="paragraph" w:styleId="Header">
    <w:name w:val="header"/>
    <w:basedOn w:val="Normal"/>
    <w:link w:val="HeaderChar"/>
    <w:autoRedefine/>
    <w:uiPriority w:val="99"/>
    <w:rsid w:val="00170EF4"/>
    <w:pPr>
      <w:tabs>
        <w:tab w:val="center" w:pos="5319"/>
        <w:tab w:val="right" w:pos="8640"/>
      </w:tabs>
    </w:pPr>
    <w:rPr>
      <w:color w:val="4F81BD"/>
      <w:sz w:val="20"/>
    </w:rPr>
  </w:style>
  <w:style w:type="character" w:customStyle="1" w:styleId="HeaderChar">
    <w:name w:val="Header Char"/>
    <w:basedOn w:val="DefaultParagraphFont"/>
    <w:link w:val="Header"/>
    <w:uiPriority w:val="99"/>
    <w:rsid w:val="00170EF4"/>
    <w:rPr>
      <w:rFonts w:ascii="Calibri" w:hAnsi="Calibri"/>
      <w:color w:val="4F81BD"/>
      <w:lang w:eastAsia="en-US"/>
    </w:rPr>
  </w:style>
  <w:style w:type="character" w:styleId="FollowedHyperlink">
    <w:name w:val="FollowedHyperlink"/>
    <w:basedOn w:val="DefaultParagraphFont"/>
    <w:rsid w:val="005E3FDD"/>
    <w:rPr>
      <w:color w:val="800080"/>
      <w:u w:val="single"/>
    </w:rPr>
  </w:style>
  <w:style w:type="character" w:customStyle="1" w:styleId="EmailStyle561">
    <w:name w:val="EmailStyle561"/>
    <w:basedOn w:val="DefaultParagraphFont"/>
    <w:semiHidden/>
    <w:rsid w:val="005E3FDD"/>
    <w:rPr>
      <w:rFonts w:ascii="Arial" w:hAnsi="Arial" w:cs="Arial"/>
      <w:b w:val="0"/>
      <w:bCs w:val="0"/>
      <w:i w:val="0"/>
      <w:iCs w:val="0"/>
      <w:strike w:val="0"/>
      <w:color w:val="008000"/>
      <w:sz w:val="20"/>
      <w:szCs w:val="20"/>
      <w:u w:val="none"/>
    </w:rPr>
  </w:style>
  <w:style w:type="character" w:styleId="CommentReference">
    <w:name w:val="annotation reference"/>
    <w:basedOn w:val="DefaultParagraphFont"/>
    <w:semiHidden/>
    <w:rsid w:val="005E3FDD"/>
    <w:rPr>
      <w:sz w:val="16"/>
      <w:szCs w:val="16"/>
    </w:rPr>
  </w:style>
  <w:style w:type="paragraph" w:styleId="CommentSubject">
    <w:name w:val="annotation subject"/>
    <w:basedOn w:val="CommentText"/>
    <w:next w:val="CommentText"/>
    <w:link w:val="CommentSubjectChar"/>
    <w:semiHidden/>
    <w:rsid w:val="005E3FDD"/>
    <w:rPr>
      <w:b/>
      <w:bCs/>
      <w:sz w:val="20"/>
    </w:rPr>
  </w:style>
  <w:style w:type="character" w:customStyle="1" w:styleId="CommentSubjectChar">
    <w:name w:val="Comment Subject Char"/>
    <w:basedOn w:val="CommentTextChar"/>
    <w:link w:val="CommentSubject"/>
    <w:semiHidden/>
    <w:rsid w:val="00AA02ED"/>
    <w:rPr>
      <w:rFonts w:ascii="Calibri" w:hAnsi="Calibri"/>
      <w:b/>
      <w:bCs/>
      <w:sz w:val="22"/>
      <w:lang w:eastAsia="en-US"/>
    </w:rPr>
  </w:style>
  <w:style w:type="paragraph" w:styleId="BodyText3">
    <w:name w:val="Body Text 3"/>
    <w:basedOn w:val="Normal"/>
    <w:link w:val="BodyText3Char"/>
    <w:rsid w:val="005E3FDD"/>
    <w:pPr>
      <w:spacing w:after="120"/>
    </w:pPr>
    <w:rPr>
      <w:sz w:val="16"/>
      <w:szCs w:val="16"/>
    </w:rPr>
  </w:style>
  <w:style w:type="character" w:customStyle="1" w:styleId="BodyText3Char">
    <w:name w:val="Body Text 3 Char"/>
    <w:basedOn w:val="DefaultParagraphFont"/>
    <w:link w:val="BodyText3"/>
    <w:rsid w:val="00AA02ED"/>
    <w:rPr>
      <w:rFonts w:ascii="Calibri" w:hAnsi="Calibri"/>
      <w:sz w:val="16"/>
      <w:szCs w:val="16"/>
      <w:lang w:eastAsia="en-US"/>
    </w:rPr>
  </w:style>
  <w:style w:type="paragraph" w:customStyle="1" w:styleId="content">
    <w:name w:val="content"/>
    <w:basedOn w:val="Normal"/>
    <w:rsid w:val="007B420A"/>
    <w:pPr>
      <w:spacing w:before="100" w:beforeAutospacing="1" w:after="100" w:afterAutospacing="1"/>
    </w:pPr>
    <w:rPr>
      <w:rFonts w:ascii="Times New Roman" w:eastAsia="Batang" w:hAnsi="Times New Roman"/>
      <w:color w:val="000000"/>
      <w:sz w:val="24"/>
      <w:szCs w:val="24"/>
      <w:lang w:eastAsia="ko-KR"/>
    </w:rPr>
  </w:style>
  <w:style w:type="table" w:styleId="TableGrid">
    <w:name w:val="Table Grid"/>
    <w:basedOn w:val="TableNormal"/>
    <w:rsid w:val="00BE1B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rsid w:val="001D507B"/>
  </w:style>
  <w:style w:type="character" w:customStyle="1" w:styleId="DateChar">
    <w:name w:val="Date Char"/>
    <w:basedOn w:val="DefaultParagraphFont"/>
    <w:link w:val="Date"/>
    <w:rsid w:val="00AA02ED"/>
    <w:rPr>
      <w:rFonts w:ascii="Calibri" w:hAnsi="Calibri"/>
      <w:sz w:val="22"/>
      <w:lang w:eastAsia="en-US"/>
    </w:rPr>
  </w:style>
  <w:style w:type="paragraph" w:customStyle="1" w:styleId="StyleTableofFiguresBold">
    <w:name w:val="Style Table of Figures + Bold"/>
    <w:basedOn w:val="TableofFigures"/>
    <w:autoRedefine/>
    <w:rsid w:val="00B25660"/>
    <w:rPr>
      <w:bCs/>
    </w:rPr>
  </w:style>
  <w:style w:type="paragraph" w:customStyle="1" w:styleId="StyleTableofFiguresBold1">
    <w:name w:val="Style Table of Figures + Bold1"/>
    <w:basedOn w:val="TableofFigures"/>
    <w:autoRedefine/>
    <w:rsid w:val="00B25660"/>
    <w:rPr>
      <w:bCs/>
      <w:szCs w:val="22"/>
    </w:rPr>
  </w:style>
  <w:style w:type="paragraph" w:styleId="NormalWeb">
    <w:name w:val="Normal (Web)"/>
    <w:basedOn w:val="Normal"/>
    <w:uiPriority w:val="99"/>
    <w:rsid w:val="000A391D"/>
    <w:pPr>
      <w:spacing w:before="100" w:beforeAutospacing="1" w:after="100" w:afterAutospacing="1"/>
    </w:pPr>
    <w:rPr>
      <w:rFonts w:ascii="Times New Roman" w:hAnsi="Times New Roman"/>
      <w:sz w:val="24"/>
      <w:szCs w:val="24"/>
    </w:rPr>
  </w:style>
  <w:style w:type="paragraph" w:styleId="z-TopofForm">
    <w:name w:val="HTML Top of Form"/>
    <w:basedOn w:val="Normal"/>
    <w:next w:val="Normal"/>
    <w:link w:val="z-TopofFormChar"/>
    <w:hidden/>
    <w:rsid w:val="0052459E"/>
    <w:pPr>
      <w:pBdr>
        <w:bottom w:val="single" w:sz="6" w:space="1" w:color="auto"/>
      </w:pBdr>
      <w:jc w:val="center"/>
    </w:pPr>
    <w:rPr>
      <w:rFonts w:cs="Arial"/>
      <w:vanish/>
      <w:sz w:val="16"/>
      <w:szCs w:val="16"/>
    </w:rPr>
  </w:style>
  <w:style w:type="character" w:customStyle="1" w:styleId="z-TopofFormChar">
    <w:name w:val="z-Top of Form Char"/>
    <w:basedOn w:val="DefaultParagraphFont"/>
    <w:link w:val="z-TopofForm"/>
    <w:rsid w:val="00AA02ED"/>
    <w:rPr>
      <w:rFonts w:ascii="Calibri" w:hAnsi="Calibri" w:cs="Arial"/>
      <w:vanish/>
      <w:sz w:val="16"/>
      <w:szCs w:val="16"/>
      <w:lang w:eastAsia="en-US"/>
    </w:rPr>
  </w:style>
  <w:style w:type="paragraph" w:customStyle="1" w:styleId="contentbody">
    <w:name w:val="contentbody"/>
    <w:basedOn w:val="Normal"/>
    <w:rsid w:val="00CF320D"/>
    <w:pPr>
      <w:spacing w:after="135" w:line="285" w:lineRule="atLeast"/>
      <w:ind w:left="15"/>
    </w:pPr>
    <w:rPr>
      <w:rFonts w:ascii="Verdana" w:hAnsi="Verdana"/>
      <w:color w:val="333333"/>
      <w:sz w:val="18"/>
      <w:szCs w:val="18"/>
    </w:rPr>
  </w:style>
  <w:style w:type="character" w:customStyle="1" w:styleId="contenthead11">
    <w:name w:val="contenthead11"/>
    <w:basedOn w:val="DefaultParagraphFont"/>
    <w:rsid w:val="00CF320D"/>
    <w:rPr>
      <w:rFonts w:ascii="Verdana" w:hAnsi="Verdana" w:hint="default"/>
      <w:b/>
      <w:bCs/>
      <w:caps/>
      <w:color w:val="990000"/>
      <w:sz w:val="24"/>
      <w:szCs w:val="24"/>
    </w:rPr>
  </w:style>
  <w:style w:type="character" w:customStyle="1" w:styleId="addmd1">
    <w:name w:val="addmd1"/>
    <w:basedOn w:val="DefaultParagraphFont"/>
    <w:rsid w:val="00A10EEA"/>
    <w:rPr>
      <w:rFonts w:ascii="Arial" w:hAnsi="Arial" w:cs="Arial" w:hint="default"/>
      <w:color w:val="777777"/>
      <w:sz w:val="20"/>
      <w:szCs w:val="20"/>
    </w:rPr>
  </w:style>
  <w:style w:type="character" w:styleId="Strong">
    <w:name w:val="Strong"/>
    <w:basedOn w:val="DefaultParagraphFont"/>
    <w:qFormat/>
    <w:rsid w:val="007A7434"/>
    <w:rPr>
      <w:b/>
      <w:bCs/>
    </w:rPr>
  </w:style>
  <w:style w:type="character" w:styleId="Emphasis">
    <w:name w:val="Emphasis"/>
    <w:basedOn w:val="DefaultParagraphFont"/>
    <w:uiPriority w:val="20"/>
    <w:qFormat/>
    <w:rsid w:val="007A7434"/>
    <w:rPr>
      <w:i/>
      <w:iCs/>
    </w:rPr>
  </w:style>
  <w:style w:type="character" w:customStyle="1" w:styleId="sensecontent1">
    <w:name w:val="sense_content1"/>
    <w:basedOn w:val="DefaultParagraphFont"/>
    <w:rsid w:val="003441D6"/>
    <w:rPr>
      <w:rFonts w:ascii="Times New Roman" w:hAnsi="Times New Roman" w:cs="Times New Roman" w:hint="default"/>
      <w:b w:val="0"/>
      <w:bCs w:val="0"/>
    </w:rPr>
  </w:style>
  <w:style w:type="paragraph" w:customStyle="1" w:styleId="Temp">
    <w:name w:val="Temp"/>
    <w:basedOn w:val="Heading1"/>
    <w:rsid w:val="002E5FBA"/>
    <w:rPr>
      <w:shadow/>
      <w14:shadow w14:blurRad="0" w14:dist="0" w14:dir="0" w14:sx="0" w14:sy="0" w14:kx="0" w14:ky="0" w14:algn="none">
        <w14:srgbClr w14:val="000000"/>
      </w14:shadow>
    </w:rPr>
  </w:style>
  <w:style w:type="paragraph" w:customStyle="1" w:styleId="Default">
    <w:name w:val="Default"/>
    <w:rsid w:val="00F618B8"/>
    <w:pPr>
      <w:autoSpaceDE w:val="0"/>
      <w:autoSpaceDN w:val="0"/>
      <w:adjustRightInd w:val="0"/>
    </w:pPr>
    <w:rPr>
      <w:rFonts w:ascii="Arial" w:hAnsi="Arial" w:cs="Arial"/>
      <w:color w:val="000000"/>
      <w:sz w:val="24"/>
      <w:szCs w:val="24"/>
      <w:lang w:eastAsia="en-US"/>
    </w:rPr>
  </w:style>
  <w:style w:type="paragraph" w:customStyle="1" w:styleId="StyleTableofFigures">
    <w:name w:val="Style Table of Figures"/>
    <w:basedOn w:val="TableofFigures"/>
    <w:rsid w:val="00C957B7"/>
  </w:style>
  <w:style w:type="character" w:customStyle="1" w:styleId="figurechar0">
    <w:name w:val="figurechar"/>
    <w:basedOn w:val="DefaultParagraphFont"/>
    <w:rsid w:val="0002283F"/>
  </w:style>
  <w:style w:type="character" w:customStyle="1" w:styleId="apple-style-span">
    <w:name w:val="apple-style-span"/>
    <w:basedOn w:val="DefaultParagraphFont"/>
    <w:rsid w:val="00D52B7A"/>
  </w:style>
  <w:style w:type="character" w:customStyle="1" w:styleId="apple-converted-space">
    <w:name w:val="apple-converted-space"/>
    <w:basedOn w:val="DefaultParagraphFont"/>
    <w:rsid w:val="0088241F"/>
  </w:style>
  <w:style w:type="paragraph" w:customStyle="1" w:styleId="KeyFindings">
    <w:name w:val="Key Findings"/>
    <w:basedOn w:val="BodyText"/>
    <w:autoRedefine/>
    <w:qFormat/>
    <w:rsid w:val="00A80446"/>
    <w:pPr>
      <w:numPr>
        <w:numId w:val="1"/>
      </w:numPr>
      <w:spacing w:before="120" w:line="264" w:lineRule="auto"/>
      <w:outlineLvl w:val="0"/>
    </w:pPr>
    <w:rPr>
      <w:rFonts w:ascii="Calibri" w:hAnsi="Calibri"/>
    </w:rPr>
  </w:style>
  <w:style w:type="paragraph" w:customStyle="1" w:styleId="Section">
    <w:name w:val="Section"/>
    <w:basedOn w:val="Normal"/>
    <w:autoRedefine/>
    <w:rsid w:val="00D760F8"/>
    <w:pPr>
      <w:numPr>
        <w:numId w:val="2"/>
      </w:numPr>
      <w:spacing w:before="120" w:after="120"/>
    </w:pPr>
    <w:rPr>
      <w:b/>
      <w:color w:val="008000"/>
    </w:rPr>
  </w:style>
  <w:style w:type="paragraph" w:styleId="DocumentMap">
    <w:name w:val="Document Map"/>
    <w:basedOn w:val="Normal"/>
    <w:link w:val="DocumentMapChar"/>
    <w:rsid w:val="00060B7F"/>
    <w:rPr>
      <w:rFonts w:ascii="Tahoma" w:hAnsi="Tahoma" w:cs="Tahoma"/>
      <w:sz w:val="16"/>
      <w:szCs w:val="16"/>
    </w:rPr>
  </w:style>
  <w:style w:type="character" w:customStyle="1" w:styleId="DocumentMapChar">
    <w:name w:val="Document Map Char"/>
    <w:basedOn w:val="DefaultParagraphFont"/>
    <w:link w:val="DocumentMap"/>
    <w:rsid w:val="00060B7F"/>
    <w:rPr>
      <w:rFonts w:ascii="Tahoma" w:hAnsi="Tahoma" w:cs="Tahoma"/>
      <w:sz w:val="16"/>
      <w:szCs w:val="16"/>
      <w:lang w:eastAsia="en-US"/>
    </w:rPr>
  </w:style>
  <w:style w:type="table" w:customStyle="1" w:styleId="LightShading-Accent11">
    <w:name w:val="Light Shading - Accent 11"/>
    <w:basedOn w:val="TableNormal"/>
    <w:uiPriority w:val="60"/>
    <w:rsid w:val="001852C7"/>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NoSpacing">
    <w:name w:val="No Spacing"/>
    <w:link w:val="NoSpacingChar"/>
    <w:uiPriority w:val="1"/>
    <w:qFormat/>
    <w:rsid w:val="000300BF"/>
    <w:rPr>
      <w:rFonts w:ascii="Calibri" w:eastAsia="Malgun Gothic" w:hAnsi="Calibri"/>
      <w:sz w:val="22"/>
      <w:szCs w:val="22"/>
      <w:lang w:eastAsia="en-US"/>
    </w:rPr>
  </w:style>
  <w:style w:type="character" w:customStyle="1" w:styleId="NoSpacingChar">
    <w:name w:val="No Spacing Char"/>
    <w:basedOn w:val="DefaultParagraphFont"/>
    <w:link w:val="NoSpacing"/>
    <w:uiPriority w:val="1"/>
    <w:rsid w:val="000300BF"/>
    <w:rPr>
      <w:rFonts w:ascii="Calibri" w:eastAsia="Malgun Gothic" w:hAnsi="Calibri"/>
      <w:sz w:val="22"/>
      <w:szCs w:val="22"/>
      <w:lang w:val="en-US" w:eastAsia="en-US" w:bidi="ar-SA"/>
    </w:rPr>
  </w:style>
  <w:style w:type="table" w:customStyle="1" w:styleId="Style1">
    <w:name w:val="Style1"/>
    <w:basedOn w:val="MediumShading1-Accent11"/>
    <w:rsid w:val="00F12F5B"/>
    <w:tblPr/>
    <w:tcPr>
      <w:shd w:val="clear" w:color="auto" w:fill="auto"/>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F12F5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FootnoteStyle1">
    <w:name w:val="FootnoteStyle1"/>
    <w:basedOn w:val="Normal"/>
    <w:link w:val="FootnoteStyle1Char"/>
    <w:autoRedefine/>
    <w:qFormat/>
    <w:rsid w:val="008A452E"/>
    <w:pPr>
      <w:ind w:left="180" w:hanging="180"/>
    </w:pPr>
    <w:rPr>
      <w:i/>
      <w:sz w:val="18"/>
      <w:szCs w:val="18"/>
    </w:rPr>
  </w:style>
  <w:style w:type="character" w:customStyle="1" w:styleId="FootnoteStyle1Char">
    <w:name w:val="FootnoteStyle1 Char"/>
    <w:basedOn w:val="DefaultParagraphFont"/>
    <w:link w:val="FootnoteStyle1"/>
    <w:rsid w:val="008A452E"/>
    <w:rPr>
      <w:rFonts w:ascii="Calibri" w:hAnsi="Calibri"/>
      <w:i/>
      <w:sz w:val="18"/>
      <w:szCs w:val="18"/>
      <w:lang w:eastAsia="en-US"/>
    </w:rPr>
  </w:style>
  <w:style w:type="table" w:customStyle="1" w:styleId="TableStyle01">
    <w:name w:val="TableStyle01"/>
    <w:basedOn w:val="TableNormal"/>
    <w:rsid w:val="00083E67"/>
    <w:pPr>
      <w:jc w:val="center"/>
    </w:pPr>
    <w:rPr>
      <w:rFonts w:ascii="Calibri" w:hAnsi="Calibri"/>
      <w:color w:val="1F497D"/>
    </w:rPr>
    <w:tblPr>
      <w:tblStyleRowBandSize w:val="1"/>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cPr>
      <w:shd w:val="clear" w:color="auto" w:fill="auto"/>
      <w:vAlign w:val="center"/>
    </w:tcPr>
    <w:tblStylePr w:type="firstRow">
      <w:rPr>
        <w:rFonts w:ascii="Calibri" w:hAnsi="Calibri"/>
        <w:b/>
      </w:rPr>
      <w:tblPr/>
      <w:tcPr>
        <w:shd w:val="clear" w:color="auto" w:fill="C6D9F1"/>
      </w:tcPr>
    </w:tblStylePr>
    <w:tblStylePr w:type="band1Horz">
      <w:rPr>
        <w:rFonts w:ascii="Calibri" w:hAnsi="Calibri"/>
        <w:color w:val="1F497D"/>
      </w:rPr>
    </w:tblStylePr>
    <w:tblStylePr w:type="band2Horz">
      <w:rPr>
        <w:rFonts w:ascii="Calibri" w:hAnsi="Calibri"/>
      </w:rPr>
    </w:tblStylePr>
  </w:style>
  <w:style w:type="table" w:styleId="Table3Deffects3">
    <w:name w:val="Table 3D effects 3"/>
    <w:basedOn w:val="TableNormal"/>
    <w:rsid w:val="00083E6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ListParagraph">
    <w:name w:val="List Paragraph"/>
    <w:basedOn w:val="Normal"/>
    <w:uiPriority w:val="34"/>
    <w:qFormat/>
    <w:rsid w:val="00761F40"/>
    <w:pPr>
      <w:ind w:left="720"/>
      <w:contextualSpacing/>
    </w:pPr>
  </w:style>
  <w:style w:type="paragraph" w:customStyle="1" w:styleId="Qualifier">
    <w:name w:val="Qualifier"/>
    <w:basedOn w:val="Normal"/>
    <w:link w:val="QualifierChar"/>
    <w:autoRedefine/>
    <w:qFormat/>
    <w:rsid w:val="00FB7AA6"/>
    <w:pPr>
      <w:ind w:left="144" w:hanging="144"/>
    </w:pPr>
    <w:rPr>
      <w:i/>
      <w:sz w:val="18"/>
      <w:szCs w:val="18"/>
    </w:rPr>
  </w:style>
  <w:style w:type="character" w:customStyle="1" w:styleId="QualifierChar">
    <w:name w:val="Qualifier Char"/>
    <w:basedOn w:val="DefaultParagraphFont"/>
    <w:link w:val="Qualifier"/>
    <w:rsid w:val="00FB7AA6"/>
    <w:rPr>
      <w:rFonts w:ascii="Calibri" w:hAnsi="Calibri"/>
      <w:i/>
      <w:sz w:val="18"/>
      <w:szCs w:val="18"/>
      <w:lang w:eastAsia="en-US"/>
    </w:rPr>
  </w:style>
  <w:style w:type="paragraph" w:styleId="IntenseQuote">
    <w:name w:val="Intense Quote"/>
    <w:basedOn w:val="Normal"/>
    <w:next w:val="Normal"/>
    <w:link w:val="IntenseQuoteChar"/>
    <w:autoRedefine/>
    <w:uiPriority w:val="30"/>
    <w:qFormat/>
    <w:rsid w:val="00233990"/>
    <w:pPr>
      <w:numPr>
        <w:numId w:val="4"/>
      </w:numPr>
      <w:tabs>
        <w:tab w:val="left" w:pos="360"/>
      </w:tabs>
      <w:spacing w:before="60" w:after="60"/>
    </w:pPr>
    <w:rPr>
      <w:bCs/>
      <w:iCs/>
      <w:color w:val="1F497D" w:themeColor="text2"/>
    </w:rPr>
  </w:style>
  <w:style w:type="character" w:customStyle="1" w:styleId="IntenseQuoteChar">
    <w:name w:val="Intense Quote Char"/>
    <w:basedOn w:val="DefaultParagraphFont"/>
    <w:link w:val="IntenseQuote"/>
    <w:uiPriority w:val="30"/>
    <w:rsid w:val="00233990"/>
    <w:rPr>
      <w:rFonts w:ascii="Calibri" w:hAnsi="Calibri"/>
      <w:bCs/>
      <w:iCs/>
      <w:color w:val="1F497D" w:themeColor="text2"/>
      <w:sz w:val="22"/>
      <w:lang w:eastAsia="en-US"/>
    </w:rPr>
  </w:style>
  <w:style w:type="character" w:styleId="IntenseEmphasis">
    <w:name w:val="Intense Emphasis"/>
    <w:basedOn w:val="BodyTextChar"/>
    <w:uiPriority w:val="21"/>
    <w:qFormat/>
    <w:rsid w:val="003E33B3"/>
    <w:rPr>
      <w:rFonts w:ascii="Arial" w:eastAsia="SimSun" w:hAnsi="Arial"/>
      <w:b/>
      <w:bCs/>
      <w:i/>
      <w:iCs/>
      <w:noProof w:val="0"/>
      <w:snapToGrid w:val="0"/>
      <w:color w:val="4F81BD" w:themeColor="accent1"/>
      <w:sz w:val="22"/>
      <w:szCs w:val="24"/>
      <w:lang w:val="en-US" w:eastAsia="zh-CN" w:bidi="ar-SA"/>
    </w:rPr>
  </w:style>
  <w:style w:type="paragraph" w:styleId="EndnoteText">
    <w:name w:val="endnote text"/>
    <w:basedOn w:val="Normal"/>
    <w:link w:val="EndnoteTextChar"/>
    <w:rsid w:val="00553B15"/>
    <w:rPr>
      <w:sz w:val="20"/>
    </w:rPr>
  </w:style>
  <w:style w:type="character" w:customStyle="1" w:styleId="EndnoteTextChar">
    <w:name w:val="Endnote Text Char"/>
    <w:basedOn w:val="DefaultParagraphFont"/>
    <w:link w:val="EndnoteText"/>
    <w:rsid w:val="00553B15"/>
    <w:rPr>
      <w:rFonts w:ascii="Calibri" w:hAnsi="Calibri"/>
      <w:lang w:eastAsia="en-US"/>
    </w:rPr>
  </w:style>
  <w:style w:type="character" w:styleId="EndnoteReference">
    <w:name w:val="endnote reference"/>
    <w:basedOn w:val="DefaultParagraphFont"/>
    <w:rsid w:val="00553B15"/>
    <w:rPr>
      <w:vertAlign w:val="superscript"/>
    </w:rPr>
  </w:style>
  <w:style w:type="character" w:customStyle="1" w:styleId="fn">
    <w:name w:val="fn"/>
    <w:basedOn w:val="DefaultParagraphFont"/>
    <w:rsid w:val="00690913"/>
  </w:style>
  <w:style w:type="character" w:customStyle="1" w:styleId="flag">
    <w:name w:val="flag"/>
    <w:basedOn w:val="DefaultParagraphFont"/>
    <w:rsid w:val="00C475EA"/>
  </w:style>
  <w:style w:type="character" w:customStyle="1" w:styleId="authornames">
    <w:name w:val="authornames"/>
    <w:basedOn w:val="DefaultParagraphFont"/>
    <w:rsid w:val="00C475EA"/>
  </w:style>
  <w:style w:type="character" w:customStyle="1" w:styleId="spanminus">
    <w:name w:val="spanminus"/>
    <w:basedOn w:val="DefaultParagraphFont"/>
    <w:rsid w:val="00C475E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qFormat="1"/>
    <w:lsdException w:name="table of figures"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45780"/>
    <w:rPr>
      <w:rFonts w:ascii="Calibri" w:hAnsi="Calibri"/>
      <w:sz w:val="22"/>
      <w:lang w:eastAsia="en-US"/>
    </w:rPr>
  </w:style>
  <w:style w:type="paragraph" w:styleId="Heading1">
    <w:name w:val="heading 1"/>
    <w:basedOn w:val="Normal"/>
    <w:next w:val="Normal"/>
    <w:link w:val="Heading1Char"/>
    <w:autoRedefine/>
    <w:qFormat/>
    <w:rsid w:val="00BE0948"/>
    <w:pPr>
      <w:keepNext/>
      <w:numPr>
        <w:numId w:val="3"/>
      </w:numPr>
      <w:spacing w:after="120"/>
      <w:jc w:val="center"/>
      <w:outlineLvl w:val="0"/>
    </w:pPr>
    <w:rPr>
      <w:b/>
      <w:noProof/>
      <w:color w:val="1F497D"/>
      <w:sz w:val="32"/>
      <w:szCs w:val="36"/>
      <w14:shadow w14:blurRad="50800" w14:dist="38100" w14:dir="2700000" w14:sx="100000" w14:sy="100000" w14:kx="0" w14:ky="0" w14:algn="tl">
        <w14:srgbClr w14:val="000000">
          <w14:alpha w14:val="60000"/>
        </w14:srgbClr>
      </w14:shadow>
    </w:rPr>
  </w:style>
  <w:style w:type="paragraph" w:styleId="Heading2">
    <w:name w:val="heading 2"/>
    <w:basedOn w:val="Normal"/>
    <w:next w:val="Normal"/>
    <w:link w:val="Heading2Char"/>
    <w:autoRedefine/>
    <w:qFormat/>
    <w:rsid w:val="003F18B1"/>
    <w:pPr>
      <w:keepNext/>
      <w:numPr>
        <w:ilvl w:val="1"/>
        <w:numId w:val="3"/>
      </w:numPr>
      <w:spacing w:before="240"/>
      <w:outlineLvl w:val="1"/>
    </w:pPr>
    <w:rPr>
      <w:b/>
      <w:color w:val="1F497D"/>
      <w:sz w:val="28"/>
      <w:szCs w:val="28"/>
    </w:rPr>
  </w:style>
  <w:style w:type="paragraph" w:styleId="Heading3">
    <w:name w:val="heading 3"/>
    <w:basedOn w:val="Normal"/>
    <w:next w:val="Normal"/>
    <w:link w:val="Heading3Char"/>
    <w:autoRedefine/>
    <w:qFormat/>
    <w:rsid w:val="00560DA7"/>
    <w:pPr>
      <w:keepNext/>
      <w:numPr>
        <w:ilvl w:val="2"/>
        <w:numId w:val="3"/>
      </w:numPr>
      <w:spacing w:before="120" w:after="120"/>
      <w:outlineLvl w:val="2"/>
    </w:pPr>
    <w:rPr>
      <w:rFonts w:ascii="Times New Roman" w:hAnsi="Times New Roman"/>
      <w:b/>
      <w:color w:val="008000"/>
      <w:sz w:val="24"/>
      <w:szCs w:val="24"/>
      <w:u w:val="single"/>
    </w:rPr>
  </w:style>
  <w:style w:type="paragraph" w:styleId="Heading4">
    <w:name w:val="heading 4"/>
    <w:basedOn w:val="Normal"/>
    <w:next w:val="Normal"/>
    <w:link w:val="Heading4Char"/>
    <w:qFormat/>
    <w:rsid w:val="00560DA7"/>
    <w:pPr>
      <w:keepNext/>
      <w:numPr>
        <w:ilvl w:val="3"/>
        <w:numId w:val="3"/>
      </w:numPr>
      <w:spacing w:before="240" w:after="60"/>
      <w:outlineLvl w:val="3"/>
    </w:pPr>
    <w:rPr>
      <w:rFonts w:ascii="Times New Roman" w:hAnsi="Times New Roman"/>
      <w:b/>
      <w:bCs/>
      <w:sz w:val="28"/>
      <w:szCs w:val="28"/>
    </w:rPr>
  </w:style>
  <w:style w:type="paragraph" w:styleId="Heading5">
    <w:name w:val="heading 5"/>
    <w:basedOn w:val="Normal"/>
    <w:next w:val="Normal"/>
    <w:link w:val="Heading5Char"/>
    <w:qFormat/>
    <w:rsid w:val="00560DA7"/>
    <w:pPr>
      <w:numPr>
        <w:ilvl w:val="4"/>
        <w:numId w:val="3"/>
      </w:numPr>
      <w:spacing w:before="240" w:after="60"/>
      <w:outlineLvl w:val="4"/>
    </w:pPr>
    <w:rPr>
      <w:b/>
      <w:bCs/>
      <w:i/>
      <w:iCs/>
      <w:sz w:val="26"/>
      <w:szCs w:val="26"/>
    </w:rPr>
  </w:style>
  <w:style w:type="paragraph" w:styleId="Heading6">
    <w:name w:val="heading 6"/>
    <w:basedOn w:val="Normal"/>
    <w:next w:val="Normal"/>
    <w:link w:val="Heading6Char"/>
    <w:qFormat/>
    <w:rsid w:val="00560DA7"/>
    <w:pPr>
      <w:numPr>
        <w:ilvl w:val="5"/>
        <w:numId w:val="3"/>
      </w:numPr>
      <w:spacing w:before="240" w:after="60"/>
      <w:outlineLvl w:val="5"/>
    </w:pPr>
    <w:rPr>
      <w:rFonts w:ascii="Times New Roman" w:hAnsi="Times New Roman"/>
      <w:b/>
      <w:bCs/>
      <w:szCs w:val="22"/>
    </w:rPr>
  </w:style>
  <w:style w:type="paragraph" w:styleId="Heading7">
    <w:name w:val="heading 7"/>
    <w:basedOn w:val="Normal"/>
    <w:next w:val="Normal"/>
    <w:link w:val="Heading7Char"/>
    <w:qFormat/>
    <w:rsid w:val="00560DA7"/>
    <w:pPr>
      <w:numPr>
        <w:ilvl w:val="6"/>
        <w:numId w:val="3"/>
      </w:numPr>
      <w:spacing w:before="240" w:after="60"/>
      <w:outlineLvl w:val="6"/>
    </w:pPr>
    <w:rPr>
      <w:rFonts w:ascii="Times New Roman" w:hAnsi="Times New Roman"/>
      <w:sz w:val="24"/>
      <w:szCs w:val="24"/>
    </w:rPr>
  </w:style>
  <w:style w:type="paragraph" w:styleId="Heading8">
    <w:name w:val="heading 8"/>
    <w:basedOn w:val="Normal"/>
    <w:next w:val="Normal"/>
    <w:link w:val="Heading8Char"/>
    <w:qFormat/>
    <w:rsid w:val="00560DA7"/>
    <w:pPr>
      <w:numPr>
        <w:ilvl w:val="7"/>
        <w:numId w:val="3"/>
      </w:numPr>
      <w:spacing w:before="240" w:after="60"/>
      <w:outlineLvl w:val="7"/>
    </w:pPr>
    <w:rPr>
      <w:rFonts w:ascii="Times New Roman" w:hAnsi="Times New Roman"/>
      <w:i/>
      <w:iCs/>
      <w:sz w:val="24"/>
      <w:szCs w:val="24"/>
    </w:rPr>
  </w:style>
  <w:style w:type="paragraph" w:styleId="Heading9">
    <w:name w:val="heading 9"/>
    <w:basedOn w:val="Normal"/>
    <w:next w:val="Normal"/>
    <w:link w:val="Heading9Char"/>
    <w:qFormat/>
    <w:rsid w:val="00560DA7"/>
    <w:pPr>
      <w:numPr>
        <w:ilvl w:val="8"/>
        <w:numId w:val="3"/>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E0948"/>
    <w:rPr>
      <w:rFonts w:ascii="Calibri" w:hAnsi="Calibri"/>
      <w:b/>
      <w:noProof/>
      <w:color w:val="1F497D"/>
      <w:sz w:val="32"/>
      <w:szCs w:val="36"/>
      <w:lang w:eastAsia="en-US"/>
      <w14:shadow w14:blurRad="50800" w14:dist="38100" w14:dir="2700000" w14:sx="100000" w14:sy="100000" w14:kx="0" w14:ky="0" w14:algn="tl">
        <w14:srgbClr w14:val="000000">
          <w14:alpha w14:val="60000"/>
        </w14:srgbClr>
      </w14:shadow>
    </w:rPr>
  </w:style>
  <w:style w:type="character" w:customStyle="1" w:styleId="Heading2Char">
    <w:name w:val="Heading 2 Char"/>
    <w:basedOn w:val="DefaultParagraphFont"/>
    <w:link w:val="Heading2"/>
    <w:rsid w:val="003F18B1"/>
    <w:rPr>
      <w:rFonts w:ascii="Calibri" w:hAnsi="Calibri"/>
      <w:b/>
      <w:color w:val="1F497D"/>
      <w:sz w:val="28"/>
      <w:szCs w:val="28"/>
      <w:lang w:eastAsia="en-US"/>
    </w:rPr>
  </w:style>
  <w:style w:type="character" w:customStyle="1" w:styleId="Heading3Char">
    <w:name w:val="Heading 3 Char"/>
    <w:basedOn w:val="DefaultParagraphFont"/>
    <w:link w:val="Heading3"/>
    <w:rsid w:val="00AA02ED"/>
    <w:rPr>
      <w:b/>
      <w:color w:val="008000"/>
      <w:sz w:val="24"/>
      <w:szCs w:val="24"/>
      <w:u w:val="single"/>
      <w:lang w:eastAsia="en-US"/>
    </w:rPr>
  </w:style>
  <w:style w:type="character" w:customStyle="1" w:styleId="Heading4Char">
    <w:name w:val="Heading 4 Char"/>
    <w:basedOn w:val="DefaultParagraphFont"/>
    <w:link w:val="Heading4"/>
    <w:rsid w:val="00AA02ED"/>
    <w:rPr>
      <w:b/>
      <w:bCs/>
      <w:sz w:val="28"/>
      <w:szCs w:val="28"/>
      <w:lang w:eastAsia="en-US"/>
    </w:rPr>
  </w:style>
  <w:style w:type="character" w:customStyle="1" w:styleId="Heading5Char">
    <w:name w:val="Heading 5 Char"/>
    <w:basedOn w:val="DefaultParagraphFont"/>
    <w:link w:val="Heading5"/>
    <w:rsid w:val="00AA02ED"/>
    <w:rPr>
      <w:rFonts w:ascii="Calibri" w:hAnsi="Calibri"/>
      <w:b/>
      <w:bCs/>
      <w:i/>
      <w:iCs/>
      <w:sz w:val="26"/>
      <w:szCs w:val="26"/>
      <w:lang w:eastAsia="en-US"/>
    </w:rPr>
  </w:style>
  <w:style w:type="character" w:customStyle="1" w:styleId="Heading6Char">
    <w:name w:val="Heading 6 Char"/>
    <w:basedOn w:val="DefaultParagraphFont"/>
    <w:link w:val="Heading6"/>
    <w:rsid w:val="00AA02ED"/>
    <w:rPr>
      <w:b/>
      <w:bCs/>
      <w:sz w:val="22"/>
      <w:szCs w:val="22"/>
      <w:lang w:eastAsia="en-US"/>
    </w:rPr>
  </w:style>
  <w:style w:type="character" w:customStyle="1" w:styleId="Heading7Char">
    <w:name w:val="Heading 7 Char"/>
    <w:basedOn w:val="DefaultParagraphFont"/>
    <w:link w:val="Heading7"/>
    <w:rsid w:val="00AA02ED"/>
    <w:rPr>
      <w:sz w:val="24"/>
      <w:szCs w:val="24"/>
      <w:lang w:eastAsia="en-US"/>
    </w:rPr>
  </w:style>
  <w:style w:type="character" w:customStyle="1" w:styleId="Heading8Char">
    <w:name w:val="Heading 8 Char"/>
    <w:basedOn w:val="DefaultParagraphFont"/>
    <w:link w:val="Heading8"/>
    <w:rsid w:val="00AA02ED"/>
    <w:rPr>
      <w:i/>
      <w:iCs/>
      <w:sz w:val="24"/>
      <w:szCs w:val="24"/>
      <w:lang w:eastAsia="en-US"/>
    </w:rPr>
  </w:style>
  <w:style w:type="character" w:customStyle="1" w:styleId="Heading9Char">
    <w:name w:val="Heading 9 Char"/>
    <w:basedOn w:val="DefaultParagraphFont"/>
    <w:link w:val="Heading9"/>
    <w:rsid w:val="00AA02ED"/>
    <w:rPr>
      <w:rFonts w:ascii="Calibri" w:hAnsi="Calibri" w:cs="Arial"/>
      <w:sz w:val="22"/>
      <w:szCs w:val="22"/>
      <w:lang w:eastAsia="en-US"/>
    </w:rPr>
  </w:style>
  <w:style w:type="paragraph" w:styleId="Footer">
    <w:name w:val="footer"/>
    <w:basedOn w:val="Normal"/>
    <w:link w:val="FooterChar"/>
    <w:rsid w:val="005E3FDD"/>
    <w:pPr>
      <w:tabs>
        <w:tab w:val="center" w:pos="4320"/>
        <w:tab w:val="right" w:pos="8640"/>
      </w:tabs>
    </w:pPr>
  </w:style>
  <w:style w:type="character" w:customStyle="1" w:styleId="FooterChar">
    <w:name w:val="Footer Char"/>
    <w:basedOn w:val="DefaultParagraphFont"/>
    <w:link w:val="Footer"/>
    <w:rsid w:val="00AA02ED"/>
    <w:rPr>
      <w:rFonts w:ascii="Calibri" w:hAnsi="Calibri"/>
      <w:sz w:val="22"/>
      <w:lang w:eastAsia="en-US"/>
    </w:rPr>
  </w:style>
  <w:style w:type="character" w:styleId="PageNumber">
    <w:name w:val="page number"/>
    <w:basedOn w:val="DefaultParagraphFont"/>
    <w:rsid w:val="005E3FDD"/>
  </w:style>
  <w:style w:type="paragraph" w:styleId="FootnoteText">
    <w:name w:val="footnote text"/>
    <w:basedOn w:val="Normal"/>
    <w:link w:val="FootnoteTextChar"/>
    <w:autoRedefine/>
    <w:rsid w:val="008B2193"/>
    <w:pPr>
      <w:tabs>
        <w:tab w:val="left" w:pos="180"/>
      </w:tabs>
      <w:ind w:left="180" w:hanging="180"/>
    </w:pPr>
    <w:rPr>
      <w:sz w:val="18"/>
    </w:rPr>
  </w:style>
  <w:style w:type="character" w:customStyle="1" w:styleId="FootnoteTextChar">
    <w:name w:val="Footnote Text Char"/>
    <w:basedOn w:val="DefaultParagraphFont"/>
    <w:link w:val="FootnoteText"/>
    <w:rsid w:val="008B2193"/>
    <w:rPr>
      <w:rFonts w:ascii="Calibri" w:hAnsi="Calibri"/>
      <w:sz w:val="18"/>
      <w:lang w:eastAsia="en-US"/>
    </w:rPr>
  </w:style>
  <w:style w:type="character" w:styleId="FootnoteReference">
    <w:name w:val="footnote reference"/>
    <w:basedOn w:val="DefaultParagraphFont"/>
    <w:semiHidden/>
    <w:rsid w:val="005E3FDD"/>
    <w:rPr>
      <w:vertAlign w:val="superscript"/>
    </w:rPr>
  </w:style>
  <w:style w:type="paragraph" w:styleId="BodyText">
    <w:name w:val="Body Text"/>
    <w:rsid w:val="005E3FDD"/>
    <w:pPr>
      <w:spacing w:line="288" w:lineRule="auto"/>
    </w:pPr>
    <w:rPr>
      <w:rFonts w:ascii="Arial" w:eastAsia="SimSun" w:hAnsi="Arial"/>
      <w:snapToGrid w:val="0"/>
      <w:color w:val="000000"/>
      <w:sz w:val="22"/>
      <w:szCs w:val="24"/>
      <w:lang w:eastAsia="zh-CN"/>
    </w:rPr>
  </w:style>
  <w:style w:type="paragraph" w:styleId="TOC2">
    <w:name w:val="toc 2"/>
    <w:basedOn w:val="Normal"/>
    <w:next w:val="Normal"/>
    <w:autoRedefine/>
    <w:uiPriority w:val="39"/>
    <w:rsid w:val="0012461A"/>
    <w:pPr>
      <w:tabs>
        <w:tab w:val="left" w:pos="960"/>
        <w:tab w:val="right" w:leader="dot" w:pos="9720"/>
      </w:tabs>
      <w:adjustRightInd w:val="0"/>
      <w:spacing w:before="60"/>
      <w:ind w:left="907" w:hanging="360"/>
    </w:pPr>
    <w:rPr>
      <w:b/>
      <w:noProof/>
    </w:rPr>
  </w:style>
  <w:style w:type="paragraph" w:styleId="TOC1">
    <w:name w:val="toc 1"/>
    <w:basedOn w:val="Normal"/>
    <w:next w:val="Normal"/>
    <w:autoRedefine/>
    <w:uiPriority w:val="39"/>
    <w:rsid w:val="0012461A"/>
    <w:pPr>
      <w:tabs>
        <w:tab w:val="left" w:pos="540"/>
        <w:tab w:val="right" w:leader="dot" w:pos="9900"/>
      </w:tabs>
      <w:spacing w:before="300" w:after="60"/>
      <w:ind w:right="86"/>
    </w:pPr>
    <w:rPr>
      <w:b/>
      <w:noProof/>
      <w:color w:val="1F497D"/>
      <w:sz w:val="24"/>
      <w:szCs w:val="24"/>
    </w:rPr>
  </w:style>
  <w:style w:type="paragraph" w:styleId="TOC3">
    <w:name w:val="toc 3"/>
    <w:basedOn w:val="Normal"/>
    <w:next w:val="Normal"/>
    <w:autoRedefine/>
    <w:uiPriority w:val="39"/>
    <w:rsid w:val="005E4A29"/>
    <w:pPr>
      <w:tabs>
        <w:tab w:val="left" w:pos="900"/>
        <w:tab w:val="right" w:leader="dot" w:pos="9180"/>
        <w:tab w:val="left" w:pos="9360"/>
      </w:tabs>
      <w:spacing w:after="80"/>
      <w:ind w:left="547" w:right="144"/>
      <w:jc w:val="center"/>
    </w:pPr>
  </w:style>
  <w:style w:type="character" w:styleId="Hyperlink">
    <w:name w:val="Hyperlink"/>
    <w:basedOn w:val="DefaultParagraphFont"/>
    <w:uiPriority w:val="99"/>
    <w:rsid w:val="000B0AD5"/>
    <w:rPr>
      <w:rFonts w:ascii="Calibri" w:hAnsi="Calibri"/>
      <w:color w:val="0000FF"/>
      <w:sz w:val="20"/>
      <w:szCs w:val="22"/>
      <w:u w:val="single"/>
    </w:rPr>
  </w:style>
  <w:style w:type="paragraph" w:styleId="Caption">
    <w:name w:val="caption"/>
    <w:basedOn w:val="Normal"/>
    <w:next w:val="Normal"/>
    <w:autoRedefine/>
    <w:qFormat/>
    <w:rsid w:val="003003F1"/>
    <w:pPr>
      <w:keepNext/>
      <w:spacing w:line="288" w:lineRule="auto"/>
      <w:jc w:val="center"/>
    </w:pPr>
    <w:rPr>
      <w:b/>
      <w:w w:val="90"/>
      <w:sz w:val="20"/>
    </w:rPr>
  </w:style>
  <w:style w:type="character" w:customStyle="1" w:styleId="StyleArialNarrow">
    <w:name w:val="Style Arial Narrow"/>
    <w:basedOn w:val="DefaultParagraphFont"/>
    <w:rsid w:val="005E3FDD"/>
    <w:rPr>
      <w:rFonts w:ascii="Arial Narrow" w:hAnsi="Arial Narrow"/>
      <w:sz w:val="20"/>
    </w:rPr>
  </w:style>
  <w:style w:type="paragraph" w:customStyle="1" w:styleId="Note">
    <w:name w:val="Note"/>
    <w:basedOn w:val="Normal"/>
    <w:autoRedefine/>
    <w:rsid w:val="00170301"/>
    <w:pPr>
      <w:framePr w:hSpace="180" w:wrap="around" w:vAnchor="text" w:hAnchor="margin" w:xAlign="right" w:y="2"/>
      <w:tabs>
        <w:tab w:val="left" w:pos="540"/>
      </w:tabs>
      <w:spacing w:before="40"/>
      <w:ind w:left="547" w:hanging="547"/>
      <w:suppressOverlap/>
      <w:jc w:val="center"/>
    </w:pPr>
    <w:rPr>
      <w:rFonts w:eastAsia="SimSun"/>
      <w:i/>
      <w:noProof/>
      <w:sz w:val="18"/>
      <w:lang w:eastAsia="zh-CN"/>
    </w:rPr>
  </w:style>
  <w:style w:type="paragraph" w:styleId="Title">
    <w:name w:val="Title"/>
    <w:basedOn w:val="Quote"/>
    <w:next w:val="Normal"/>
    <w:link w:val="TitleChar"/>
    <w:autoRedefine/>
    <w:qFormat/>
    <w:rsid w:val="00B22E89"/>
    <w:pPr>
      <w:pBdr>
        <w:bottom w:val="single" w:sz="4" w:space="4" w:color="4F81BD"/>
      </w:pBdr>
      <w:spacing w:before="360" w:after="600"/>
      <w:ind w:left="936" w:right="936"/>
    </w:pPr>
    <w:rPr>
      <w:b/>
      <w:bCs/>
      <w:i w:val="0"/>
      <w:smallCaps/>
      <w:color w:val="365F91"/>
      <w:sz w:val="32"/>
      <w:szCs w:val="36"/>
    </w:rPr>
  </w:style>
  <w:style w:type="paragraph" w:styleId="Quote">
    <w:name w:val="Quote"/>
    <w:basedOn w:val="Normal"/>
    <w:next w:val="Normal"/>
    <w:link w:val="QuoteChar"/>
    <w:uiPriority w:val="29"/>
    <w:qFormat/>
    <w:rsid w:val="00AD7683"/>
    <w:rPr>
      <w:i/>
      <w:iCs/>
      <w:color w:val="000000"/>
    </w:rPr>
  </w:style>
  <w:style w:type="character" w:customStyle="1" w:styleId="QuoteChar">
    <w:name w:val="Quote Char"/>
    <w:basedOn w:val="DefaultParagraphFont"/>
    <w:link w:val="Quote"/>
    <w:uiPriority w:val="29"/>
    <w:rsid w:val="00AD7683"/>
    <w:rPr>
      <w:rFonts w:ascii="Calibri" w:hAnsi="Calibri"/>
      <w:i/>
      <w:iCs/>
      <w:color w:val="000000"/>
      <w:sz w:val="22"/>
      <w:lang w:eastAsia="en-US"/>
    </w:rPr>
  </w:style>
  <w:style w:type="character" w:customStyle="1" w:styleId="TitleChar">
    <w:name w:val="Title Char"/>
    <w:basedOn w:val="DefaultParagraphFont"/>
    <w:link w:val="Title"/>
    <w:rsid w:val="00B22E89"/>
    <w:rPr>
      <w:rFonts w:ascii="Calibri" w:hAnsi="Calibri"/>
      <w:b/>
      <w:bCs/>
      <w:iCs/>
      <w:smallCaps/>
      <w:color w:val="365F91"/>
      <w:sz w:val="32"/>
      <w:szCs w:val="36"/>
      <w:lang w:eastAsia="en-US"/>
    </w:rPr>
  </w:style>
  <w:style w:type="paragraph" w:styleId="BalloonText">
    <w:name w:val="Balloon Text"/>
    <w:basedOn w:val="Normal"/>
    <w:link w:val="BalloonTextChar"/>
    <w:semiHidden/>
    <w:rsid w:val="005E3FDD"/>
    <w:rPr>
      <w:rFonts w:ascii="Tahoma" w:hAnsi="Tahoma" w:cs="Tahoma"/>
      <w:sz w:val="16"/>
      <w:szCs w:val="16"/>
    </w:rPr>
  </w:style>
  <w:style w:type="character" w:customStyle="1" w:styleId="BalloonTextChar">
    <w:name w:val="Balloon Text Char"/>
    <w:basedOn w:val="DefaultParagraphFont"/>
    <w:link w:val="BalloonText"/>
    <w:semiHidden/>
    <w:rsid w:val="00AA02ED"/>
    <w:rPr>
      <w:rFonts w:ascii="Tahoma" w:hAnsi="Tahoma" w:cs="Tahoma"/>
      <w:sz w:val="16"/>
      <w:szCs w:val="16"/>
      <w:lang w:eastAsia="en-US"/>
    </w:rPr>
  </w:style>
  <w:style w:type="paragraph" w:styleId="Subtitle">
    <w:name w:val="Subtitle"/>
    <w:basedOn w:val="Normal"/>
    <w:link w:val="SubtitleChar"/>
    <w:autoRedefine/>
    <w:qFormat/>
    <w:rsid w:val="005E3FDD"/>
    <w:pPr>
      <w:framePr w:hSpace="180" w:wrap="around" w:vAnchor="text" w:hAnchor="margin" w:xAlign="right" w:y="456"/>
      <w:suppressOverlap/>
      <w:jc w:val="center"/>
    </w:pPr>
    <w:rPr>
      <w:b/>
      <w:sz w:val="20"/>
    </w:rPr>
  </w:style>
  <w:style w:type="character" w:customStyle="1" w:styleId="SubtitleChar">
    <w:name w:val="Subtitle Char"/>
    <w:basedOn w:val="DefaultParagraphFont"/>
    <w:link w:val="Subtitle"/>
    <w:rsid w:val="00AA02ED"/>
    <w:rPr>
      <w:rFonts w:ascii="Calibri" w:hAnsi="Calibri"/>
      <w:b/>
      <w:lang w:eastAsia="en-US"/>
    </w:rPr>
  </w:style>
  <w:style w:type="paragraph" w:styleId="CommentText">
    <w:name w:val="annotation text"/>
    <w:basedOn w:val="Normal"/>
    <w:link w:val="CommentTextChar"/>
    <w:semiHidden/>
    <w:rsid w:val="005E3FDD"/>
  </w:style>
  <w:style w:type="character" w:customStyle="1" w:styleId="CommentTextChar">
    <w:name w:val="Comment Text Char"/>
    <w:basedOn w:val="DefaultParagraphFont"/>
    <w:link w:val="CommentText"/>
    <w:semiHidden/>
    <w:rsid w:val="00AA02ED"/>
    <w:rPr>
      <w:rFonts w:ascii="Calibri" w:hAnsi="Calibri"/>
      <w:sz w:val="22"/>
      <w:lang w:eastAsia="en-US"/>
    </w:rPr>
  </w:style>
  <w:style w:type="paragraph" w:customStyle="1" w:styleId="Report">
    <w:name w:val="Report"/>
    <w:basedOn w:val="Normal"/>
    <w:rsid w:val="005E3FDD"/>
    <w:pPr>
      <w:keepLines/>
      <w:spacing w:before="100"/>
    </w:pPr>
    <w:rPr>
      <w:rFonts w:eastAsia="SimSun"/>
      <w:color w:val="FF0000"/>
      <w:szCs w:val="24"/>
      <w:lang w:eastAsia="zh-CN"/>
    </w:rPr>
  </w:style>
  <w:style w:type="paragraph" w:customStyle="1" w:styleId="Figure">
    <w:name w:val="Figure"/>
    <w:basedOn w:val="BodyText"/>
    <w:autoRedefine/>
    <w:rsid w:val="005E3FDD"/>
    <w:pPr>
      <w:keepNext/>
      <w:framePr w:hSpace="180" w:wrap="around" w:vAnchor="text" w:hAnchor="margin" w:xAlign="right" w:y="679"/>
      <w:tabs>
        <w:tab w:val="left" w:pos="4078"/>
      </w:tabs>
      <w:ind w:left="720" w:right="-72" w:hanging="720"/>
      <w:suppressOverlap/>
    </w:pPr>
    <w:rPr>
      <w:b/>
      <w:szCs w:val="20"/>
    </w:rPr>
  </w:style>
  <w:style w:type="character" w:customStyle="1" w:styleId="BodyTextChar">
    <w:name w:val="Body Text Char"/>
    <w:basedOn w:val="DefaultParagraphFont"/>
    <w:rsid w:val="005E3FDD"/>
    <w:rPr>
      <w:rFonts w:ascii="Arial" w:eastAsia="SimSun" w:hAnsi="Arial"/>
      <w:noProof w:val="0"/>
      <w:snapToGrid w:val="0"/>
      <w:color w:val="000000"/>
      <w:sz w:val="22"/>
      <w:szCs w:val="24"/>
      <w:lang w:val="en-US" w:eastAsia="zh-CN" w:bidi="ar-SA"/>
    </w:rPr>
  </w:style>
  <w:style w:type="character" w:customStyle="1" w:styleId="FigureChar">
    <w:name w:val="Figure Char"/>
    <w:basedOn w:val="figurechar0"/>
    <w:qFormat/>
    <w:rsid w:val="00650386"/>
    <w:rPr>
      <w:rFonts w:ascii="Calibri" w:eastAsia="SimSun" w:hAnsi="Calibri"/>
      <w:b/>
      <w:noProof w:val="0"/>
      <w:snapToGrid/>
      <w:color w:val="1F497D"/>
      <w:sz w:val="22"/>
      <w:szCs w:val="24"/>
      <w:lang w:val="en-US" w:eastAsia="zh-CN" w:bidi="ar-SA"/>
    </w:rPr>
  </w:style>
  <w:style w:type="paragraph" w:styleId="TableofFigures">
    <w:name w:val="table of figures"/>
    <w:basedOn w:val="Normal"/>
    <w:next w:val="Normal"/>
    <w:autoRedefine/>
    <w:uiPriority w:val="99"/>
    <w:rsid w:val="00B36416"/>
    <w:pPr>
      <w:tabs>
        <w:tab w:val="right" w:leader="dot" w:pos="9926"/>
      </w:tabs>
      <w:spacing w:before="60" w:after="60"/>
      <w:ind w:left="900" w:hanging="900"/>
    </w:pPr>
    <w:rPr>
      <w:rFonts w:asciiTheme="minorHAnsi" w:hAnsiTheme="minorHAnsi"/>
      <w:b/>
      <w:noProof/>
    </w:rPr>
  </w:style>
  <w:style w:type="paragraph" w:styleId="Header">
    <w:name w:val="header"/>
    <w:basedOn w:val="Normal"/>
    <w:link w:val="HeaderChar"/>
    <w:autoRedefine/>
    <w:uiPriority w:val="99"/>
    <w:rsid w:val="00170EF4"/>
    <w:pPr>
      <w:tabs>
        <w:tab w:val="center" w:pos="5319"/>
        <w:tab w:val="right" w:pos="8640"/>
      </w:tabs>
    </w:pPr>
    <w:rPr>
      <w:color w:val="4F81BD"/>
      <w:sz w:val="20"/>
    </w:rPr>
  </w:style>
  <w:style w:type="character" w:customStyle="1" w:styleId="HeaderChar">
    <w:name w:val="Header Char"/>
    <w:basedOn w:val="DefaultParagraphFont"/>
    <w:link w:val="Header"/>
    <w:uiPriority w:val="99"/>
    <w:rsid w:val="00170EF4"/>
    <w:rPr>
      <w:rFonts w:ascii="Calibri" w:hAnsi="Calibri"/>
      <w:color w:val="4F81BD"/>
      <w:lang w:eastAsia="en-US"/>
    </w:rPr>
  </w:style>
  <w:style w:type="character" w:styleId="FollowedHyperlink">
    <w:name w:val="FollowedHyperlink"/>
    <w:basedOn w:val="DefaultParagraphFont"/>
    <w:rsid w:val="005E3FDD"/>
    <w:rPr>
      <w:color w:val="800080"/>
      <w:u w:val="single"/>
    </w:rPr>
  </w:style>
  <w:style w:type="character" w:customStyle="1" w:styleId="EmailStyle561">
    <w:name w:val="EmailStyle561"/>
    <w:basedOn w:val="DefaultParagraphFont"/>
    <w:semiHidden/>
    <w:rsid w:val="005E3FDD"/>
    <w:rPr>
      <w:rFonts w:ascii="Arial" w:hAnsi="Arial" w:cs="Arial"/>
      <w:b w:val="0"/>
      <w:bCs w:val="0"/>
      <w:i w:val="0"/>
      <w:iCs w:val="0"/>
      <w:strike w:val="0"/>
      <w:color w:val="008000"/>
      <w:sz w:val="20"/>
      <w:szCs w:val="20"/>
      <w:u w:val="none"/>
    </w:rPr>
  </w:style>
  <w:style w:type="character" w:styleId="CommentReference">
    <w:name w:val="annotation reference"/>
    <w:basedOn w:val="DefaultParagraphFont"/>
    <w:semiHidden/>
    <w:rsid w:val="005E3FDD"/>
    <w:rPr>
      <w:sz w:val="16"/>
      <w:szCs w:val="16"/>
    </w:rPr>
  </w:style>
  <w:style w:type="paragraph" w:styleId="CommentSubject">
    <w:name w:val="annotation subject"/>
    <w:basedOn w:val="CommentText"/>
    <w:next w:val="CommentText"/>
    <w:link w:val="CommentSubjectChar"/>
    <w:semiHidden/>
    <w:rsid w:val="005E3FDD"/>
    <w:rPr>
      <w:b/>
      <w:bCs/>
      <w:sz w:val="20"/>
    </w:rPr>
  </w:style>
  <w:style w:type="character" w:customStyle="1" w:styleId="CommentSubjectChar">
    <w:name w:val="Comment Subject Char"/>
    <w:basedOn w:val="CommentTextChar"/>
    <w:link w:val="CommentSubject"/>
    <w:semiHidden/>
    <w:rsid w:val="00AA02ED"/>
    <w:rPr>
      <w:rFonts w:ascii="Calibri" w:hAnsi="Calibri"/>
      <w:b/>
      <w:bCs/>
      <w:sz w:val="22"/>
      <w:lang w:eastAsia="en-US"/>
    </w:rPr>
  </w:style>
  <w:style w:type="paragraph" w:styleId="BodyText3">
    <w:name w:val="Body Text 3"/>
    <w:basedOn w:val="Normal"/>
    <w:link w:val="BodyText3Char"/>
    <w:rsid w:val="005E3FDD"/>
    <w:pPr>
      <w:spacing w:after="120"/>
    </w:pPr>
    <w:rPr>
      <w:sz w:val="16"/>
      <w:szCs w:val="16"/>
    </w:rPr>
  </w:style>
  <w:style w:type="character" w:customStyle="1" w:styleId="BodyText3Char">
    <w:name w:val="Body Text 3 Char"/>
    <w:basedOn w:val="DefaultParagraphFont"/>
    <w:link w:val="BodyText3"/>
    <w:rsid w:val="00AA02ED"/>
    <w:rPr>
      <w:rFonts w:ascii="Calibri" w:hAnsi="Calibri"/>
      <w:sz w:val="16"/>
      <w:szCs w:val="16"/>
      <w:lang w:eastAsia="en-US"/>
    </w:rPr>
  </w:style>
  <w:style w:type="paragraph" w:customStyle="1" w:styleId="content">
    <w:name w:val="content"/>
    <w:basedOn w:val="Normal"/>
    <w:rsid w:val="007B420A"/>
    <w:pPr>
      <w:spacing w:before="100" w:beforeAutospacing="1" w:after="100" w:afterAutospacing="1"/>
    </w:pPr>
    <w:rPr>
      <w:rFonts w:ascii="Times New Roman" w:eastAsia="Batang" w:hAnsi="Times New Roman"/>
      <w:color w:val="000000"/>
      <w:sz w:val="24"/>
      <w:szCs w:val="24"/>
      <w:lang w:eastAsia="ko-KR"/>
    </w:rPr>
  </w:style>
  <w:style w:type="table" w:styleId="TableGrid">
    <w:name w:val="Table Grid"/>
    <w:basedOn w:val="TableNormal"/>
    <w:rsid w:val="00BE1B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rsid w:val="001D507B"/>
  </w:style>
  <w:style w:type="character" w:customStyle="1" w:styleId="DateChar">
    <w:name w:val="Date Char"/>
    <w:basedOn w:val="DefaultParagraphFont"/>
    <w:link w:val="Date"/>
    <w:rsid w:val="00AA02ED"/>
    <w:rPr>
      <w:rFonts w:ascii="Calibri" w:hAnsi="Calibri"/>
      <w:sz w:val="22"/>
      <w:lang w:eastAsia="en-US"/>
    </w:rPr>
  </w:style>
  <w:style w:type="paragraph" w:customStyle="1" w:styleId="StyleTableofFiguresBold">
    <w:name w:val="Style Table of Figures + Bold"/>
    <w:basedOn w:val="TableofFigures"/>
    <w:autoRedefine/>
    <w:rsid w:val="00B25660"/>
    <w:rPr>
      <w:bCs/>
    </w:rPr>
  </w:style>
  <w:style w:type="paragraph" w:customStyle="1" w:styleId="StyleTableofFiguresBold1">
    <w:name w:val="Style Table of Figures + Bold1"/>
    <w:basedOn w:val="TableofFigures"/>
    <w:autoRedefine/>
    <w:rsid w:val="00B25660"/>
    <w:rPr>
      <w:bCs/>
      <w:szCs w:val="22"/>
    </w:rPr>
  </w:style>
  <w:style w:type="paragraph" w:styleId="NormalWeb">
    <w:name w:val="Normal (Web)"/>
    <w:basedOn w:val="Normal"/>
    <w:uiPriority w:val="99"/>
    <w:rsid w:val="000A391D"/>
    <w:pPr>
      <w:spacing w:before="100" w:beforeAutospacing="1" w:after="100" w:afterAutospacing="1"/>
    </w:pPr>
    <w:rPr>
      <w:rFonts w:ascii="Times New Roman" w:hAnsi="Times New Roman"/>
      <w:sz w:val="24"/>
      <w:szCs w:val="24"/>
    </w:rPr>
  </w:style>
  <w:style w:type="paragraph" w:styleId="z-TopofForm">
    <w:name w:val="HTML Top of Form"/>
    <w:basedOn w:val="Normal"/>
    <w:next w:val="Normal"/>
    <w:link w:val="z-TopofFormChar"/>
    <w:hidden/>
    <w:rsid w:val="0052459E"/>
    <w:pPr>
      <w:pBdr>
        <w:bottom w:val="single" w:sz="6" w:space="1" w:color="auto"/>
      </w:pBdr>
      <w:jc w:val="center"/>
    </w:pPr>
    <w:rPr>
      <w:rFonts w:cs="Arial"/>
      <w:vanish/>
      <w:sz w:val="16"/>
      <w:szCs w:val="16"/>
    </w:rPr>
  </w:style>
  <w:style w:type="character" w:customStyle="1" w:styleId="z-TopofFormChar">
    <w:name w:val="z-Top of Form Char"/>
    <w:basedOn w:val="DefaultParagraphFont"/>
    <w:link w:val="z-TopofForm"/>
    <w:rsid w:val="00AA02ED"/>
    <w:rPr>
      <w:rFonts w:ascii="Calibri" w:hAnsi="Calibri" w:cs="Arial"/>
      <w:vanish/>
      <w:sz w:val="16"/>
      <w:szCs w:val="16"/>
      <w:lang w:eastAsia="en-US"/>
    </w:rPr>
  </w:style>
  <w:style w:type="paragraph" w:customStyle="1" w:styleId="contentbody">
    <w:name w:val="contentbody"/>
    <w:basedOn w:val="Normal"/>
    <w:rsid w:val="00CF320D"/>
    <w:pPr>
      <w:spacing w:after="135" w:line="285" w:lineRule="atLeast"/>
      <w:ind w:left="15"/>
    </w:pPr>
    <w:rPr>
      <w:rFonts w:ascii="Verdana" w:hAnsi="Verdana"/>
      <w:color w:val="333333"/>
      <w:sz w:val="18"/>
      <w:szCs w:val="18"/>
    </w:rPr>
  </w:style>
  <w:style w:type="character" w:customStyle="1" w:styleId="contenthead11">
    <w:name w:val="contenthead11"/>
    <w:basedOn w:val="DefaultParagraphFont"/>
    <w:rsid w:val="00CF320D"/>
    <w:rPr>
      <w:rFonts w:ascii="Verdana" w:hAnsi="Verdana" w:hint="default"/>
      <w:b/>
      <w:bCs/>
      <w:caps/>
      <w:color w:val="990000"/>
      <w:sz w:val="24"/>
      <w:szCs w:val="24"/>
    </w:rPr>
  </w:style>
  <w:style w:type="character" w:customStyle="1" w:styleId="addmd1">
    <w:name w:val="addmd1"/>
    <w:basedOn w:val="DefaultParagraphFont"/>
    <w:rsid w:val="00A10EEA"/>
    <w:rPr>
      <w:rFonts w:ascii="Arial" w:hAnsi="Arial" w:cs="Arial" w:hint="default"/>
      <w:color w:val="777777"/>
      <w:sz w:val="20"/>
      <w:szCs w:val="20"/>
    </w:rPr>
  </w:style>
  <w:style w:type="character" w:styleId="Strong">
    <w:name w:val="Strong"/>
    <w:basedOn w:val="DefaultParagraphFont"/>
    <w:qFormat/>
    <w:rsid w:val="007A7434"/>
    <w:rPr>
      <w:b/>
      <w:bCs/>
    </w:rPr>
  </w:style>
  <w:style w:type="character" w:styleId="Emphasis">
    <w:name w:val="Emphasis"/>
    <w:basedOn w:val="DefaultParagraphFont"/>
    <w:uiPriority w:val="20"/>
    <w:qFormat/>
    <w:rsid w:val="007A7434"/>
    <w:rPr>
      <w:i/>
      <w:iCs/>
    </w:rPr>
  </w:style>
  <w:style w:type="character" w:customStyle="1" w:styleId="sensecontent1">
    <w:name w:val="sense_content1"/>
    <w:basedOn w:val="DefaultParagraphFont"/>
    <w:rsid w:val="003441D6"/>
    <w:rPr>
      <w:rFonts w:ascii="Times New Roman" w:hAnsi="Times New Roman" w:cs="Times New Roman" w:hint="default"/>
      <w:b w:val="0"/>
      <w:bCs w:val="0"/>
    </w:rPr>
  </w:style>
  <w:style w:type="paragraph" w:customStyle="1" w:styleId="Temp">
    <w:name w:val="Temp"/>
    <w:basedOn w:val="Heading1"/>
    <w:rsid w:val="002E5FBA"/>
    <w:rPr>
      <w:shadow/>
      <w14:shadow w14:blurRad="0" w14:dist="0" w14:dir="0" w14:sx="0" w14:sy="0" w14:kx="0" w14:ky="0" w14:algn="none">
        <w14:srgbClr w14:val="000000"/>
      </w14:shadow>
    </w:rPr>
  </w:style>
  <w:style w:type="paragraph" w:customStyle="1" w:styleId="Default">
    <w:name w:val="Default"/>
    <w:rsid w:val="00F618B8"/>
    <w:pPr>
      <w:autoSpaceDE w:val="0"/>
      <w:autoSpaceDN w:val="0"/>
      <w:adjustRightInd w:val="0"/>
    </w:pPr>
    <w:rPr>
      <w:rFonts w:ascii="Arial" w:hAnsi="Arial" w:cs="Arial"/>
      <w:color w:val="000000"/>
      <w:sz w:val="24"/>
      <w:szCs w:val="24"/>
      <w:lang w:eastAsia="en-US"/>
    </w:rPr>
  </w:style>
  <w:style w:type="paragraph" w:customStyle="1" w:styleId="StyleTableofFigures">
    <w:name w:val="Style Table of Figures"/>
    <w:basedOn w:val="TableofFigures"/>
    <w:rsid w:val="00C957B7"/>
  </w:style>
  <w:style w:type="character" w:customStyle="1" w:styleId="figurechar0">
    <w:name w:val="figurechar"/>
    <w:basedOn w:val="DefaultParagraphFont"/>
    <w:rsid w:val="0002283F"/>
  </w:style>
  <w:style w:type="character" w:customStyle="1" w:styleId="apple-style-span">
    <w:name w:val="apple-style-span"/>
    <w:basedOn w:val="DefaultParagraphFont"/>
    <w:rsid w:val="00D52B7A"/>
  </w:style>
  <w:style w:type="character" w:customStyle="1" w:styleId="apple-converted-space">
    <w:name w:val="apple-converted-space"/>
    <w:basedOn w:val="DefaultParagraphFont"/>
    <w:rsid w:val="0088241F"/>
  </w:style>
  <w:style w:type="paragraph" w:customStyle="1" w:styleId="KeyFindings">
    <w:name w:val="Key Findings"/>
    <w:basedOn w:val="BodyText"/>
    <w:autoRedefine/>
    <w:qFormat/>
    <w:rsid w:val="00A80446"/>
    <w:pPr>
      <w:numPr>
        <w:numId w:val="1"/>
      </w:numPr>
      <w:spacing w:before="120" w:line="264" w:lineRule="auto"/>
      <w:outlineLvl w:val="0"/>
    </w:pPr>
    <w:rPr>
      <w:rFonts w:ascii="Calibri" w:hAnsi="Calibri"/>
    </w:rPr>
  </w:style>
  <w:style w:type="paragraph" w:customStyle="1" w:styleId="Section">
    <w:name w:val="Section"/>
    <w:basedOn w:val="Normal"/>
    <w:autoRedefine/>
    <w:rsid w:val="00D760F8"/>
    <w:pPr>
      <w:numPr>
        <w:numId w:val="2"/>
      </w:numPr>
      <w:spacing w:before="120" w:after="120"/>
    </w:pPr>
    <w:rPr>
      <w:b/>
      <w:color w:val="008000"/>
    </w:rPr>
  </w:style>
  <w:style w:type="paragraph" w:styleId="DocumentMap">
    <w:name w:val="Document Map"/>
    <w:basedOn w:val="Normal"/>
    <w:link w:val="DocumentMapChar"/>
    <w:rsid w:val="00060B7F"/>
    <w:rPr>
      <w:rFonts w:ascii="Tahoma" w:hAnsi="Tahoma" w:cs="Tahoma"/>
      <w:sz w:val="16"/>
      <w:szCs w:val="16"/>
    </w:rPr>
  </w:style>
  <w:style w:type="character" w:customStyle="1" w:styleId="DocumentMapChar">
    <w:name w:val="Document Map Char"/>
    <w:basedOn w:val="DefaultParagraphFont"/>
    <w:link w:val="DocumentMap"/>
    <w:rsid w:val="00060B7F"/>
    <w:rPr>
      <w:rFonts w:ascii="Tahoma" w:hAnsi="Tahoma" w:cs="Tahoma"/>
      <w:sz w:val="16"/>
      <w:szCs w:val="16"/>
      <w:lang w:eastAsia="en-US"/>
    </w:rPr>
  </w:style>
  <w:style w:type="table" w:customStyle="1" w:styleId="LightShading-Accent11">
    <w:name w:val="Light Shading - Accent 11"/>
    <w:basedOn w:val="TableNormal"/>
    <w:uiPriority w:val="60"/>
    <w:rsid w:val="001852C7"/>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NoSpacing">
    <w:name w:val="No Spacing"/>
    <w:link w:val="NoSpacingChar"/>
    <w:uiPriority w:val="1"/>
    <w:qFormat/>
    <w:rsid w:val="000300BF"/>
    <w:rPr>
      <w:rFonts w:ascii="Calibri" w:eastAsia="Malgun Gothic" w:hAnsi="Calibri"/>
      <w:sz w:val="22"/>
      <w:szCs w:val="22"/>
      <w:lang w:eastAsia="en-US"/>
    </w:rPr>
  </w:style>
  <w:style w:type="character" w:customStyle="1" w:styleId="NoSpacingChar">
    <w:name w:val="No Spacing Char"/>
    <w:basedOn w:val="DefaultParagraphFont"/>
    <w:link w:val="NoSpacing"/>
    <w:uiPriority w:val="1"/>
    <w:rsid w:val="000300BF"/>
    <w:rPr>
      <w:rFonts w:ascii="Calibri" w:eastAsia="Malgun Gothic" w:hAnsi="Calibri"/>
      <w:sz w:val="22"/>
      <w:szCs w:val="22"/>
      <w:lang w:val="en-US" w:eastAsia="en-US" w:bidi="ar-SA"/>
    </w:rPr>
  </w:style>
  <w:style w:type="table" w:customStyle="1" w:styleId="Style1">
    <w:name w:val="Style1"/>
    <w:basedOn w:val="MediumShading1-Accent11"/>
    <w:rsid w:val="00F12F5B"/>
    <w:tblPr/>
    <w:tcPr>
      <w:shd w:val="clear" w:color="auto" w:fill="auto"/>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F12F5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FootnoteStyle1">
    <w:name w:val="FootnoteStyle1"/>
    <w:basedOn w:val="Normal"/>
    <w:link w:val="FootnoteStyle1Char"/>
    <w:autoRedefine/>
    <w:qFormat/>
    <w:rsid w:val="008A452E"/>
    <w:pPr>
      <w:ind w:left="180" w:hanging="180"/>
    </w:pPr>
    <w:rPr>
      <w:i/>
      <w:sz w:val="18"/>
      <w:szCs w:val="18"/>
    </w:rPr>
  </w:style>
  <w:style w:type="character" w:customStyle="1" w:styleId="FootnoteStyle1Char">
    <w:name w:val="FootnoteStyle1 Char"/>
    <w:basedOn w:val="DefaultParagraphFont"/>
    <w:link w:val="FootnoteStyle1"/>
    <w:rsid w:val="008A452E"/>
    <w:rPr>
      <w:rFonts w:ascii="Calibri" w:hAnsi="Calibri"/>
      <w:i/>
      <w:sz w:val="18"/>
      <w:szCs w:val="18"/>
      <w:lang w:eastAsia="en-US"/>
    </w:rPr>
  </w:style>
  <w:style w:type="table" w:customStyle="1" w:styleId="TableStyle01">
    <w:name w:val="TableStyle01"/>
    <w:basedOn w:val="TableNormal"/>
    <w:rsid w:val="00083E67"/>
    <w:pPr>
      <w:jc w:val="center"/>
    </w:pPr>
    <w:rPr>
      <w:rFonts w:ascii="Calibri" w:hAnsi="Calibri"/>
      <w:color w:val="1F497D"/>
    </w:rPr>
    <w:tblPr>
      <w:tblStyleRowBandSize w:val="1"/>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cPr>
      <w:shd w:val="clear" w:color="auto" w:fill="auto"/>
      <w:vAlign w:val="center"/>
    </w:tcPr>
    <w:tblStylePr w:type="firstRow">
      <w:rPr>
        <w:rFonts w:ascii="Calibri" w:hAnsi="Calibri"/>
        <w:b/>
      </w:rPr>
      <w:tblPr/>
      <w:tcPr>
        <w:shd w:val="clear" w:color="auto" w:fill="C6D9F1"/>
      </w:tcPr>
    </w:tblStylePr>
    <w:tblStylePr w:type="band1Horz">
      <w:rPr>
        <w:rFonts w:ascii="Calibri" w:hAnsi="Calibri"/>
        <w:color w:val="1F497D"/>
      </w:rPr>
    </w:tblStylePr>
    <w:tblStylePr w:type="band2Horz">
      <w:rPr>
        <w:rFonts w:ascii="Calibri" w:hAnsi="Calibri"/>
      </w:rPr>
    </w:tblStylePr>
  </w:style>
  <w:style w:type="table" w:styleId="Table3Deffects3">
    <w:name w:val="Table 3D effects 3"/>
    <w:basedOn w:val="TableNormal"/>
    <w:rsid w:val="00083E6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ListParagraph">
    <w:name w:val="List Paragraph"/>
    <w:basedOn w:val="Normal"/>
    <w:uiPriority w:val="34"/>
    <w:qFormat/>
    <w:rsid w:val="00761F40"/>
    <w:pPr>
      <w:ind w:left="720"/>
      <w:contextualSpacing/>
    </w:pPr>
  </w:style>
  <w:style w:type="paragraph" w:customStyle="1" w:styleId="Qualifier">
    <w:name w:val="Qualifier"/>
    <w:basedOn w:val="Normal"/>
    <w:link w:val="QualifierChar"/>
    <w:autoRedefine/>
    <w:qFormat/>
    <w:rsid w:val="00FB7AA6"/>
    <w:pPr>
      <w:ind w:left="144" w:hanging="144"/>
    </w:pPr>
    <w:rPr>
      <w:i/>
      <w:sz w:val="18"/>
      <w:szCs w:val="18"/>
    </w:rPr>
  </w:style>
  <w:style w:type="character" w:customStyle="1" w:styleId="QualifierChar">
    <w:name w:val="Qualifier Char"/>
    <w:basedOn w:val="DefaultParagraphFont"/>
    <w:link w:val="Qualifier"/>
    <w:rsid w:val="00FB7AA6"/>
    <w:rPr>
      <w:rFonts w:ascii="Calibri" w:hAnsi="Calibri"/>
      <w:i/>
      <w:sz w:val="18"/>
      <w:szCs w:val="18"/>
      <w:lang w:eastAsia="en-US"/>
    </w:rPr>
  </w:style>
  <w:style w:type="paragraph" w:styleId="IntenseQuote">
    <w:name w:val="Intense Quote"/>
    <w:basedOn w:val="Normal"/>
    <w:next w:val="Normal"/>
    <w:link w:val="IntenseQuoteChar"/>
    <w:autoRedefine/>
    <w:uiPriority w:val="30"/>
    <w:qFormat/>
    <w:rsid w:val="00233990"/>
    <w:pPr>
      <w:numPr>
        <w:numId w:val="4"/>
      </w:numPr>
      <w:tabs>
        <w:tab w:val="left" w:pos="360"/>
      </w:tabs>
      <w:spacing w:before="60" w:after="60"/>
    </w:pPr>
    <w:rPr>
      <w:bCs/>
      <w:iCs/>
      <w:color w:val="1F497D" w:themeColor="text2"/>
    </w:rPr>
  </w:style>
  <w:style w:type="character" w:customStyle="1" w:styleId="IntenseQuoteChar">
    <w:name w:val="Intense Quote Char"/>
    <w:basedOn w:val="DefaultParagraphFont"/>
    <w:link w:val="IntenseQuote"/>
    <w:uiPriority w:val="30"/>
    <w:rsid w:val="00233990"/>
    <w:rPr>
      <w:rFonts w:ascii="Calibri" w:hAnsi="Calibri"/>
      <w:bCs/>
      <w:iCs/>
      <w:color w:val="1F497D" w:themeColor="text2"/>
      <w:sz w:val="22"/>
      <w:lang w:eastAsia="en-US"/>
    </w:rPr>
  </w:style>
  <w:style w:type="character" w:styleId="IntenseEmphasis">
    <w:name w:val="Intense Emphasis"/>
    <w:basedOn w:val="BodyTextChar"/>
    <w:uiPriority w:val="21"/>
    <w:qFormat/>
    <w:rsid w:val="003E33B3"/>
    <w:rPr>
      <w:rFonts w:ascii="Arial" w:eastAsia="SimSun" w:hAnsi="Arial"/>
      <w:b/>
      <w:bCs/>
      <w:i/>
      <w:iCs/>
      <w:noProof w:val="0"/>
      <w:snapToGrid w:val="0"/>
      <w:color w:val="4F81BD" w:themeColor="accent1"/>
      <w:sz w:val="22"/>
      <w:szCs w:val="24"/>
      <w:lang w:val="en-US" w:eastAsia="zh-CN" w:bidi="ar-SA"/>
    </w:rPr>
  </w:style>
  <w:style w:type="paragraph" w:styleId="EndnoteText">
    <w:name w:val="endnote text"/>
    <w:basedOn w:val="Normal"/>
    <w:link w:val="EndnoteTextChar"/>
    <w:rsid w:val="00553B15"/>
    <w:rPr>
      <w:sz w:val="20"/>
    </w:rPr>
  </w:style>
  <w:style w:type="character" w:customStyle="1" w:styleId="EndnoteTextChar">
    <w:name w:val="Endnote Text Char"/>
    <w:basedOn w:val="DefaultParagraphFont"/>
    <w:link w:val="EndnoteText"/>
    <w:rsid w:val="00553B15"/>
    <w:rPr>
      <w:rFonts w:ascii="Calibri" w:hAnsi="Calibri"/>
      <w:lang w:eastAsia="en-US"/>
    </w:rPr>
  </w:style>
  <w:style w:type="character" w:styleId="EndnoteReference">
    <w:name w:val="endnote reference"/>
    <w:basedOn w:val="DefaultParagraphFont"/>
    <w:rsid w:val="00553B15"/>
    <w:rPr>
      <w:vertAlign w:val="superscript"/>
    </w:rPr>
  </w:style>
  <w:style w:type="character" w:customStyle="1" w:styleId="fn">
    <w:name w:val="fn"/>
    <w:basedOn w:val="DefaultParagraphFont"/>
    <w:rsid w:val="00690913"/>
  </w:style>
  <w:style w:type="character" w:customStyle="1" w:styleId="flag">
    <w:name w:val="flag"/>
    <w:basedOn w:val="DefaultParagraphFont"/>
    <w:rsid w:val="00C475EA"/>
  </w:style>
  <w:style w:type="character" w:customStyle="1" w:styleId="authornames">
    <w:name w:val="authornames"/>
    <w:basedOn w:val="DefaultParagraphFont"/>
    <w:rsid w:val="00C475EA"/>
  </w:style>
  <w:style w:type="character" w:customStyle="1" w:styleId="spanminus">
    <w:name w:val="spanminus"/>
    <w:basedOn w:val="DefaultParagraphFont"/>
    <w:rsid w:val="00C475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85089">
      <w:bodyDiv w:val="1"/>
      <w:marLeft w:val="0"/>
      <w:marRight w:val="0"/>
      <w:marTop w:val="0"/>
      <w:marBottom w:val="0"/>
      <w:divBdr>
        <w:top w:val="none" w:sz="0" w:space="0" w:color="auto"/>
        <w:left w:val="none" w:sz="0" w:space="0" w:color="auto"/>
        <w:bottom w:val="none" w:sz="0" w:space="0" w:color="auto"/>
        <w:right w:val="none" w:sz="0" w:space="0" w:color="auto"/>
      </w:divBdr>
    </w:div>
    <w:div w:id="36467719">
      <w:bodyDiv w:val="1"/>
      <w:marLeft w:val="0"/>
      <w:marRight w:val="0"/>
      <w:marTop w:val="0"/>
      <w:marBottom w:val="0"/>
      <w:divBdr>
        <w:top w:val="none" w:sz="0" w:space="0" w:color="auto"/>
        <w:left w:val="none" w:sz="0" w:space="0" w:color="auto"/>
        <w:bottom w:val="none" w:sz="0" w:space="0" w:color="auto"/>
        <w:right w:val="none" w:sz="0" w:space="0" w:color="auto"/>
      </w:divBdr>
    </w:div>
    <w:div w:id="60175179">
      <w:bodyDiv w:val="1"/>
      <w:marLeft w:val="0"/>
      <w:marRight w:val="0"/>
      <w:marTop w:val="0"/>
      <w:marBottom w:val="0"/>
      <w:divBdr>
        <w:top w:val="none" w:sz="0" w:space="0" w:color="auto"/>
        <w:left w:val="none" w:sz="0" w:space="0" w:color="auto"/>
        <w:bottom w:val="none" w:sz="0" w:space="0" w:color="auto"/>
        <w:right w:val="none" w:sz="0" w:space="0" w:color="auto"/>
      </w:divBdr>
    </w:div>
    <w:div w:id="77794116">
      <w:bodyDiv w:val="1"/>
      <w:marLeft w:val="0"/>
      <w:marRight w:val="0"/>
      <w:marTop w:val="0"/>
      <w:marBottom w:val="0"/>
      <w:divBdr>
        <w:top w:val="none" w:sz="0" w:space="0" w:color="auto"/>
        <w:left w:val="none" w:sz="0" w:space="0" w:color="auto"/>
        <w:bottom w:val="none" w:sz="0" w:space="0" w:color="auto"/>
        <w:right w:val="none" w:sz="0" w:space="0" w:color="auto"/>
      </w:divBdr>
    </w:div>
    <w:div w:id="99303915">
      <w:bodyDiv w:val="1"/>
      <w:marLeft w:val="0"/>
      <w:marRight w:val="0"/>
      <w:marTop w:val="0"/>
      <w:marBottom w:val="0"/>
      <w:divBdr>
        <w:top w:val="none" w:sz="0" w:space="0" w:color="auto"/>
        <w:left w:val="none" w:sz="0" w:space="0" w:color="auto"/>
        <w:bottom w:val="none" w:sz="0" w:space="0" w:color="auto"/>
        <w:right w:val="none" w:sz="0" w:space="0" w:color="auto"/>
      </w:divBdr>
    </w:div>
    <w:div w:id="105464590">
      <w:bodyDiv w:val="1"/>
      <w:marLeft w:val="0"/>
      <w:marRight w:val="0"/>
      <w:marTop w:val="0"/>
      <w:marBottom w:val="0"/>
      <w:divBdr>
        <w:top w:val="none" w:sz="0" w:space="0" w:color="auto"/>
        <w:left w:val="none" w:sz="0" w:space="0" w:color="auto"/>
        <w:bottom w:val="none" w:sz="0" w:space="0" w:color="auto"/>
        <w:right w:val="none" w:sz="0" w:space="0" w:color="auto"/>
      </w:divBdr>
    </w:div>
    <w:div w:id="105664424">
      <w:bodyDiv w:val="1"/>
      <w:marLeft w:val="0"/>
      <w:marRight w:val="0"/>
      <w:marTop w:val="0"/>
      <w:marBottom w:val="0"/>
      <w:divBdr>
        <w:top w:val="none" w:sz="0" w:space="0" w:color="auto"/>
        <w:left w:val="none" w:sz="0" w:space="0" w:color="auto"/>
        <w:bottom w:val="none" w:sz="0" w:space="0" w:color="auto"/>
        <w:right w:val="none" w:sz="0" w:space="0" w:color="auto"/>
      </w:divBdr>
    </w:div>
    <w:div w:id="111172196">
      <w:bodyDiv w:val="1"/>
      <w:marLeft w:val="0"/>
      <w:marRight w:val="0"/>
      <w:marTop w:val="0"/>
      <w:marBottom w:val="0"/>
      <w:divBdr>
        <w:top w:val="none" w:sz="0" w:space="0" w:color="auto"/>
        <w:left w:val="none" w:sz="0" w:space="0" w:color="auto"/>
        <w:bottom w:val="none" w:sz="0" w:space="0" w:color="auto"/>
        <w:right w:val="none" w:sz="0" w:space="0" w:color="auto"/>
      </w:divBdr>
    </w:div>
    <w:div w:id="119154194">
      <w:bodyDiv w:val="1"/>
      <w:marLeft w:val="0"/>
      <w:marRight w:val="0"/>
      <w:marTop w:val="0"/>
      <w:marBottom w:val="0"/>
      <w:divBdr>
        <w:top w:val="none" w:sz="0" w:space="0" w:color="auto"/>
        <w:left w:val="none" w:sz="0" w:space="0" w:color="auto"/>
        <w:bottom w:val="none" w:sz="0" w:space="0" w:color="auto"/>
        <w:right w:val="none" w:sz="0" w:space="0" w:color="auto"/>
      </w:divBdr>
    </w:div>
    <w:div w:id="137043186">
      <w:bodyDiv w:val="1"/>
      <w:marLeft w:val="0"/>
      <w:marRight w:val="0"/>
      <w:marTop w:val="0"/>
      <w:marBottom w:val="0"/>
      <w:divBdr>
        <w:top w:val="none" w:sz="0" w:space="0" w:color="auto"/>
        <w:left w:val="none" w:sz="0" w:space="0" w:color="auto"/>
        <w:bottom w:val="none" w:sz="0" w:space="0" w:color="auto"/>
        <w:right w:val="none" w:sz="0" w:space="0" w:color="auto"/>
      </w:divBdr>
    </w:div>
    <w:div w:id="141386951">
      <w:bodyDiv w:val="1"/>
      <w:marLeft w:val="0"/>
      <w:marRight w:val="0"/>
      <w:marTop w:val="0"/>
      <w:marBottom w:val="0"/>
      <w:divBdr>
        <w:top w:val="none" w:sz="0" w:space="0" w:color="auto"/>
        <w:left w:val="none" w:sz="0" w:space="0" w:color="auto"/>
        <w:bottom w:val="none" w:sz="0" w:space="0" w:color="auto"/>
        <w:right w:val="none" w:sz="0" w:space="0" w:color="auto"/>
      </w:divBdr>
    </w:div>
    <w:div w:id="175459159">
      <w:bodyDiv w:val="1"/>
      <w:marLeft w:val="0"/>
      <w:marRight w:val="0"/>
      <w:marTop w:val="0"/>
      <w:marBottom w:val="0"/>
      <w:divBdr>
        <w:top w:val="none" w:sz="0" w:space="0" w:color="auto"/>
        <w:left w:val="none" w:sz="0" w:space="0" w:color="auto"/>
        <w:bottom w:val="none" w:sz="0" w:space="0" w:color="auto"/>
        <w:right w:val="none" w:sz="0" w:space="0" w:color="auto"/>
      </w:divBdr>
    </w:div>
    <w:div w:id="270821281">
      <w:bodyDiv w:val="1"/>
      <w:marLeft w:val="0"/>
      <w:marRight w:val="0"/>
      <w:marTop w:val="0"/>
      <w:marBottom w:val="0"/>
      <w:divBdr>
        <w:top w:val="none" w:sz="0" w:space="0" w:color="auto"/>
        <w:left w:val="none" w:sz="0" w:space="0" w:color="auto"/>
        <w:bottom w:val="none" w:sz="0" w:space="0" w:color="auto"/>
        <w:right w:val="none" w:sz="0" w:space="0" w:color="auto"/>
      </w:divBdr>
    </w:div>
    <w:div w:id="333997344">
      <w:bodyDiv w:val="1"/>
      <w:marLeft w:val="0"/>
      <w:marRight w:val="0"/>
      <w:marTop w:val="0"/>
      <w:marBottom w:val="0"/>
      <w:divBdr>
        <w:top w:val="none" w:sz="0" w:space="0" w:color="auto"/>
        <w:left w:val="none" w:sz="0" w:space="0" w:color="auto"/>
        <w:bottom w:val="none" w:sz="0" w:space="0" w:color="auto"/>
        <w:right w:val="none" w:sz="0" w:space="0" w:color="auto"/>
      </w:divBdr>
    </w:div>
    <w:div w:id="342245945">
      <w:bodyDiv w:val="1"/>
      <w:marLeft w:val="0"/>
      <w:marRight w:val="0"/>
      <w:marTop w:val="0"/>
      <w:marBottom w:val="0"/>
      <w:divBdr>
        <w:top w:val="none" w:sz="0" w:space="0" w:color="auto"/>
        <w:left w:val="none" w:sz="0" w:space="0" w:color="auto"/>
        <w:bottom w:val="none" w:sz="0" w:space="0" w:color="auto"/>
        <w:right w:val="none" w:sz="0" w:space="0" w:color="auto"/>
      </w:divBdr>
    </w:div>
    <w:div w:id="345443094">
      <w:bodyDiv w:val="1"/>
      <w:marLeft w:val="0"/>
      <w:marRight w:val="0"/>
      <w:marTop w:val="0"/>
      <w:marBottom w:val="0"/>
      <w:divBdr>
        <w:top w:val="none" w:sz="0" w:space="0" w:color="auto"/>
        <w:left w:val="none" w:sz="0" w:space="0" w:color="auto"/>
        <w:bottom w:val="none" w:sz="0" w:space="0" w:color="auto"/>
        <w:right w:val="none" w:sz="0" w:space="0" w:color="auto"/>
      </w:divBdr>
      <w:divsChild>
        <w:div w:id="1805779411">
          <w:marLeft w:val="0"/>
          <w:marRight w:val="0"/>
          <w:marTop w:val="0"/>
          <w:marBottom w:val="0"/>
          <w:divBdr>
            <w:top w:val="none" w:sz="0" w:space="0" w:color="auto"/>
            <w:left w:val="none" w:sz="0" w:space="0" w:color="auto"/>
            <w:bottom w:val="none" w:sz="0" w:space="0" w:color="auto"/>
            <w:right w:val="none" w:sz="0" w:space="0" w:color="auto"/>
          </w:divBdr>
          <w:divsChild>
            <w:div w:id="2020696580">
              <w:marLeft w:val="0"/>
              <w:marRight w:val="0"/>
              <w:marTop w:val="0"/>
              <w:marBottom w:val="0"/>
              <w:divBdr>
                <w:top w:val="none" w:sz="0" w:space="0" w:color="auto"/>
                <w:left w:val="none" w:sz="0" w:space="0" w:color="auto"/>
                <w:bottom w:val="none" w:sz="0" w:space="0" w:color="auto"/>
                <w:right w:val="none" w:sz="0" w:space="0" w:color="auto"/>
              </w:divBdr>
              <w:divsChild>
                <w:div w:id="908344170">
                  <w:marLeft w:val="2928"/>
                  <w:marRight w:val="0"/>
                  <w:marTop w:val="720"/>
                  <w:marBottom w:val="0"/>
                  <w:divBdr>
                    <w:top w:val="none" w:sz="0" w:space="0" w:color="auto"/>
                    <w:left w:val="none" w:sz="0" w:space="0" w:color="auto"/>
                    <w:bottom w:val="none" w:sz="0" w:space="0" w:color="auto"/>
                    <w:right w:val="none" w:sz="0" w:space="0" w:color="auto"/>
                  </w:divBdr>
                  <w:divsChild>
                    <w:div w:id="189596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676671">
      <w:bodyDiv w:val="1"/>
      <w:marLeft w:val="0"/>
      <w:marRight w:val="0"/>
      <w:marTop w:val="0"/>
      <w:marBottom w:val="0"/>
      <w:divBdr>
        <w:top w:val="none" w:sz="0" w:space="0" w:color="auto"/>
        <w:left w:val="none" w:sz="0" w:space="0" w:color="auto"/>
        <w:bottom w:val="none" w:sz="0" w:space="0" w:color="auto"/>
        <w:right w:val="none" w:sz="0" w:space="0" w:color="auto"/>
      </w:divBdr>
    </w:div>
    <w:div w:id="363679616">
      <w:bodyDiv w:val="1"/>
      <w:marLeft w:val="0"/>
      <w:marRight w:val="0"/>
      <w:marTop w:val="0"/>
      <w:marBottom w:val="0"/>
      <w:divBdr>
        <w:top w:val="none" w:sz="0" w:space="0" w:color="auto"/>
        <w:left w:val="none" w:sz="0" w:space="0" w:color="auto"/>
        <w:bottom w:val="none" w:sz="0" w:space="0" w:color="auto"/>
        <w:right w:val="none" w:sz="0" w:space="0" w:color="auto"/>
      </w:divBdr>
    </w:div>
    <w:div w:id="395012442">
      <w:bodyDiv w:val="1"/>
      <w:marLeft w:val="0"/>
      <w:marRight w:val="0"/>
      <w:marTop w:val="0"/>
      <w:marBottom w:val="0"/>
      <w:divBdr>
        <w:top w:val="none" w:sz="0" w:space="0" w:color="auto"/>
        <w:left w:val="none" w:sz="0" w:space="0" w:color="auto"/>
        <w:bottom w:val="none" w:sz="0" w:space="0" w:color="auto"/>
        <w:right w:val="none" w:sz="0" w:space="0" w:color="auto"/>
      </w:divBdr>
    </w:div>
    <w:div w:id="404231864">
      <w:bodyDiv w:val="1"/>
      <w:marLeft w:val="0"/>
      <w:marRight w:val="0"/>
      <w:marTop w:val="0"/>
      <w:marBottom w:val="0"/>
      <w:divBdr>
        <w:top w:val="none" w:sz="0" w:space="0" w:color="auto"/>
        <w:left w:val="none" w:sz="0" w:space="0" w:color="auto"/>
        <w:bottom w:val="none" w:sz="0" w:space="0" w:color="auto"/>
        <w:right w:val="none" w:sz="0" w:space="0" w:color="auto"/>
      </w:divBdr>
    </w:div>
    <w:div w:id="404376615">
      <w:bodyDiv w:val="1"/>
      <w:marLeft w:val="0"/>
      <w:marRight w:val="0"/>
      <w:marTop w:val="0"/>
      <w:marBottom w:val="0"/>
      <w:divBdr>
        <w:top w:val="none" w:sz="0" w:space="0" w:color="auto"/>
        <w:left w:val="none" w:sz="0" w:space="0" w:color="auto"/>
        <w:bottom w:val="none" w:sz="0" w:space="0" w:color="auto"/>
        <w:right w:val="none" w:sz="0" w:space="0" w:color="auto"/>
      </w:divBdr>
    </w:div>
    <w:div w:id="406271432">
      <w:bodyDiv w:val="1"/>
      <w:marLeft w:val="0"/>
      <w:marRight w:val="0"/>
      <w:marTop w:val="0"/>
      <w:marBottom w:val="0"/>
      <w:divBdr>
        <w:top w:val="none" w:sz="0" w:space="0" w:color="auto"/>
        <w:left w:val="none" w:sz="0" w:space="0" w:color="auto"/>
        <w:bottom w:val="none" w:sz="0" w:space="0" w:color="auto"/>
        <w:right w:val="none" w:sz="0" w:space="0" w:color="auto"/>
      </w:divBdr>
    </w:div>
    <w:div w:id="428165364">
      <w:bodyDiv w:val="1"/>
      <w:marLeft w:val="0"/>
      <w:marRight w:val="0"/>
      <w:marTop w:val="0"/>
      <w:marBottom w:val="0"/>
      <w:divBdr>
        <w:top w:val="none" w:sz="0" w:space="0" w:color="auto"/>
        <w:left w:val="none" w:sz="0" w:space="0" w:color="auto"/>
        <w:bottom w:val="none" w:sz="0" w:space="0" w:color="auto"/>
        <w:right w:val="none" w:sz="0" w:space="0" w:color="auto"/>
      </w:divBdr>
    </w:div>
    <w:div w:id="435179526">
      <w:bodyDiv w:val="1"/>
      <w:marLeft w:val="0"/>
      <w:marRight w:val="0"/>
      <w:marTop w:val="0"/>
      <w:marBottom w:val="0"/>
      <w:divBdr>
        <w:top w:val="none" w:sz="0" w:space="0" w:color="auto"/>
        <w:left w:val="none" w:sz="0" w:space="0" w:color="auto"/>
        <w:bottom w:val="none" w:sz="0" w:space="0" w:color="auto"/>
        <w:right w:val="none" w:sz="0" w:space="0" w:color="auto"/>
      </w:divBdr>
    </w:div>
    <w:div w:id="438183041">
      <w:bodyDiv w:val="1"/>
      <w:marLeft w:val="0"/>
      <w:marRight w:val="0"/>
      <w:marTop w:val="0"/>
      <w:marBottom w:val="0"/>
      <w:divBdr>
        <w:top w:val="none" w:sz="0" w:space="0" w:color="auto"/>
        <w:left w:val="none" w:sz="0" w:space="0" w:color="auto"/>
        <w:bottom w:val="none" w:sz="0" w:space="0" w:color="auto"/>
        <w:right w:val="none" w:sz="0" w:space="0" w:color="auto"/>
      </w:divBdr>
    </w:div>
    <w:div w:id="454063456">
      <w:bodyDiv w:val="1"/>
      <w:marLeft w:val="0"/>
      <w:marRight w:val="0"/>
      <w:marTop w:val="0"/>
      <w:marBottom w:val="0"/>
      <w:divBdr>
        <w:top w:val="none" w:sz="0" w:space="0" w:color="auto"/>
        <w:left w:val="none" w:sz="0" w:space="0" w:color="auto"/>
        <w:bottom w:val="none" w:sz="0" w:space="0" w:color="auto"/>
        <w:right w:val="none" w:sz="0" w:space="0" w:color="auto"/>
      </w:divBdr>
    </w:div>
    <w:div w:id="497816893">
      <w:bodyDiv w:val="1"/>
      <w:marLeft w:val="0"/>
      <w:marRight w:val="0"/>
      <w:marTop w:val="0"/>
      <w:marBottom w:val="0"/>
      <w:divBdr>
        <w:top w:val="none" w:sz="0" w:space="0" w:color="auto"/>
        <w:left w:val="none" w:sz="0" w:space="0" w:color="auto"/>
        <w:bottom w:val="none" w:sz="0" w:space="0" w:color="auto"/>
        <w:right w:val="none" w:sz="0" w:space="0" w:color="auto"/>
      </w:divBdr>
      <w:divsChild>
        <w:div w:id="801264583">
          <w:marLeft w:val="0"/>
          <w:marRight w:val="0"/>
          <w:marTop w:val="0"/>
          <w:marBottom w:val="0"/>
          <w:divBdr>
            <w:top w:val="none" w:sz="0" w:space="0" w:color="auto"/>
            <w:left w:val="none" w:sz="0" w:space="0" w:color="auto"/>
            <w:bottom w:val="none" w:sz="0" w:space="0" w:color="auto"/>
            <w:right w:val="none" w:sz="0" w:space="0" w:color="auto"/>
          </w:divBdr>
          <w:divsChild>
            <w:div w:id="39559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04732">
      <w:bodyDiv w:val="1"/>
      <w:marLeft w:val="0"/>
      <w:marRight w:val="0"/>
      <w:marTop w:val="0"/>
      <w:marBottom w:val="0"/>
      <w:divBdr>
        <w:top w:val="none" w:sz="0" w:space="0" w:color="auto"/>
        <w:left w:val="none" w:sz="0" w:space="0" w:color="auto"/>
        <w:bottom w:val="none" w:sz="0" w:space="0" w:color="auto"/>
        <w:right w:val="none" w:sz="0" w:space="0" w:color="auto"/>
      </w:divBdr>
    </w:div>
    <w:div w:id="521630650">
      <w:bodyDiv w:val="1"/>
      <w:marLeft w:val="0"/>
      <w:marRight w:val="0"/>
      <w:marTop w:val="0"/>
      <w:marBottom w:val="0"/>
      <w:divBdr>
        <w:top w:val="none" w:sz="0" w:space="0" w:color="auto"/>
        <w:left w:val="none" w:sz="0" w:space="0" w:color="auto"/>
        <w:bottom w:val="none" w:sz="0" w:space="0" w:color="auto"/>
        <w:right w:val="none" w:sz="0" w:space="0" w:color="auto"/>
      </w:divBdr>
      <w:divsChild>
        <w:div w:id="714041752">
          <w:marLeft w:val="336"/>
          <w:marRight w:val="0"/>
          <w:marTop w:val="120"/>
          <w:marBottom w:val="312"/>
          <w:divBdr>
            <w:top w:val="none" w:sz="0" w:space="0" w:color="auto"/>
            <w:left w:val="none" w:sz="0" w:space="0" w:color="auto"/>
            <w:bottom w:val="none" w:sz="0" w:space="0" w:color="auto"/>
            <w:right w:val="none" w:sz="0" w:space="0" w:color="auto"/>
          </w:divBdr>
          <w:divsChild>
            <w:div w:id="1105616026">
              <w:marLeft w:val="0"/>
              <w:marRight w:val="0"/>
              <w:marTop w:val="0"/>
              <w:marBottom w:val="0"/>
              <w:divBdr>
                <w:top w:val="single" w:sz="6" w:space="0" w:color="CCCCCC"/>
                <w:left w:val="single" w:sz="6" w:space="0" w:color="CCCCCC"/>
                <w:bottom w:val="single" w:sz="6" w:space="0" w:color="CCCCCC"/>
                <w:right w:val="single" w:sz="6" w:space="0" w:color="CCCCCC"/>
              </w:divBdr>
              <w:divsChild>
                <w:div w:id="179505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109054">
      <w:bodyDiv w:val="1"/>
      <w:marLeft w:val="0"/>
      <w:marRight w:val="0"/>
      <w:marTop w:val="0"/>
      <w:marBottom w:val="0"/>
      <w:divBdr>
        <w:top w:val="none" w:sz="0" w:space="0" w:color="auto"/>
        <w:left w:val="none" w:sz="0" w:space="0" w:color="auto"/>
        <w:bottom w:val="none" w:sz="0" w:space="0" w:color="auto"/>
        <w:right w:val="none" w:sz="0" w:space="0" w:color="auto"/>
      </w:divBdr>
    </w:div>
    <w:div w:id="574055015">
      <w:bodyDiv w:val="1"/>
      <w:marLeft w:val="0"/>
      <w:marRight w:val="0"/>
      <w:marTop w:val="0"/>
      <w:marBottom w:val="0"/>
      <w:divBdr>
        <w:top w:val="none" w:sz="0" w:space="0" w:color="auto"/>
        <w:left w:val="none" w:sz="0" w:space="0" w:color="auto"/>
        <w:bottom w:val="none" w:sz="0" w:space="0" w:color="auto"/>
        <w:right w:val="none" w:sz="0" w:space="0" w:color="auto"/>
      </w:divBdr>
    </w:div>
    <w:div w:id="606231072">
      <w:bodyDiv w:val="1"/>
      <w:marLeft w:val="0"/>
      <w:marRight w:val="0"/>
      <w:marTop w:val="0"/>
      <w:marBottom w:val="0"/>
      <w:divBdr>
        <w:top w:val="none" w:sz="0" w:space="0" w:color="auto"/>
        <w:left w:val="none" w:sz="0" w:space="0" w:color="auto"/>
        <w:bottom w:val="none" w:sz="0" w:space="0" w:color="auto"/>
        <w:right w:val="none" w:sz="0" w:space="0" w:color="auto"/>
      </w:divBdr>
    </w:div>
    <w:div w:id="629701078">
      <w:bodyDiv w:val="1"/>
      <w:marLeft w:val="0"/>
      <w:marRight w:val="0"/>
      <w:marTop w:val="0"/>
      <w:marBottom w:val="0"/>
      <w:divBdr>
        <w:top w:val="none" w:sz="0" w:space="0" w:color="auto"/>
        <w:left w:val="none" w:sz="0" w:space="0" w:color="auto"/>
        <w:bottom w:val="none" w:sz="0" w:space="0" w:color="auto"/>
        <w:right w:val="none" w:sz="0" w:space="0" w:color="auto"/>
      </w:divBdr>
    </w:div>
    <w:div w:id="633952086">
      <w:bodyDiv w:val="1"/>
      <w:marLeft w:val="0"/>
      <w:marRight w:val="0"/>
      <w:marTop w:val="0"/>
      <w:marBottom w:val="0"/>
      <w:divBdr>
        <w:top w:val="none" w:sz="0" w:space="0" w:color="auto"/>
        <w:left w:val="none" w:sz="0" w:space="0" w:color="auto"/>
        <w:bottom w:val="none" w:sz="0" w:space="0" w:color="auto"/>
        <w:right w:val="none" w:sz="0" w:space="0" w:color="auto"/>
      </w:divBdr>
    </w:div>
    <w:div w:id="637416849">
      <w:bodyDiv w:val="1"/>
      <w:marLeft w:val="0"/>
      <w:marRight w:val="0"/>
      <w:marTop w:val="0"/>
      <w:marBottom w:val="0"/>
      <w:divBdr>
        <w:top w:val="none" w:sz="0" w:space="0" w:color="auto"/>
        <w:left w:val="none" w:sz="0" w:space="0" w:color="auto"/>
        <w:bottom w:val="none" w:sz="0" w:space="0" w:color="auto"/>
        <w:right w:val="none" w:sz="0" w:space="0" w:color="auto"/>
      </w:divBdr>
    </w:div>
    <w:div w:id="653877680">
      <w:bodyDiv w:val="1"/>
      <w:marLeft w:val="0"/>
      <w:marRight w:val="0"/>
      <w:marTop w:val="0"/>
      <w:marBottom w:val="0"/>
      <w:divBdr>
        <w:top w:val="none" w:sz="0" w:space="0" w:color="auto"/>
        <w:left w:val="none" w:sz="0" w:space="0" w:color="auto"/>
        <w:bottom w:val="none" w:sz="0" w:space="0" w:color="auto"/>
        <w:right w:val="none" w:sz="0" w:space="0" w:color="auto"/>
      </w:divBdr>
    </w:div>
    <w:div w:id="661547722">
      <w:bodyDiv w:val="1"/>
      <w:marLeft w:val="0"/>
      <w:marRight w:val="0"/>
      <w:marTop w:val="0"/>
      <w:marBottom w:val="0"/>
      <w:divBdr>
        <w:top w:val="none" w:sz="0" w:space="0" w:color="auto"/>
        <w:left w:val="none" w:sz="0" w:space="0" w:color="auto"/>
        <w:bottom w:val="none" w:sz="0" w:space="0" w:color="auto"/>
        <w:right w:val="none" w:sz="0" w:space="0" w:color="auto"/>
      </w:divBdr>
    </w:div>
    <w:div w:id="662512917">
      <w:bodyDiv w:val="1"/>
      <w:marLeft w:val="0"/>
      <w:marRight w:val="0"/>
      <w:marTop w:val="0"/>
      <w:marBottom w:val="0"/>
      <w:divBdr>
        <w:top w:val="none" w:sz="0" w:space="0" w:color="auto"/>
        <w:left w:val="none" w:sz="0" w:space="0" w:color="auto"/>
        <w:bottom w:val="none" w:sz="0" w:space="0" w:color="auto"/>
        <w:right w:val="none" w:sz="0" w:space="0" w:color="auto"/>
      </w:divBdr>
    </w:div>
    <w:div w:id="678193442">
      <w:bodyDiv w:val="1"/>
      <w:marLeft w:val="0"/>
      <w:marRight w:val="0"/>
      <w:marTop w:val="0"/>
      <w:marBottom w:val="0"/>
      <w:divBdr>
        <w:top w:val="none" w:sz="0" w:space="0" w:color="auto"/>
        <w:left w:val="none" w:sz="0" w:space="0" w:color="auto"/>
        <w:bottom w:val="none" w:sz="0" w:space="0" w:color="auto"/>
        <w:right w:val="none" w:sz="0" w:space="0" w:color="auto"/>
      </w:divBdr>
    </w:div>
    <w:div w:id="724836707">
      <w:bodyDiv w:val="1"/>
      <w:marLeft w:val="0"/>
      <w:marRight w:val="0"/>
      <w:marTop w:val="0"/>
      <w:marBottom w:val="0"/>
      <w:divBdr>
        <w:top w:val="none" w:sz="0" w:space="0" w:color="auto"/>
        <w:left w:val="none" w:sz="0" w:space="0" w:color="auto"/>
        <w:bottom w:val="none" w:sz="0" w:space="0" w:color="auto"/>
        <w:right w:val="none" w:sz="0" w:space="0" w:color="auto"/>
      </w:divBdr>
    </w:div>
    <w:div w:id="730034020">
      <w:bodyDiv w:val="1"/>
      <w:marLeft w:val="0"/>
      <w:marRight w:val="0"/>
      <w:marTop w:val="0"/>
      <w:marBottom w:val="0"/>
      <w:divBdr>
        <w:top w:val="none" w:sz="0" w:space="0" w:color="auto"/>
        <w:left w:val="none" w:sz="0" w:space="0" w:color="auto"/>
        <w:bottom w:val="none" w:sz="0" w:space="0" w:color="auto"/>
        <w:right w:val="none" w:sz="0" w:space="0" w:color="auto"/>
      </w:divBdr>
    </w:div>
    <w:div w:id="753356806">
      <w:bodyDiv w:val="1"/>
      <w:marLeft w:val="0"/>
      <w:marRight w:val="0"/>
      <w:marTop w:val="0"/>
      <w:marBottom w:val="0"/>
      <w:divBdr>
        <w:top w:val="none" w:sz="0" w:space="0" w:color="auto"/>
        <w:left w:val="none" w:sz="0" w:space="0" w:color="auto"/>
        <w:bottom w:val="none" w:sz="0" w:space="0" w:color="auto"/>
        <w:right w:val="none" w:sz="0" w:space="0" w:color="auto"/>
      </w:divBdr>
    </w:div>
    <w:div w:id="787048966">
      <w:bodyDiv w:val="1"/>
      <w:marLeft w:val="0"/>
      <w:marRight w:val="0"/>
      <w:marTop w:val="0"/>
      <w:marBottom w:val="0"/>
      <w:divBdr>
        <w:top w:val="none" w:sz="0" w:space="0" w:color="auto"/>
        <w:left w:val="none" w:sz="0" w:space="0" w:color="auto"/>
        <w:bottom w:val="none" w:sz="0" w:space="0" w:color="auto"/>
        <w:right w:val="none" w:sz="0" w:space="0" w:color="auto"/>
      </w:divBdr>
    </w:div>
    <w:div w:id="790251450">
      <w:bodyDiv w:val="1"/>
      <w:marLeft w:val="0"/>
      <w:marRight w:val="0"/>
      <w:marTop w:val="0"/>
      <w:marBottom w:val="0"/>
      <w:divBdr>
        <w:top w:val="none" w:sz="0" w:space="0" w:color="auto"/>
        <w:left w:val="none" w:sz="0" w:space="0" w:color="auto"/>
        <w:bottom w:val="none" w:sz="0" w:space="0" w:color="auto"/>
        <w:right w:val="none" w:sz="0" w:space="0" w:color="auto"/>
      </w:divBdr>
    </w:div>
    <w:div w:id="790710585">
      <w:bodyDiv w:val="1"/>
      <w:marLeft w:val="0"/>
      <w:marRight w:val="0"/>
      <w:marTop w:val="0"/>
      <w:marBottom w:val="0"/>
      <w:divBdr>
        <w:top w:val="none" w:sz="0" w:space="0" w:color="auto"/>
        <w:left w:val="none" w:sz="0" w:space="0" w:color="auto"/>
        <w:bottom w:val="none" w:sz="0" w:space="0" w:color="auto"/>
        <w:right w:val="none" w:sz="0" w:space="0" w:color="auto"/>
      </w:divBdr>
    </w:div>
    <w:div w:id="791677475">
      <w:bodyDiv w:val="1"/>
      <w:marLeft w:val="0"/>
      <w:marRight w:val="0"/>
      <w:marTop w:val="0"/>
      <w:marBottom w:val="0"/>
      <w:divBdr>
        <w:top w:val="none" w:sz="0" w:space="0" w:color="auto"/>
        <w:left w:val="none" w:sz="0" w:space="0" w:color="auto"/>
        <w:bottom w:val="none" w:sz="0" w:space="0" w:color="auto"/>
        <w:right w:val="none" w:sz="0" w:space="0" w:color="auto"/>
      </w:divBdr>
    </w:div>
    <w:div w:id="793256628">
      <w:bodyDiv w:val="1"/>
      <w:marLeft w:val="0"/>
      <w:marRight w:val="0"/>
      <w:marTop w:val="0"/>
      <w:marBottom w:val="0"/>
      <w:divBdr>
        <w:top w:val="none" w:sz="0" w:space="0" w:color="auto"/>
        <w:left w:val="none" w:sz="0" w:space="0" w:color="auto"/>
        <w:bottom w:val="none" w:sz="0" w:space="0" w:color="auto"/>
        <w:right w:val="none" w:sz="0" w:space="0" w:color="auto"/>
      </w:divBdr>
    </w:div>
    <w:div w:id="795872473">
      <w:bodyDiv w:val="1"/>
      <w:marLeft w:val="0"/>
      <w:marRight w:val="0"/>
      <w:marTop w:val="0"/>
      <w:marBottom w:val="0"/>
      <w:divBdr>
        <w:top w:val="none" w:sz="0" w:space="0" w:color="auto"/>
        <w:left w:val="none" w:sz="0" w:space="0" w:color="auto"/>
        <w:bottom w:val="none" w:sz="0" w:space="0" w:color="auto"/>
        <w:right w:val="none" w:sz="0" w:space="0" w:color="auto"/>
      </w:divBdr>
    </w:div>
    <w:div w:id="798260167">
      <w:bodyDiv w:val="1"/>
      <w:marLeft w:val="0"/>
      <w:marRight w:val="0"/>
      <w:marTop w:val="0"/>
      <w:marBottom w:val="0"/>
      <w:divBdr>
        <w:top w:val="none" w:sz="0" w:space="0" w:color="auto"/>
        <w:left w:val="none" w:sz="0" w:space="0" w:color="auto"/>
        <w:bottom w:val="none" w:sz="0" w:space="0" w:color="auto"/>
        <w:right w:val="none" w:sz="0" w:space="0" w:color="auto"/>
      </w:divBdr>
    </w:div>
    <w:div w:id="809204464">
      <w:bodyDiv w:val="1"/>
      <w:marLeft w:val="0"/>
      <w:marRight w:val="0"/>
      <w:marTop w:val="0"/>
      <w:marBottom w:val="0"/>
      <w:divBdr>
        <w:top w:val="none" w:sz="0" w:space="0" w:color="auto"/>
        <w:left w:val="none" w:sz="0" w:space="0" w:color="auto"/>
        <w:bottom w:val="none" w:sz="0" w:space="0" w:color="auto"/>
        <w:right w:val="none" w:sz="0" w:space="0" w:color="auto"/>
      </w:divBdr>
      <w:divsChild>
        <w:div w:id="9963644">
          <w:blockQuote w:val="1"/>
          <w:marLeft w:val="720"/>
          <w:marRight w:val="720"/>
          <w:marTop w:val="100"/>
          <w:marBottom w:val="100"/>
          <w:divBdr>
            <w:top w:val="none" w:sz="0" w:space="0" w:color="auto"/>
            <w:left w:val="none" w:sz="0" w:space="0" w:color="auto"/>
            <w:bottom w:val="none" w:sz="0" w:space="0" w:color="auto"/>
            <w:right w:val="none" w:sz="0" w:space="0" w:color="auto"/>
          </w:divBdr>
        </w:div>
        <w:div w:id="2004356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6309950">
      <w:bodyDiv w:val="1"/>
      <w:marLeft w:val="0"/>
      <w:marRight w:val="0"/>
      <w:marTop w:val="0"/>
      <w:marBottom w:val="0"/>
      <w:divBdr>
        <w:top w:val="none" w:sz="0" w:space="0" w:color="auto"/>
        <w:left w:val="none" w:sz="0" w:space="0" w:color="auto"/>
        <w:bottom w:val="none" w:sz="0" w:space="0" w:color="auto"/>
        <w:right w:val="none" w:sz="0" w:space="0" w:color="auto"/>
      </w:divBdr>
    </w:div>
    <w:div w:id="863707957">
      <w:bodyDiv w:val="1"/>
      <w:marLeft w:val="0"/>
      <w:marRight w:val="0"/>
      <w:marTop w:val="0"/>
      <w:marBottom w:val="0"/>
      <w:divBdr>
        <w:top w:val="none" w:sz="0" w:space="0" w:color="auto"/>
        <w:left w:val="none" w:sz="0" w:space="0" w:color="auto"/>
        <w:bottom w:val="none" w:sz="0" w:space="0" w:color="auto"/>
        <w:right w:val="none" w:sz="0" w:space="0" w:color="auto"/>
      </w:divBdr>
      <w:divsChild>
        <w:div w:id="28603108">
          <w:marLeft w:val="0"/>
          <w:marRight w:val="0"/>
          <w:marTop w:val="0"/>
          <w:marBottom w:val="180"/>
          <w:divBdr>
            <w:top w:val="none" w:sz="0" w:space="0" w:color="auto"/>
            <w:left w:val="none" w:sz="0" w:space="0" w:color="auto"/>
            <w:bottom w:val="none" w:sz="0" w:space="0" w:color="auto"/>
            <w:right w:val="none" w:sz="0" w:space="0" w:color="auto"/>
          </w:divBdr>
        </w:div>
      </w:divsChild>
    </w:div>
    <w:div w:id="876744244">
      <w:bodyDiv w:val="1"/>
      <w:marLeft w:val="0"/>
      <w:marRight w:val="0"/>
      <w:marTop w:val="0"/>
      <w:marBottom w:val="0"/>
      <w:divBdr>
        <w:top w:val="none" w:sz="0" w:space="0" w:color="auto"/>
        <w:left w:val="none" w:sz="0" w:space="0" w:color="auto"/>
        <w:bottom w:val="none" w:sz="0" w:space="0" w:color="auto"/>
        <w:right w:val="none" w:sz="0" w:space="0" w:color="auto"/>
      </w:divBdr>
    </w:div>
    <w:div w:id="880821021">
      <w:bodyDiv w:val="1"/>
      <w:marLeft w:val="0"/>
      <w:marRight w:val="0"/>
      <w:marTop w:val="0"/>
      <w:marBottom w:val="0"/>
      <w:divBdr>
        <w:top w:val="none" w:sz="0" w:space="0" w:color="auto"/>
        <w:left w:val="none" w:sz="0" w:space="0" w:color="auto"/>
        <w:bottom w:val="none" w:sz="0" w:space="0" w:color="auto"/>
        <w:right w:val="none" w:sz="0" w:space="0" w:color="auto"/>
      </w:divBdr>
    </w:div>
    <w:div w:id="880938300">
      <w:bodyDiv w:val="1"/>
      <w:marLeft w:val="0"/>
      <w:marRight w:val="0"/>
      <w:marTop w:val="0"/>
      <w:marBottom w:val="0"/>
      <w:divBdr>
        <w:top w:val="none" w:sz="0" w:space="0" w:color="auto"/>
        <w:left w:val="none" w:sz="0" w:space="0" w:color="auto"/>
        <w:bottom w:val="none" w:sz="0" w:space="0" w:color="auto"/>
        <w:right w:val="none" w:sz="0" w:space="0" w:color="auto"/>
      </w:divBdr>
    </w:div>
    <w:div w:id="893127571">
      <w:bodyDiv w:val="1"/>
      <w:marLeft w:val="0"/>
      <w:marRight w:val="0"/>
      <w:marTop w:val="0"/>
      <w:marBottom w:val="0"/>
      <w:divBdr>
        <w:top w:val="none" w:sz="0" w:space="0" w:color="auto"/>
        <w:left w:val="none" w:sz="0" w:space="0" w:color="auto"/>
        <w:bottom w:val="none" w:sz="0" w:space="0" w:color="auto"/>
        <w:right w:val="none" w:sz="0" w:space="0" w:color="auto"/>
      </w:divBdr>
      <w:divsChild>
        <w:div w:id="770779474">
          <w:marLeft w:val="0"/>
          <w:marRight w:val="0"/>
          <w:marTop w:val="0"/>
          <w:marBottom w:val="0"/>
          <w:divBdr>
            <w:top w:val="none" w:sz="0" w:space="0" w:color="auto"/>
            <w:left w:val="none" w:sz="0" w:space="0" w:color="auto"/>
            <w:bottom w:val="none" w:sz="0" w:space="0" w:color="auto"/>
            <w:right w:val="none" w:sz="0" w:space="0" w:color="auto"/>
          </w:divBdr>
          <w:divsChild>
            <w:div w:id="15299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433288">
      <w:bodyDiv w:val="1"/>
      <w:marLeft w:val="0"/>
      <w:marRight w:val="0"/>
      <w:marTop w:val="0"/>
      <w:marBottom w:val="0"/>
      <w:divBdr>
        <w:top w:val="none" w:sz="0" w:space="0" w:color="auto"/>
        <w:left w:val="none" w:sz="0" w:space="0" w:color="auto"/>
        <w:bottom w:val="none" w:sz="0" w:space="0" w:color="auto"/>
        <w:right w:val="none" w:sz="0" w:space="0" w:color="auto"/>
      </w:divBdr>
    </w:div>
    <w:div w:id="933711351">
      <w:bodyDiv w:val="1"/>
      <w:marLeft w:val="0"/>
      <w:marRight w:val="0"/>
      <w:marTop w:val="0"/>
      <w:marBottom w:val="0"/>
      <w:divBdr>
        <w:top w:val="none" w:sz="0" w:space="0" w:color="auto"/>
        <w:left w:val="none" w:sz="0" w:space="0" w:color="auto"/>
        <w:bottom w:val="none" w:sz="0" w:space="0" w:color="auto"/>
        <w:right w:val="none" w:sz="0" w:space="0" w:color="auto"/>
      </w:divBdr>
    </w:div>
    <w:div w:id="942416182">
      <w:bodyDiv w:val="1"/>
      <w:marLeft w:val="0"/>
      <w:marRight w:val="0"/>
      <w:marTop w:val="0"/>
      <w:marBottom w:val="0"/>
      <w:divBdr>
        <w:top w:val="none" w:sz="0" w:space="0" w:color="auto"/>
        <w:left w:val="none" w:sz="0" w:space="0" w:color="auto"/>
        <w:bottom w:val="none" w:sz="0" w:space="0" w:color="auto"/>
        <w:right w:val="none" w:sz="0" w:space="0" w:color="auto"/>
      </w:divBdr>
    </w:div>
    <w:div w:id="943225535">
      <w:bodyDiv w:val="1"/>
      <w:marLeft w:val="0"/>
      <w:marRight w:val="0"/>
      <w:marTop w:val="0"/>
      <w:marBottom w:val="0"/>
      <w:divBdr>
        <w:top w:val="none" w:sz="0" w:space="0" w:color="auto"/>
        <w:left w:val="none" w:sz="0" w:space="0" w:color="auto"/>
        <w:bottom w:val="none" w:sz="0" w:space="0" w:color="auto"/>
        <w:right w:val="none" w:sz="0" w:space="0" w:color="auto"/>
      </w:divBdr>
    </w:div>
    <w:div w:id="975917458">
      <w:bodyDiv w:val="1"/>
      <w:marLeft w:val="0"/>
      <w:marRight w:val="0"/>
      <w:marTop w:val="0"/>
      <w:marBottom w:val="0"/>
      <w:divBdr>
        <w:top w:val="none" w:sz="0" w:space="0" w:color="auto"/>
        <w:left w:val="none" w:sz="0" w:space="0" w:color="auto"/>
        <w:bottom w:val="none" w:sz="0" w:space="0" w:color="auto"/>
        <w:right w:val="none" w:sz="0" w:space="0" w:color="auto"/>
      </w:divBdr>
    </w:div>
    <w:div w:id="987393287">
      <w:bodyDiv w:val="1"/>
      <w:marLeft w:val="0"/>
      <w:marRight w:val="0"/>
      <w:marTop w:val="0"/>
      <w:marBottom w:val="0"/>
      <w:divBdr>
        <w:top w:val="none" w:sz="0" w:space="0" w:color="auto"/>
        <w:left w:val="none" w:sz="0" w:space="0" w:color="auto"/>
        <w:bottom w:val="none" w:sz="0" w:space="0" w:color="auto"/>
        <w:right w:val="none" w:sz="0" w:space="0" w:color="auto"/>
      </w:divBdr>
    </w:div>
    <w:div w:id="994798853">
      <w:bodyDiv w:val="1"/>
      <w:marLeft w:val="0"/>
      <w:marRight w:val="0"/>
      <w:marTop w:val="0"/>
      <w:marBottom w:val="0"/>
      <w:divBdr>
        <w:top w:val="none" w:sz="0" w:space="0" w:color="auto"/>
        <w:left w:val="none" w:sz="0" w:space="0" w:color="auto"/>
        <w:bottom w:val="none" w:sz="0" w:space="0" w:color="auto"/>
        <w:right w:val="none" w:sz="0" w:space="0" w:color="auto"/>
      </w:divBdr>
    </w:div>
    <w:div w:id="1025983989">
      <w:bodyDiv w:val="1"/>
      <w:marLeft w:val="0"/>
      <w:marRight w:val="0"/>
      <w:marTop w:val="0"/>
      <w:marBottom w:val="0"/>
      <w:divBdr>
        <w:top w:val="none" w:sz="0" w:space="0" w:color="auto"/>
        <w:left w:val="none" w:sz="0" w:space="0" w:color="auto"/>
        <w:bottom w:val="none" w:sz="0" w:space="0" w:color="auto"/>
        <w:right w:val="none" w:sz="0" w:space="0" w:color="auto"/>
      </w:divBdr>
    </w:div>
    <w:div w:id="1031343326">
      <w:bodyDiv w:val="1"/>
      <w:marLeft w:val="0"/>
      <w:marRight w:val="0"/>
      <w:marTop w:val="0"/>
      <w:marBottom w:val="0"/>
      <w:divBdr>
        <w:top w:val="none" w:sz="0" w:space="0" w:color="auto"/>
        <w:left w:val="none" w:sz="0" w:space="0" w:color="auto"/>
        <w:bottom w:val="none" w:sz="0" w:space="0" w:color="auto"/>
        <w:right w:val="none" w:sz="0" w:space="0" w:color="auto"/>
      </w:divBdr>
    </w:div>
    <w:div w:id="1032456196">
      <w:bodyDiv w:val="1"/>
      <w:marLeft w:val="0"/>
      <w:marRight w:val="0"/>
      <w:marTop w:val="0"/>
      <w:marBottom w:val="0"/>
      <w:divBdr>
        <w:top w:val="none" w:sz="0" w:space="0" w:color="auto"/>
        <w:left w:val="none" w:sz="0" w:space="0" w:color="auto"/>
        <w:bottom w:val="none" w:sz="0" w:space="0" w:color="auto"/>
        <w:right w:val="none" w:sz="0" w:space="0" w:color="auto"/>
      </w:divBdr>
    </w:div>
    <w:div w:id="1038165891">
      <w:bodyDiv w:val="1"/>
      <w:marLeft w:val="0"/>
      <w:marRight w:val="0"/>
      <w:marTop w:val="0"/>
      <w:marBottom w:val="0"/>
      <w:divBdr>
        <w:top w:val="none" w:sz="0" w:space="0" w:color="auto"/>
        <w:left w:val="none" w:sz="0" w:space="0" w:color="auto"/>
        <w:bottom w:val="none" w:sz="0" w:space="0" w:color="auto"/>
        <w:right w:val="none" w:sz="0" w:space="0" w:color="auto"/>
      </w:divBdr>
    </w:div>
    <w:div w:id="1084692260">
      <w:bodyDiv w:val="1"/>
      <w:marLeft w:val="0"/>
      <w:marRight w:val="0"/>
      <w:marTop w:val="0"/>
      <w:marBottom w:val="0"/>
      <w:divBdr>
        <w:top w:val="none" w:sz="0" w:space="0" w:color="auto"/>
        <w:left w:val="none" w:sz="0" w:space="0" w:color="auto"/>
        <w:bottom w:val="none" w:sz="0" w:space="0" w:color="auto"/>
        <w:right w:val="none" w:sz="0" w:space="0" w:color="auto"/>
      </w:divBdr>
    </w:div>
    <w:div w:id="1145970403">
      <w:bodyDiv w:val="1"/>
      <w:marLeft w:val="0"/>
      <w:marRight w:val="0"/>
      <w:marTop w:val="0"/>
      <w:marBottom w:val="0"/>
      <w:divBdr>
        <w:top w:val="none" w:sz="0" w:space="0" w:color="auto"/>
        <w:left w:val="none" w:sz="0" w:space="0" w:color="auto"/>
        <w:bottom w:val="none" w:sz="0" w:space="0" w:color="auto"/>
        <w:right w:val="none" w:sz="0" w:space="0" w:color="auto"/>
      </w:divBdr>
    </w:div>
    <w:div w:id="1166749473">
      <w:bodyDiv w:val="1"/>
      <w:marLeft w:val="0"/>
      <w:marRight w:val="0"/>
      <w:marTop w:val="0"/>
      <w:marBottom w:val="0"/>
      <w:divBdr>
        <w:top w:val="none" w:sz="0" w:space="0" w:color="auto"/>
        <w:left w:val="none" w:sz="0" w:space="0" w:color="auto"/>
        <w:bottom w:val="none" w:sz="0" w:space="0" w:color="auto"/>
        <w:right w:val="none" w:sz="0" w:space="0" w:color="auto"/>
      </w:divBdr>
    </w:div>
    <w:div w:id="1215239528">
      <w:bodyDiv w:val="1"/>
      <w:marLeft w:val="0"/>
      <w:marRight w:val="0"/>
      <w:marTop w:val="0"/>
      <w:marBottom w:val="0"/>
      <w:divBdr>
        <w:top w:val="none" w:sz="0" w:space="0" w:color="auto"/>
        <w:left w:val="none" w:sz="0" w:space="0" w:color="auto"/>
        <w:bottom w:val="none" w:sz="0" w:space="0" w:color="auto"/>
        <w:right w:val="none" w:sz="0" w:space="0" w:color="auto"/>
      </w:divBdr>
    </w:div>
    <w:div w:id="1235043277">
      <w:bodyDiv w:val="1"/>
      <w:marLeft w:val="0"/>
      <w:marRight w:val="0"/>
      <w:marTop w:val="0"/>
      <w:marBottom w:val="0"/>
      <w:divBdr>
        <w:top w:val="none" w:sz="0" w:space="0" w:color="auto"/>
        <w:left w:val="none" w:sz="0" w:space="0" w:color="auto"/>
        <w:bottom w:val="none" w:sz="0" w:space="0" w:color="auto"/>
        <w:right w:val="none" w:sz="0" w:space="0" w:color="auto"/>
      </w:divBdr>
    </w:div>
    <w:div w:id="1247611427">
      <w:bodyDiv w:val="1"/>
      <w:marLeft w:val="0"/>
      <w:marRight w:val="0"/>
      <w:marTop w:val="0"/>
      <w:marBottom w:val="0"/>
      <w:divBdr>
        <w:top w:val="none" w:sz="0" w:space="0" w:color="auto"/>
        <w:left w:val="none" w:sz="0" w:space="0" w:color="auto"/>
        <w:bottom w:val="none" w:sz="0" w:space="0" w:color="auto"/>
        <w:right w:val="none" w:sz="0" w:space="0" w:color="auto"/>
      </w:divBdr>
    </w:div>
    <w:div w:id="1248265740">
      <w:bodyDiv w:val="1"/>
      <w:marLeft w:val="0"/>
      <w:marRight w:val="0"/>
      <w:marTop w:val="0"/>
      <w:marBottom w:val="0"/>
      <w:divBdr>
        <w:top w:val="none" w:sz="0" w:space="0" w:color="auto"/>
        <w:left w:val="none" w:sz="0" w:space="0" w:color="auto"/>
        <w:bottom w:val="none" w:sz="0" w:space="0" w:color="auto"/>
        <w:right w:val="none" w:sz="0" w:space="0" w:color="auto"/>
      </w:divBdr>
    </w:div>
    <w:div w:id="1258447121">
      <w:bodyDiv w:val="1"/>
      <w:marLeft w:val="0"/>
      <w:marRight w:val="0"/>
      <w:marTop w:val="0"/>
      <w:marBottom w:val="0"/>
      <w:divBdr>
        <w:top w:val="none" w:sz="0" w:space="0" w:color="auto"/>
        <w:left w:val="none" w:sz="0" w:space="0" w:color="auto"/>
        <w:bottom w:val="none" w:sz="0" w:space="0" w:color="auto"/>
        <w:right w:val="none" w:sz="0" w:space="0" w:color="auto"/>
      </w:divBdr>
      <w:divsChild>
        <w:div w:id="224921222">
          <w:marLeft w:val="0"/>
          <w:marRight w:val="0"/>
          <w:marTop w:val="0"/>
          <w:marBottom w:val="0"/>
          <w:divBdr>
            <w:top w:val="none" w:sz="0" w:space="0" w:color="auto"/>
            <w:left w:val="none" w:sz="0" w:space="0" w:color="auto"/>
            <w:bottom w:val="none" w:sz="0" w:space="0" w:color="auto"/>
            <w:right w:val="none" w:sz="0" w:space="0" w:color="auto"/>
          </w:divBdr>
          <w:divsChild>
            <w:div w:id="704256718">
              <w:marLeft w:val="0"/>
              <w:marRight w:val="0"/>
              <w:marTop w:val="0"/>
              <w:marBottom w:val="0"/>
              <w:divBdr>
                <w:top w:val="none" w:sz="0" w:space="0" w:color="auto"/>
                <w:left w:val="none" w:sz="0" w:space="0" w:color="auto"/>
                <w:bottom w:val="none" w:sz="0" w:space="0" w:color="auto"/>
                <w:right w:val="none" w:sz="0" w:space="0" w:color="auto"/>
              </w:divBdr>
            </w:div>
            <w:div w:id="171654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834581">
      <w:bodyDiv w:val="1"/>
      <w:marLeft w:val="0"/>
      <w:marRight w:val="0"/>
      <w:marTop w:val="0"/>
      <w:marBottom w:val="0"/>
      <w:divBdr>
        <w:top w:val="none" w:sz="0" w:space="0" w:color="auto"/>
        <w:left w:val="none" w:sz="0" w:space="0" w:color="auto"/>
        <w:bottom w:val="none" w:sz="0" w:space="0" w:color="auto"/>
        <w:right w:val="none" w:sz="0" w:space="0" w:color="auto"/>
      </w:divBdr>
    </w:div>
    <w:div w:id="1272129047">
      <w:bodyDiv w:val="1"/>
      <w:marLeft w:val="0"/>
      <w:marRight w:val="0"/>
      <w:marTop w:val="0"/>
      <w:marBottom w:val="0"/>
      <w:divBdr>
        <w:top w:val="none" w:sz="0" w:space="0" w:color="auto"/>
        <w:left w:val="none" w:sz="0" w:space="0" w:color="auto"/>
        <w:bottom w:val="none" w:sz="0" w:space="0" w:color="auto"/>
        <w:right w:val="none" w:sz="0" w:space="0" w:color="auto"/>
      </w:divBdr>
    </w:div>
    <w:div w:id="1302347975">
      <w:bodyDiv w:val="1"/>
      <w:marLeft w:val="0"/>
      <w:marRight w:val="0"/>
      <w:marTop w:val="0"/>
      <w:marBottom w:val="0"/>
      <w:divBdr>
        <w:top w:val="none" w:sz="0" w:space="0" w:color="auto"/>
        <w:left w:val="none" w:sz="0" w:space="0" w:color="auto"/>
        <w:bottom w:val="none" w:sz="0" w:space="0" w:color="auto"/>
        <w:right w:val="none" w:sz="0" w:space="0" w:color="auto"/>
      </w:divBdr>
    </w:div>
    <w:div w:id="1351564802">
      <w:bodyDiv w:val="1"/>
      <w:marLeft w:val="0"/>
      <w:marRight w:val="0"/>
      <w:marTop w:val="0"/>
      <w:marBottom w:val="0"/>
      <w:divBdr>
        <w:top w:val="none" w:sz="0" w:space="0" w:color="auto"/>
        <w:left w:val="none" w:sz="0" w:space="0" w:color="auto"/>
        <w:bottom w:val="none" w:sz="0" w:space="0" w:color="auto"/>
        <w:right w:val="none" w:sz="0" w:space="0" w:color="auto"/>
      </w:divBdr>
    </w:div>
    <w:div w:id="1353799151">
      <w:bodyDiv w:val="1"/>
      <w:marLeft w:val="0"/>
      <w:marRight w:val="0"/>
      <w:marTop w:val="0"/>
      <w:marBottom w:val="0"/>
      <w:divBdr>
        <w:top w:val="none" w:sz="0" w:space="0" w:color="auto"/>
        <w:left w:val="none" w:sz="0" w:space="0" w:color="auto"/>
        <w:bottom w:val="none" w:sz="0" w:space="0" w:color="auto"/>
        <w:right w:val="none" w:sz="0" w:space="0" w:color="auto"/>
      </w:divBdr>
    </w:div>
    <w:div w:id="1374303364">
      <w:bodyDiv w:val="1"/>
      <w:marLeft w:val="0"/>
      <w:marRight w:val="0"/>
      <w:marTop w:val="0"/>
      <w:marBottom w:val="0"/>
      <w:divBdr>
        <w:top w:val="none" w:sz="0" w:space="0" w:color="auto"/>
        <w:left w:val="none" w:sz="0" w:space="0" w:color="auto"/>
        <w:bottom w:val="none" w:sz="0" w:space="0" w:color="auto"/>
        <w:right w:val="none" w:sz="0" w:space="0" w:color="auto"/>
      </w:divBdr>
    </w:div>
    <w:div w:id="1387141323">
      <w:bodyDiv w:val="1"/>
      <w:marLeft w:val="0"/>
      <w:marRight w:val="0"/>
      <w:marTop w:val="0"/>
      <w:marBottom w:val="0"/>
      <w:divBdr>
        <w:top w:val="none" w:sz="0" w:space="0" w:color="auto"/>
        <w:left w:val="none" w:sz="0" w:space="0" w:color="auto"/>
        <w:bottom w:val="none" w:sz="0" w:space="0" w:color="auto"/>
        <w:right w:val="none" w:sz="0" w:space="0" w:color="auto"/>
      </w:divBdr>
    </w:div>
    <w:div w:id="1411852342">
      <w:bodyDiv w:val="1"/>
      <w:marLeft w:val="0"/>
      <w:marRight w:val="0"/>
      <w:marTop w:val="0"/>
      <w:marBottom w:val="0"/>
      <w:divBdr>
        <w:top w:val="none" w:sz="0" w:space="0" w:color="auto"/>
        <w:left w:val="none" w:sz="0" w:space="0" w:color="auto"/>
        <w:bottom w:val="none" w:sz="0" w:space="0" w:color="auto"/>
        <w:right w:val="none" w:sz="0" w:space="0" w:color="auto"/>
      </w:divBdr>
      <w:divsChild>
        <w:div w:id="259946800">
          <w:marLeft w:val="0"/>
          <w:marRight w:val="0"/>
          <w:marTop w:val="0"/>
          <w:marBottom w:val="0"/>
          <w:divBdr>
            <w:top w:val="none" w:sz="0" w:space="0" w:color="auto"/>
            <w:left w:val="none" w:sz="0" w:space="0" w:color="auto"/>
            <w:bottom w:val="none" w:sz="0" w:space="0" w:color="auto"/>
            <w:right w:val="none" w:sz="0" w:space="0" w:color="auto"/>
          </w:divBdr>
          <w:divsChild>
            <w:div w:id="775713145">
              <w:marLeft w:val="0"/>
              <w:marRight w:val="0"/>
              <w:marTop w:val="0"/>
              <w:marBottom w:val="0"/>
              <w:divBdr>
                <w:top w:val="none" w:sz="0" w:space="0" w:color="auto"/>
                <w:left w:val="none" w:sz="0" w:space="0" w:color="auto"/>
                <w:bottom w:val="none" w:sz="0" w:space="0" w:color="auto"/>
                <w:right w:val="none" w:sz="0" w:space="0" w:color="auto"/>
              </w:divBdr>
            </w:div>
            <w:div w:id="1136291439">
              <w:marLeft w:val="0"/>
              <w:marRight w:val="0"/>
              <w:marTop w:val="0"/>
              <w:marBottom w:val="0"/>
              <w:divBdr>
                <w:top w:val="none" w:sz="0" w:space="0" w:color="auto"/>
                <w:left w:val="none" w:sz="0" w:space="0" w:color="auto"/>
                <w:bottom w:val="none" w:sz="0" w:space="0" w:color="auto"/>
                <w:right w:val="none" w:sz="0" w:space="0" w:color="auto"/>
              </w:divBdr>
            </w:div>
            <w:div w:id="1226725582">
              <w:marLeft w:val="0"/>
              <w:marRight w:val="0"/>
              <w:marTop w:val="0"/>
              <w:marBottom w:val="0"/>
              <w:divBdr>
                <w:top w:val="none" w:sz="0" w:space="0" w:color="auto"/>
                <w:left w:val="none" w:sz="0" w:space="0" w:color="auto"/>
                <w:bottom w:val="none" w:sz="0" w:space="0" w:color="auto"/>
                <w:right w:val="none" w:sz="0" w:space="0" w:color="auto"/>
              </w:divBdr>
            </w:div>
            <w:div w:id="1263534844">
              <w:marLeft w:val="0"/>
              <w:marRight w:val="0"/>
              <w:marTop w:val="0"/>
              <w:marBottom w:val="0"/>
              <w:divBdr>
                <w:top w:val="none" w:sz="0" w:space="0" w:color="auto"/>
                <w:left w:val="none" w:sz="0" w:space="0" w:color="auto"/>
                <w:bottom w:val="none" w:sz="0" w:space="0" w:color="auto"/>
                <w:right w:val="none" w:sz="0" w:space="0" w:color="auto"/>
              </w:divBdr>
            </w:div>
            <w:div w:id="1299871881">
              <w:marLeft w:val="0"/>
              <w:marRight w:val="0"/>
              <w:marTop w:val="0"/>
              <w:marBottom w:val="0"/>
              <w:divBdr>
                <w:top w:val="none" w:sz="0" w:space="0" w:color="auto"/>
                <w:left w:val="none" w:sz="0" w:space="0" w:color="auto"/>
                <w:bottom w:val="none" w:sz="0" w:space="0" w:color="auto"/>
                <w:right w:val="none" w:sz="0" w:space="0" w:color="auto"/>
              </w:divBdr>
            </w:div>
            <w:div w:id="1493595643">
              <w:marLeft w:val="0"/>
              <w:marRight w:val="0"/>
              <w:marTop w:val="0"/>
              <w:marBottom w:val="0"/>
              <w:divBdr>
                <w:top w:val="none" w:sz="0" w:space="0" w:color="auto"/>
                <w:left w:val="none" w:sz="0" w:space="0" w:color="auto"/>
                <w:bottom w:val="none" w:sz="0" w:space="0" w:color="auto"/>
                <w:right w:val="none" w:sz="0" w:space="0" w:color="auto"/>
              </w:divBdr>
            </w:div>
            <w:div w:id="206413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739913">
      <w:bodyDiv w:val="1"/>
      <w:marLeft w:val="0"/>
      <w:marRight w:val="0"/>
      <w:marTop w:val="0"/>
      <w:marBottom w:val="0"/>
      <w:divBdr>
        <w:top w:val="none" w:sz="0" w:space="0" w:color="auto"/>
        <w:left w:val="none" w:sz="0" w:space="0" w:color="auto"/>
        <w:bottom w:val="none" w:sz="0" w:space="0" w:color="auto"/>
        <w:right w:val="none" w:sz="0" w:space="0" w:color="auto"/>
      </w:divBdr>
    </w:div>
    <w:div w:id="1422291017">
      <w:bodyDiv w:val="1"/>
      <w:marLeft w:val="0"/>
      <w:marRight w:val="0"/>
      <w:marTop w:val="0"/>
      <w:marBottom w:val="0"/>
      <w:divBdr>
        <w:top w:val="none" w:sz="0" w:space="0" w:color="auto"/>
        <w:left w:val="none" w:sz="0" w:space="0" w:color="auto"/>
        <w:bottom w:val="none" w:sz="0" w:space="0" w:color="auto"/>
        <w:right w:val="none" w:sz="0" w:space="0" w:color="auto"/>
      </w:divBdr>
      <w:divsChild>
        <w:div w:id="1902783723">
          <w:marLeft w:val="0"/>
          <w:marRight w:val="0"/>
          <w:marTop w:val="0"/>
          <w:marBottom w:val="0"/>
          <w:divBdr>
            <w:top w:val="none" w:sz="0" w:space="0" w:color="auto"/>
            <w:left w:val="none" w:sz="0" w:space="0" w:color="auto"/>
            <w:bottom w:val="none" w:sz="0" w:space="0" w:color="auto"/>
            <w:right w:val="none" w:sz="0" w:space="0" w:color="auto"/>
          </w:divBdr>
          <w:divsChild>
            <w:div w:id="156847274">
              <w:marLeft w:val="0"/>
              <w:marRight w:val="0"/>
              <w:marTop w:val="0"/>
              <w:marBottom w:val="0"/>
              <w:divBdr>
                <w:top w:val="none" w:sz="0" w:space="0" w:color="auto"/>
                <w:left w:val="none" w:sz="0" w:space="0" w:color="auto"/>
                <w:bottom w:val="none" w:sz="0" w:space="0" w:color="auto"/>
                <w:right w:val="none" w:sz="0" w:space="0" w:color="auto"/>
              </w:divBdr>
            </w:div>
            <w:div w:id="406807129">
              <w:marLeft w:val="0"/>
              <w:marRight w:val="0"/>
              <w:marTop w:val="0"/>
              <w:marBottom w:val="0"/>
              <w:divBdr>
                <w:top w:val="none" w:sz="0" w:space="0" w:color="auto"/>
                <w:left w:val="none" w:sz="0" w:space="0" w:color="auto"/>
                <w:bottom w:val="none" w:sz="0" w:space="0" w:color="auto"/>
                <w:right w:val="none" w:sz="0" w:space="0" w:color="auto"/>
              </w:divBdr>
            </w:div>
            <w:div w:id="416638658">
              <w:marLeft w:val="0"/>
              <w:marRight w:val="0"/>
              <w:marTop w:val="0"/>
              <w:marBottom w:val="0"/>
              <w:divBdr>
                <w:top w:val="none" w:sz="0" w:space="0" w:color="auto"/>
                <w:left w:val="none" w:sz="0" w:space="0" w:color="auto"/>
                <w:bottom w:val="none" w:sz="0" w:space="0" w:color="auto"/>
                <w:right w:val="none" w:sz="0" w:space="0" w:color="auto"/>
              </w:divBdr>
            </w:div>
            <w:div w:id="613900158">
              <w:marLeft w:val="0"/>
              <w:marRight w:val="0"/>
              <w:marTop w:val="0"/>
              <w:marBottom w:val="0"/>
              <w:divBdr>
                <w:top w:val="none" w:sz="0" w:space="0" w:color="auto"/>
                <w:left w:val="none" w:sz="0" w:space="0" w:color="auto"/>
                <w:bottom w:val="none" w:sz="0" w:space="0" w:color="auto"/>
                <w:right w:val="none" w:sz="0" w:space="0" w:color="auto"/>
              </w:divBdr>
            </w:div>
            <w:div w:id="966199674">
              <w:marLeft w:val="0"/>
              <w:marRight w:val="0"/>
              <w:marTop w:val="0"/>
              <w:marBottom w:val="0"/>
              <w:divBdr>
                <w:top w:val="none" w:sz="0" w:space="0" w:color="auto"/>
                <w:left w:val="none" w:sz="0" w:space="0" w:color="auto"/>
                <w:bottom w:val="none" w:sz="0" w:space="0" w:color="auto"/>
                <w:right w:val="none" w:sz="0" w:space="0" w:color="auto"/>
              </w:divBdr>
            </w:div>
            <w:div w:id="143806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982413">
      <w:bodyDiv w:val="1"/>
      <w:marLeft w:val="0"/>
      <w:marRight w:val="0"/>
      <w:marTop w:val="0"/>
      <w:marBottom w:val="0"/>
      <w:divBdr>
        <w:top w:val="none" w:sz="0" w:space="0" w:color="auto"/>
        <w:left w:val="none" w:sz="0" w:space="0" w:color="auto"/>
        <w:bottom w:val="none" w:sz="0" w:space="0" w:color="auto"/>
        <w:right w:val="none" w:sz="0" w:space="0" w:color="auto"/>
      </w:divBdr>
    </w:div>
    <w:div w:id="1456219785">
      <w:bodyDiv w:val="1"/>
      <w:marLeft w:val="0"/>
      <w:marRight w:val="0"/>
      <w:marTop w:val="0"/>
      <w:marBottom w:val="0"/>
      <w:divBdr>
        <w:top w:val="none" w:sz="0" w:space="0" w:color="auto"/>
        <w:left w:val="none" w:sz="0" w:space="0" w:color="auto"/>
        <w:bottom w:val="none" w:sz="0" w:space="0" w:color="auto"/>
        <w:right w:val="none" w:sz="0" w:space="0" w:color="auto"/>
      </w:divBdr>
    </w:div>
    <w:div w:id="1461072888">
      <w:bodyDiv w:val="1"/>
      <w:marLeft w:val="0"/>
      <w:marRight w:val="0"/>
      <w:marTop w:val="0"/>
      <w:marBottom w:val="0"/>
      <w:divBdr>
        <w:top w:val="none" w:sz="0" w:space="0" w:color="auto"/>
        <w:left w:val="none" w:sz="0" w:space="0" w:color="auto"/>
        <w:bottom w:val="none" w:sz="0" w:space="0" w:color="auto"/>
        <w:right w:val="none" w:sz="0" w:space="0" w:color="auto"/>
      </w:divBdr>
      <w:divsChild>
        <w:div w:id="756024609">
          <w:marLeft w:val="0"/>
          <w:marRight w:val="0"/>
          <w:marTop w:val="0"/>
          <w:marBottom w:val="0"/>
          <w:divBdr>
            <w:top w:val="none" w:sz="0" w:space="0" w:color="auto"/>
            <w:left w:val="none" w:sz="0" w:space="0" w:color="auto"/>
            <w:bottom w:val="none" w:sz="0" w:space="0" w:color="auto"/>
            <w:right w:val="none" w:sz="0" w:space="0" w:color="auto"/>
          </w:divBdr>
          <w:divsChild>
            <w:div w:id="833841611">
              <w:marLeft w:val="0"/>
              <w:marRight w:val="0"/>
              <w:marTop w:val="0"/>
              <w:marBottom w:val="0"/>
              <w:divBdr>
                <w:top w:val="none" w:sz="0" w:space="0" w:color="auto"/>
                <w:left w:val="none" w:sz="0" w:space="0" w:color="auto"/>
                <w:bottom w:val="none" w:sz="0" w:space="0" w:color="auto"/>
                <w:right w:val="none" w:sz="0" w:space="0" w:color="auto"/>
              </w:divBdr>
            </w:div>
            <w:div w:id="157863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276095">
      <w:bodyDiv w:val="1"/>
      <w:marLeft w:val="0"/>
      <w:marRight w:val="0"/>
      <w:marTop w:val="0"/>
      <w:marBottom w:val="0"/>
      <w:divBdr>
        <w:top w:val="none" w:sz="0" w:space="0" w:color="auto"/>
        <w:left w:val="none" w:sz="0" w:space="0" w:color="auto"/>
        <w:bottom w:val="none" w:sz="0" w:space="0" w:color="auto"/>
        <w:right w:val="none" w:sz="0" w:space="0" w:color="auto"/>
      </w:divBdr>
    </w:div>
    <w:div w:id="1464344066">
      <w:bodyDiv w:val="1"/>
      <w:marLeft w:val="0"/>
      <w:marRight w:val="0"/>
      <w:marTop w:val="0"/>
      <w:marBottom w:val="0"/>
      <w:divBdr>
        <w:top w:val="none" w:sz="0" w:space="0" w:color="auto"/>
        <w:left w:val="none" w:sz="0" w:space="0" w:color="auto"/>
        <w:bottom w:val="none" w:sz="0" w:space="0" w:color="auto"/>
        <w:right w:val="none" w:sz="0" w:space="0" w:color="auto"/>
      </w:divBdr>
    </w:div>
    <w:div w:id="1485585560">
      <w:bodyDiv w:val="1"/>
      <w:marLeft w:val="0"/>
      <w:marRight w:val="0"/>
      <w:marTop w:val="0"/>
      <w:marBottom w:val="0"/>
      <w:divBdr>
        <w:top w:val="none" w:sz="0" w:space="0" w:color="auto"/>
        <w:left w:val="none" w:sz="0" w:space="0" w:color="auto"/>
        <w:bottom w:val="none" w:sz="0" w:space="0" w:color="auto"/>
        <w:right w:val="none" w:sz="0" w:space="0" w:color="auto"/>
      </w:divBdr>
    </w:div>
    <w:div w:id="1489053989">
      <w:bodyDiv w:val="1"/>
      <w:marLeft w:val="0"/>
      <w:marRight w:val="0"/>
      <w:marTop w:val="0"/>
      <w:marBottom w:val="0"/>
      <w:divBdr>
        <w:top w:val="none" w:sz="0" w:space="0" w:color="auto"/>
        <w:left w:val="none" w:sz="0" w:space="0" w:color="auto"/>
        <w:bottom w:val="none" w:sz="0" w:space="0" w:color="auto"/>
        <w:right w:val="none" w:sz="0" w:space="0" w:color="auto"/>
      </w:divBdr>
      <w:divsChild>
        <w:div w:id="1967158963">
          <w:marLeft w:val="0"/>
          <w:marRight w:val="0"/>
          <w:marTop w:val="0"/>
          <w:marBottom w:val="0"/>
          <w:divBdr>
            <w:top w:val="none" w:sz="0" w:space="0" w:color="auto"/>
            <w:left w:val="none" w:sz="0" w:space="0" w:color="auto"/>
            <w:bottom w:val="none" w:sz="0" w:space="0" w:color="auto"/>
            <w:right w:val="none" w:sz="0" w:space="0" w:color="auto"/>
          </w:divBdr>
          <w:divsChild>
            <w:div w:id="392891366">
              <w:marLeft w:val="0"/>
              <w:marRight w:val="0"/>
              <w:marTop w:val="0"/>
              <w:marBottom w:val="0"/>
              <w:divBdr>
                <w:top w:val="none" w:sz="0" w:space="0" w:color="auto"/>
                <w:left w:val="none" w:sz="0" w:space="0" w:color="auto"/>
                <w:bottom w:val="none" w:sz="0" w:space="0" w:color="auto"/>
                <w:right w:val="none" w:sz="0" w:space="0" w:color="auto"/>
              </w:divBdr>
              <w:divsChild>
                <w:div w:id="677537029">
                  <w:marLeft w:val="0"/>
                  <w:marRight w:val="0"/>
                  <w:marTop w:val="0"/>
                  <w:marBottom w:val="0"/>
                  <w:divBdr>
                    <w:top w:val="none" w:sz="0" w:space="0" w:color="auto"/>
                    <w:left w:val="none" w:sz="0" w:space="0" w:color="auto"/>
                    <w:bottom w:val="none" w:sz="0" w:space="0" w:color="auto"/>
                    <w:right w:val="none" w:sz="0" w:space="0" w:color="auto"/>
                  </w:divBdr>
                  <w:divsChild>
                    <w:div w:id="12050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086630">
      <w:bodyDiv w:val="1"/>
      <w:marLeft w:val="0"/>
      <w:marRight w:val="0"/>
      <w:marTop w:val="0"/>
      <w:marBottom w:val="0"/>
      <w:divBdr>
        <w:top w:val="none" w:sz="0" w:space="0" w:color="auto"/>
        <w:left w:val="none" w:sz="0" w:space="0" w:color="auto"/>
        <w:bottom w:val="none" w:sz="0" w:space="0" w:color="auto"/>
        <w:right w:val="none" w:sz="0" w:space="0" w:color="auto"/>
      </w:divBdr>
    </w:div>
    <w:div w:id="1519612783">
      <w:bodyDiv w:val="1"/>
      <w:marLeft w:val="0"/>
      <w:marRight w:val="0"/>
      <w:marTop w:val="0"/>
      <w:marBottom w:val="0"/>
      <w:divBdr>
        <w:top w:val="none" w:sz="0" w:space="0" w:color="auto"/>
        <w:left w:val="none" w:sz="0" w:space="0" w:color="auto"/>
        <w:bottom w:val="none" w:sz="0" w:space="0" w:color="auto"/>
        <w:right w:val="none" w:sz="0" w:space="0" w:color="auto"/>
      </w:divBdr>
    </w:div>
    <w:div w:id="1531724014">
      <w:bodyDiv w:val="1"/>
      <w:marLeft w:val="0"/>
      <w:marRight w:val="0"/>
      <w:marTop w:val="0"/>
      <w:marBottom w:val="0"/>
      <w:divBdr>
        <w:top w:val="none" w:sz="0" w:space="0" w:color="auto"/>
        <w:left w:val="none" w:sz="0" w:space="0" w:color="auto"/>
        <w:bottom w:val="none" w:sz="0" w:space="0" w:color="auto"/>
        <w:right w:val="none" w:sz="0" w:space="0" w:color="auto"/>
      </w:divBdr>
    </w:div>
    <w:div w:id="1538619562">
      <w:bodyDiv w:val="1"/>
      <w:marLeft w:val="0"/>
      <w:marRight w:val="0"/>
      <w:marTop w:val="0"/>
      <w:marBottom w:val="0"/>
      <w:divBdr>
        <w:top w:val="none" w:sz="0" w:space="0" w:color="auto"/>
        <w:left w:val="none" w:sz="0" w:space="0" w:color="auto"/>
        <w:bottom w:val="none" w:sz="0" w:space="0" w:color="auto"/>
        <w:right w:val="none" w:sz="0" w:space="0" w:color="auto"/>
      </w:divBdr>
    </w:div>
    <w:div w:id="1571036830">
      <w:bodyDiv w:val="1"/>
      <w:marLeft w:val="0"/>
      <w:marRight w:val="0"/>
      <w:marTop w:val="0"/>
      <w:marBottom w:val="0"/>
      <w:divBdr>
        <w:top w:val="none" w:sz="0" w:space="0" w:color="auto"/>
        <w:left w:val="none" w:sz="0" w:space="0" w:color="auto"/>
        <w:bottom w:val="none" w:sz="0" w:space="0" w:color="auto"/>
        <w:right w:val="none" w:sz="0" w:space="0" w:color="auto"/>
      </w:divBdr>
    </w:div>
    <w:div w:id="1575049183">
      <w:bodyDiv w:val="1"/>
      <w:marLeft w:val="0"/>
      <w:marRight w:val="0"/>
      <w:marTop w:val="0"/>
      <w:marBottom w:val="0"/>
      <w:divBdr>
        <w:top w:val="none" w:sz="0" w:space="0" w:color="auto"/>
        <w:left w:val="none" w:sz="0" w:space="0" w:color="auto"/>
        <w:bottom w:val="none" w:sz="0" w:space="0" w:color="auto"/>
        <w:right w:val="none" w:sz="0" w:space="0" w:color="auto"/>
      </w:divBdr>
    </w:div>
    <w:div w:id="1577476424">
      <w:bodyDiv w:val="1"/>
      <w:marLeft w:val="0"/>
      <w:marRight w:val="0"/>
      <w:marTop w:val="0"/>
      <w:marBottom w:val="0"/>
      <w:divBdr>
        <w:top w:val="none" w:sz="0" w:space="0" w:color="auto"/>
        <w:left w:val="none" w:sz="0" w:space="0" w:color="auto"/>
        <w:bottom w:val="none" w:sz="0" w:space="0" w:color="auto"/>
        <w:right w:val="none" w:sz="0" w:space="0" w:color="auto"/>
      </w:divBdr>
    </w:div>
    <w:div w:id="1595163305">
      <w:bodyDiv w:val="1"/>
      <w:marLeft w:val="0"/>
      <w:marRight w:val="0"/>
      <w:marTop w:val="0"/>
      <w:marBottom w:val="0"/>
      <w:divBdr>
        <w:top w:val="none" w:sz="0" w:space="0" w:color="auto"/>
        <w:left w:val="none" w:sz="0" w:space="0" w:color="auto"/>
        <w:bottom w:val="none" w:sz="0" w:space="0" w:color="auto"/>
        <w:right w:val="none" w:sz="0" w:space="0" w:color="auto"/>
      </w:divBdr>
    </w:div>
    <w:div w:id="1615868418">
      <w:bodyDiv w:val="1"/>
      <w:marLeft w:val="0"/>
      <w:marRight w:val="0"/>
      <w:marTop w:val="0"/>
      <w:marBottom w:val="0"/>
      <w:divBdr>
        <w:top w:val="none" w:sz="0" w:space="0" w:color="auto"/>
        <w:left w:val="none" w:sz="0" w:space="0" w:color="auto"/>
        <w:bottom w:val="none" w:sz="0" w:space="0" w:color="auto"/>
        <w:right w:val="none" w:sz="0" w:space="0" w:color="auto"/>
      </w:divBdr>
      <w:divsChild>
        <w:div w:id="808977958">
          <w:marLeft w:val="0"/>
          <w:marRight w:val="0"/>
          <w:marTop w:val="0"/>
          <w:marBottom w:val="0"/>
          <w:divBdr>
            <w:top w:val="none" w:sz="0" w:space="0" w:color="auto"/>
            <w:left w:val="none" w:sz="0" w:space="0" w:color="auto"/>
            <w:bottom w:val="none" w:sz="0" w:space="0" w:color="auto"/>
            <w:right w:val="none" w:sz="0" w:space="0" w:color="auto"/>
          </w:divBdr>
          <w:divsChild>
            <w:div w:id="1771850808">
              <w:marLeft w:val="0"/>
              <w:marRight w:val="0"/>
              <w:marTop w:val="0"/>
              <w:marBottom w:val="0"/>
              <w:divBdr>
                <w:top w:val="none" w:sz="0" w:space="0" w:color="auto"/>
                <w:left w:val="none" w:sz="0" w:space="0" w:color="auto"/>
                <w:bottom w:val="none" w:sz="0" w:space="0" w:color="auto"/>
                <w:right w:val="none" w:sz="0" w:space="0" w:color="auto"/>
              </w:divBdr>
              <w:divsChild>
                <w:div w:id="133294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635170">
      <w:bodyDiv w:val="1"/>
      <w:marLeft w:val="0"/>
      <w:marRight w:val="0"/>
      <w:marTop w:val="0"/>
      <w:marBottom w:val="0"/>
      <w:divBdr>
        <w:top w:val="none" w:sz="0" w:space="0" w:color="auto"/>
        <w:left w:val="none" w:sz="0" w:space="0" w:color="auto"/>
        <w:bottom w:val="none" w:sz="0" w:space="0" w:color="auto"/>
        <w:right w:val="none" w:sz="0" w:space="0" w:color="auto"/>
      </w:divBdr>
    </w:div>
    <w:div w:id="1621567004">
      <w:bodyDiv w:val="1"/>
      <w:marLeft w:val="0"/>
      <w:marRight w:val="0"/>
      <w:marTop w:val="0"/>
      <w:marBottom w:val="0"/>
      <w:divBdr>
        <w:top w:val="none" w:sz="0" w:space="0" w:color="auto"/>
        <w:left w:val="none" w:sz="0" w:space="0" w:color="auto"/>
        <w:bottom w:val="none" w:sz="0" w:space="0" w:color="auto"/>
        <w:right w:val="none" w:sz="0" w:space="0" w:color="auto"/>
      </w:divBdr>
    </w:div>
    <w:div w:id="1622223063">
      <w:bodyDiv w:val="1"/>
      <w:marLeft w:val="0"/>
      <w:marRight w:val="0"/>
      <w:marTop w:val="0"/>
      <w:marBottom w:val="0"/>
      <w:divBdr>
        <w:top w:val="none" w:sz="0" w:space="0" w:color="auto"/>
        <w:left w:val="none" w:sz="0" w:space="0" w:color="auto"/>
        <w:bottom w:val="none" w:sz="0" w:space="0" w:color="auto"/>
        <w:right w:val="none" w:sz="0" w:space="0" w:color="auto"/>
      </w:divBdr>
    </w:div>
    <w:div w:id="1656684685">
      <w:bodyDiv w:val="1"/>
      <w:marLeft w:val="0"/>
      <w:marRight w:val="0"/>
      <w:marTop w:val="0"/>
      <w:marBottom w:val="0"/>
      <w:divBdr>
        <w:top w:val="none" w:sz="0" w:space="0" w:color="auto"/>
        <w:left w:val="none" w:sz="0" w:space="0" w:color="auto"/>
        <w:bottom w:val="none" w:sz="0" w:space="0" w:color="auto"/>
        <w:right w:val="none" w:sz="0" w:space="0" w:color="auto"/>
      </w:divBdr>
    </w:div>
    <w:div w:id="1671711082">
      <w:bodyDiv w:val="1"/>
      <w:marLeft w:val="0"/>
      <w:marRight w:val="0"/>
      <w:marTop w:val="0"/>
      <w:marBottom w:val="0"/>
      <w:divBdr>
        <w:top w:val="none" w:sz="0" w:space="0" w:color="auto"/>
        <w:left w:val="none" w:sz="0" w:space="0" w:color="auto"/>
        <w:bottom w:val="none" w:sz="0" w:space="0" w:color="auto"/>
        <w:right w:val="none" w:sz="0" w:space="0" w:color="auto"/>
      </w:divBdr>
    </w:div>
    <w:div w:id="1683508338">
      <w:bodyDiv w:val="1"/>
      <w:marLeft w:val="0"/>
      <w:marRight w:val="0"/>
      <w:marTop w:val="0"/>
      <w:marBottom w:val="0"/>
      <w:divBdr>
        <w:top w:val="none" w:sz="0" w:space="0" w:color="auto"/>
        <w:left w:val="none" w:sz="0" w:space="0" w:color="auto"/>
        <w:bottom w:val="none" w:sz="0" w:space="0" w:color="auto"/>
        <w:right w:val="none" w:sz="0" w:space="0" w:color="auto"/>
      </w:divBdr>
      <w:divsChild>
        <w:div w:id="251858961">
          <w:marLeft w:val="0"/>
          <w:marRight w:val="0"/>
          <w:marTop w:val="0"/>
          <w:marBottom w:val="0"/>
          <w:divBdr>
            <w:top w:val="none" w:sz="0" w:space="0" w:color="auto"/>
            <w:left w:val="none" w:sz="0" w:space="0" w:color="auto"/>
            <w:bottom w:val="none" w:sz="0" w:space="0" w:color="auto"/>
            <w:right w:val="none" w:sz="0" w:space="0" w:color="auto"/>
          </w:divBdr>
          <w:divsChild>
            <w:div w:id="1303776304">
              <w:marLeft w:val="0"/>
              <w:marRight w:val="0"/>
              <w:marTop w:val="0"/>
              <w:marBottom w:val="0"/>
              <w:divBdr>
                <w:top w:val="none" w:sz="0" w:space="0" w:color="auto"/>
                <w:left w:val="none" w:sz="0" w:space="0" w:color="auto"/>
                <w:bottom w:val="none" w:sz="0" w:space="0" w:color="auto"/>
                <w:right w:val="none" w:sz="0" w:space="0" w:color="auto"/>
              </w:divBdr>
              <w:divsChild>
                <w:div w:id="143127313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686058690">
      <w:bodyDiv w:val="1"/>
      <w:marLeft w:val="0"/>
      <w:marRight w:val="0"/>
      <w:marTop w:val="0"/>
      <w:marBottom w:val="0"/>
      <w:divBdr>
        <w:top w:val="none" w:sz="0" w:space="0" w:color="auto"/>
        <w:left w:val="none" w:sz="0" w:space="0" w:color="auto"/>
        <w:bottom w:val="none" w:sz="0" w:space="0" w:color="auto"/>
        <w:right w:val="none" w:sz="0" w:space="0" w:color="auto"/>
      </w:divBdr>
    </w:div>
    <w:div w:id="1695962807">
      <w:bodyDiv w:val="1"/>
      <w:marLeft w:val="0"/>
      <w:marRight w:val="0"/>
      <w:marTop w:val="0"/>
      <w:marBottom w:val="0"/>
      <w:divBdr>
        <w:top w:val="none" w:sz="0" w:space="0" w:color="auto"/>
        <w:left w:val="none" w:sz="0" w:space="0" w:color="auto"/>
        <w:bottom w:val="none" w:sz="0" w:space="0" w:color="auto"/>
        <w:right w:val="none" w:sz="0" w:space="0" w:color="auto"/>
      </w:divBdr>
    </w:div>
    <w:div w:id="1700736827">
      <w:bodyDiv w:val="1"/>
      <w:marLeft w:val="0"/>
      <w:marRight w:val="0"/>
      <w:marTop w:val="0"/>
      <w:marBottom w:val="0"/>
      <w:divBdr>
        <w:top w:val="none" w:sz="0" w:space="0" w:color="auto"/>
        <w:left w:val="none" w:sz="0" w:space="0" w:color="auto"/>
        <w:bottom w:val="none" w:sz="0" w:space="0" w:color="auto"/>
        <w:right w:val="none" w:sz="0" w:space="0" w:color="auto"/>
      </w:divBdr>
    </w:div>
    <w:div w:id="1701932872">
      <w:bodyDiv w:val="1"/>
      <w:marLeft w:val="0"/>
      <w:marRight w:val="0"/>
      <w:marTop w:val="0"/>
      <w:marBottom w:val="0"/>
      <w:divBdr>
        <w:top w:val="none" w:sz="0" w:space="0" w:color="auto"/>
        <w:left w:val="none" w:sz="0" w:space="0" w:color="auto"/>
        <w:bottom w:val="none" w:sz="0" w:space="0" w:color="auto"/>
        <w:right w:val="none" w:sz="0" w:space="0" w:color="auto"/>
      </w:divBdr>
    </w:div>
    <w:div w:id="1726027259">
      <w:bodyDiv w:val="1"/>
      <w:marLeft w:val="0"/>
      <w:marRight w:val="0"/>
      <w:marTop w:val="0"/>
      <w:marBottom w:val="0"/>
      <w:divBdr>
        <w:top w:val="none" w:sz="0" w:space="0" w:color="auto"/>
        <w:left w:val="none" w:sz="0" w:space="0" w:color="auto"/>
        <w:bottom w:val="none" w:sz="0" w:space="0" w:color="auto"/>
        <w:right w:val="none" w:sz="0" w:space="0" w:color="auto"/>
      </w:divBdr>
    </w:div>
    <w:div w:id="1763184954">
      <w:bodyDiv w:val="1"/>
      <w:marLeft w:val="0"/>
      <w:marRight w:val="0"/>
      <w:marTop w:val="0"/>
      <w:marBottom w:val="0"/>
      <w:divBdr>
        <w:top w:val="none" w:sz="0" w:space="0" w:color="auto"/>
        <w:left w:val="none" w:sz="0" w:space="0" w:color="auto"/>
        <w:bottom w:val="none" w:sz="0" w:space="0" w:color="auto"/>
        <w:right w:val="none" w:sz="0" w:space="0" w:color="auto"/>
      </w:divBdr>
    </w:div>
    <w:div w:id="1767458852">
      <w:bodyDiv w:val="1"/>
      <w:marLeft w:val="0"/>
      <w:marRight w:val="0"/>
      <w:marTop w:val="0"/>
      <w:marBottom w:val="0"/>
      <w:divBdr>
        <w:top w:val="none" w:sz="0" w:space="0" w:color="auto"/>
        <w:left w:val="none" w:sz="0" w:space="0" w:color="auto"/>
        <w:bottom w:val="none" w:sz="0" w:space="0" w:color="auto"/>
        <w:right w:val="none" w:sz="0" w:space="0" w:color="auto"/>
      </w:divBdr>
    </w:div>
    <w:div w:id="1805345647">
      <w:bodyDiv w:val="1"/>
      <w:marLeft w:val="0"/>
      <w:marRight w:val="0"/>
      <w:marTop w:val="0"/>
      <w:marBottom w:val="0"/>
      <w:divBdr>
        <w:top w:val="none" w:sz="0" w:space="0" w:color="auto"/>
        <w:left w:val="none" w:sz="0" w:space="0" w:color="auto"/>
        <w:bottom w:val="none" w:sz="0" w:space="0" w:color="auto"/>
        <w:right w:val="none" w:sz="0" w:space="0" w:color="auto"/>
      </w:divBdr>
    </w:div>
    <w:div w:id="1817839351">
      <w:bodyDiv w:val="1"/>
      <w:marLeft w:val="0"/>
      <w:marRight w:val="0"/>
      <w:marTop w:val="0"/>
      <w:marBottom w:val="0"/>
      <w:divBdr>
        <w:top w:val="none" w:sz="0" w:space="0" w:color="auto"/>
        <w:left w:val="none" w:sz="0" w:space="0" w:color="auto"/>
        <w:bottom w:val="none" w:sz="0" w:space="0" w:color="auto"/>
        <w:right w:val="none" w:sz="0" w:space="0" w:color="auto"/>
      </w:divBdr>
    </w:div>
    <w:div w:id="1825389937">
      <w:bodyDiv w:val="1"/>
      <w:marLeft w:val="0"/>
      <w:marRight w:val="0"/>
      <w:marTop w:val="0"/>
      <w:marBottom w:val="0"/>
      <w:divBdr>
        <w:top w:val="none" w:sz="0" w:space="0" w:color="auto"/>
        <w:left w:val="none" w:sz="0" w:space="0" w:color="auto"/>
        <w:bottom w:val="none" w:sz="0" w:space="0" w:color="auto"/>
        <w:right w:val="none" w:sz="0" w:space="0" w:color="auto"/>
      </w:divBdr>
    </w:div>
    <w:div w:id="1825703112">
      <w:bodyDiv w:val="1"/>
      <w:marLeft w:val="0"/>
      <w:marRight w:val="0"/>
      <w:marTop w:val="0"/>
      <w:marBottom w:val="0"/>
      <w:divBdr>
        <w:top w:val="none" w:sz="0" w:space="0" w:color="auto"/>
        <w:left w:val="none" w:sz="0" w:space="0" w:color="auto"/>
        <w:bottom w:val="none" w:sz="0" w:space="0" w:color="auto"/>
        <w:right w:val="none" w:sz="0" w:space="0" w:color="auto"/>
      </w:divBdr>
    </w:div>
    <w:div w:id="1835489630">
      <w:bodyDiv w:val="1"/>
      <w:marLeft w:val="0"/>
      <w:marRight w:val="0"/>
      <w:marTop w:val="0"/>
      <w:marBottom w:val="0"/>
      <w:divBdr>
        <w:top w:val="none" w:sz="0" w:space="0" w:color="auto"/>
        <w:left w:val="none" w:sz="0" w:space="0" w:color="auto"/>
        <w:bottom w:val="none" w:sz="0" w:space="0" w:color="auto"/>
        <w:right w:val="none" w:sz="0" w:space="0" w:color="auto"/>
      </w:divBdr>
      <w:divsChild>
        <w:div w:id="1105034665">
          <w:marLeft w:val="0"/>
          <w:marRight w:val="0"/>
          <w:marTop w:val="0"/>
          <w:marBottom w:val="0"/>
          <w:divBdr>
            <w:top w:val="none" w:sz="0" w:space="0" w:color="auto"/>
            <w:left w:val="none" w:sz="0" w:space="0" w:color="auto"/>
            <w:bottom w:val="none" w:sz="0" w:space="0" w:color="auto"/>
            <w:right w:val="none" w:sz="0" w:space="0" w:color="auto"/>
          </w:divBdr>
          <w:divsChild>
            <w:div w:id="265774983">
              <w:marLeft w:val="0"/>
              <w:marRight w:val="0"/>
              <w:marTop w:val="0"/>
              <w:marBottom w:val="0"/>
              <w:divBdr>
                <w:top w:val="none" w:sz="0" w:space="0" w:color="auto"/>
                <w:left w:val="none" w:sz="0" w:space="0" w:color="auto"/>
                <w:bottom w:val="none" w:sz="0" w:space="0" w:color="auto"/>
                <w:right w:val="none" w:sz="0" w:space="0" w:color="auto"/>
              </w:divBdr>
              <w:divsChild>
                <w:div w:id="1147087568">
                  <w:marLeft w:val="0"/>
                  <w:marRight w:val="0"/>
                  <w:marTop w:val="0"/>
                  <w:marBottom w:val="0"/>
                  <w:divBdr>
                    <w:top w:val="none" w:sz="0" w:space="0" w:color="auto"/>
                    <w:left w:val="none" w:sz="0" w:space="0" w:color="auto"/>
                    <w:bottom w:val="none" w:sz="0" w:space="0" w:color="auto"/>
                    <w:right w:val="none" w:sz="0" w:space="0" w:color="auto"/>
                  </w:divBdr>
                  <w:divsChild>
                    <w:div w:id="123705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125930">
      <w:bodyDiv w:val="1"/>
      <w:marLeft w:val="0"/>
      <w:marRight w:val="0"/>
      <w:marTop w:val="0"/>
      <w:marBottom w:val="0"/>
      <w:divBdr>
        <w:top w:val="none" w:sz="0" w:space="0" w:color="auto"/>
        <w:left w:val="none" w:sz="0" w:space="0" w:color="auto"/>
        <w:bottom w:val="none" w:sz="0" w:space="0" w:color="auto"/>
        <w:right w:val="none" w:sz="0" w:space="0" w:color="auto"/>
      </w:divBdr>
    </w:div>
    <w:div w:id="1901356327">
      <w:bodyDiv w:val="1"/>
      <w:marLeft w:val="0"/>
      <w:marRight w:val="0"/>
      <w:marTop w:val="0"/>
      <w:marBottom w:val="0"/>
      <w:divBdr>
        <w:top w:val="none" w:sz="0" w:space="0" w:color="auto"/>
        <w:left w:val="none" w:sz="0" w:space="0" w:color="auto"/>
        <w:bottom w:val="none" w:sz="0" w:space="0" w:color="auto"/>
        <w:right w:val="none" w:sz="0" w:space="0" w:color="auto"/>
      </w:divBdr>
    </w:div>
    <w:div w:id="1905097622">
      <w:bodyDiv w:val="1"/>
      <w:marLeft w:val="0"/>
      <w:marRight w:val="0"/>
      <w:marTop w:val="0"/>
      <w:marBottom w:val="0"/>
      <w:divBdr>
        <w:top w:val="none" w:sz="0" w:space="0" w:color="auto"/>
        <w:left w:val="none" w:sz="0" w:space="0" w:color="auto"/>
        <w:bottom w:val="none" w:sz="0" w:space="0" w:color="auto"/>
        <w:right w:val="none" w:sz="0" w:space="0" w:color="auto"/>
      </w:divBdr>
    </w:div>
    <w:div w:id="1915120531">
      <w:bodyDiv w:val="1"/>
      <w:marLeft w:val="0"/>
      <w:marRight w:val="0"/>
      <w:marTop w:val="0"/>
      <w:marBottom w:val="0"/>
      <w:divBdr>
        <w:top w:val="none" w:sz="0" w:space="0" w:color="auto"/>
        <w:left w:val="none" w:sz="0" w:space="0" w:color="auto"/>
        <w:bottom w:val="none" w:sz="0" w:space="0" w:color="auto"/>
        <w:right w:val="none" w:sz="0" w:space="0" w:color="auto"/>
      </w:divBdr>
    </w:div>
    <w:div w:id="1915234816">
      <w:bodyDiv w:val="1"/>
      <w:marLeft w:val="0"/>
      <w:marRight w:val="0"/>
      <w:marTop w:val="0"/>
      <w:marBottom w:val="0"/>
      <w:divBdr>
        <w:top w:val="none" w:sz="0" w:space="0" w:color="auto"/>
        <w:left w:val="none" w:sz="0" w:space="0" w:color="auto"/>
        <w:bottom w:val="none" w:sz="0" w:space="0" w:color="auto"/>
        <w:right w:val="none" w:sz="0" w:space="0" w:color="auto"/>
      </w:divBdr>
    </w:div>
    <w:div w:id="1921328434">
      <w:bodyDiv w:val="1"/>
      <w:marLeft w:val="0"/>
      <w:marRight w:val="0"/>
      <w:marTop w:val="0"/>
      <w:marBottom w:val="0"/>
      <w:divBdr>
        <w:top w:val="none" w:sz="0" w:space="0" w:color="auto"/>
        <w:left w:val="none" w:sz="0" w:space="0" w:color="auto"/>
        <w:bottom w:val="none" w:sz="0" w:space="0" w:color="auto"/>
        <w:right w:val="none" w:sz="0" w:space="0" w:color="auto"/>
      </w:divBdr>
    </w:div>
    <w:div w:id="1953509638">
      <w:bodyDiv w:val="1"/>
      <w:marLeft w:val="0"/>
      <w:marRight w:val="0"/>
      <w:marTop w:val="0"/>
      <w:marBottom w:val="0"/>
      <w:divBdr>
        <w:top w:val="none" w:sz="0" w:space="0" w:color="auto"/>
        <w:left w:val="none" w:sz="0" w:space="0" w:color="auto"/>
        <w:bottom w:val="none" w:sz="0" w:space="0" w:color="auto"/>
        <w:right w:val="none" w:sz="0" w:space="0" w:color="auto"/>
      </w:divBdr>
    </w:div>
    <w:div w:id="1968971845">
      <w:bodyDiv w:val="1"/>
      <w:marLeft w:val="0"/>
      <w:marRight w:val="0"/>
      <w:marTop w:val="0"/>
      <w:marBottom w:val="0"/>
      <w:divBdr>
        <w:top w:val="none" w:sz="0" w:space="0" w:color="auto"/>
        <w:left w:val="none" w:sz="0" w:space="0" w:color="auto"/>
        <w:bottom w:val="none" w:sz="0" w:space="0" w:color="auto"/>
        <w:right w:val="none" w:sz="0" w:space="0" w:color="auto"/>
      </w:divBdr>
      <w:divsChild>
        <w:div w:id="437526923">
          <w:marLeft w:val="274"/>
          <w:marRight w:val="0"/>
          <w:marTop w:val="0"/>
          <w:marBottom w:val="0"/>
          <w:divBdr>
            <w:top w:val="none" w:sz="0" w:space="0" w:color="auto"/>
            <w:left w:val="none" w:sz="0" w:space="0" w:color="auto"/>
            <w:bottom w:val="none" w:sz="0" w:space="0" w:color="auto"/>
            <w:right w:val="none" w:sz="0" w:space="0" w:color="auto"/>
          </w:divBdr>
        </w:div>
        <w:div w:id="497964754">
          <w:marLeft w:val="274"/>
          <w:marRight w:val="0"/>
          <w:marTop w:val="0"/>
          <w:marBottom w:val="0"/>
          <w:divBdr>
            <w:top w:val="none" w:sz="0" w:space="0" w:color="auto"/>
            <w:left w:val="none" w:sz="0" w:space="0" w:color="auto"/>
            <w:bottom w:val="none" w:sz="0" w:space="0" w:color="auto"/>
            <w:right w:val="none" w:sz="0" w:space="0" w:color="auto"/>
          </w:divBdr>
        </w:div>
        <w:div w:id="1958674825">
          <w:marLeft w:val="274"/>
          <w:marRight w:val="0"/>
          <w:marTop w:val="0"/>
          <w:marBottom w:val="0"/>
          <w:divBdr>
            <w:top w:val="none" w:sz="0" w:space="0" w:color="auto"/>
            <w:left w:val="none" w:sz="0" w:space="0" w:color="auto"/>
            <w:bottom w:val="none" w:sz="0" w:space="0" w:color="auto"/>
            <w:right w:val="none" w:sz="0" w:space="0" w:color="auto"/>
          </w:divBdr>
        </w:div>
      </w:divsChild>
    </w:div>
    <w:div w:id="1969192902">
      <w:bodyDiv w:val="1"/>
      <w:marLeft w:val="0"/>
      <w:marRight w:val="0"/>
      <w:marTop w:val="0"/>
      <w:marBottom w:val="0"/>
      <w:divBdr>
        <w:top w:val="none" w:sz="0" w:space="0" w:color="auto"/>
        <w:left w:val="none" w:sz="0" w:space="0" w:color="auto"/>
        <w:bottom w:val="none" w:sz="0" w:space="0" w:color="auto"/>
        <w:right w:val="none" w:sz="0" w:space="0" w:color="auto"/>
      </w:divBdr>
    </w:div>
    <w:div w:id="1994219830">
      <w:bodyDiv w:val="1"/>
      <w:marLeft w:val="0"/>
      <w:marRight w:val="0"/>
      <w:marTop w:val="0"/>
      <w:marBottom w:val="0"/>
      <w:divBdr>
        <w:top w:val="none" w:sz="0" w:space="0" w:color="auto"/>
        <w:left w:val="none" w:sz="0" w:space="0" w:color="auto"/>
        <w:bottom w:val="none" w:sz="0" w:space="0" w:color="auto"/>
        <w:right w:val="none" w:sz="0" w:space="0" w:color="auto"/>
      </w:divBdr>
    </w:div>
    <w:div w:id="1998996667">
      <w:bodyDiv w:val="1"/>
      <w:marLeft w:val="0"/>
      <w:marRight w:val="0"/>
      <w:marTop w:val="0"/>
      <w:marBottom w:val="0"/>
      <w:divBdr>
        <w:top w:val="none" w:sz="0" w:space="0" w:color="auto"/>
        <w:left w:val="none" w:sz="0" w:space="0" w:color="auto"/>
        <w:bottom w:val="none" w:sz="0" w:space="0" w:color="auto"/>
        <w:right w:val="none" w:sz="0" w:space="0" w:color="auto"/>
      </w:divBdr>
    </w:div>
    <w:div w:id="2029940616">
      <w:bodyDiv w:val="1"/>
      <w:marLeft w:val="0"/>
      <w:marRight w:val="0"/>
      <w:marTop w:val="0"/>
      <w:marBottom w:val="0"/>
      <w:divBdr>
        <w:top w:val="none" w:sz="0" w:space="0" w:color="auto"/>
        <w:left w:val="none" w:sz="0" w:space="0" w:color="auto"/>
        <w:bottom w:val="none" w:sz="0" w:space="0" w:color="auto"/>
        <w:right w:val="none" w:sz="0" w:space="0" w:color="auto"/>
      </w:divBdr>
    </w:div>
    <w:div w:id="2037271081">
      <w:bodyDiv w:val="1"/>
      <w:marLeft w:val="0"/>
      <w:marRight w:val="0"/>
      <w:marTop w:val="0"/>
      <w:marBottom w:val="0"/>
      <w:divBdr>
        <w:top w:val="none" w:sz="0" w:space="0" w:color="auto"/>
        <w:left w:val="none" w:sz="0" w:space="0" w:color="auto"/>
        <w:bottom w:val="none" w:sz="0" w:space="0" w:color="auto"/>
        <w:right w:val="none" w:sz="0" w:space="0" w:color="auto"/>
      </w:divBdr>
    </w:div>
    <w:div w:id="2038702784">
      <w:bodyDiv w:val="1"/>
      <w:marLeft w:val="0"/>
      <w:marRight w:val="0"/>
      <w:marTop w:val="0"/>
      <w:marBottom w:val="0"/>
      <w:divBdr>
        <w:top w:val="none" w:sz="0" w:space="0" w:color="auto"/>
        <w:left w:val="none" w:sz="0" w:space="0" w:color="auto"/>
        <w:bottom w:val="none" w:sz="0" w:space="0" w:color="auto"/>
        <w:right w:val="none" w:sz="0" w:space="0" w:color="auto"/>
      </w:divBdr>
    </w:div>
    <w:div w:id="2047831424">
      <w:bodyDiv w:val="1"/>
      <w:marLeft w:val="0"/>
      <w:marRight w:val="0"/>
      <w:marTop w:val="0"/>
      <w:marBottom w:val="0"/>
      <w:divBdr>
        <w:top w:val="none" w:sz="0" w:space="0" w:color="auto"/>
        <w:left w:val="none" w:sz="0" w:space="0" w:color="auto"/>
        <w:bottom w:val="none" w:sz="0" w:space="0" w:color="auto"/>
        <w:right w:val="none" w:sz="0" w:space="0" w:color="auto"/>
      </w:divBdr>
    </w:div>
    <w:div w:id="2048748917">
      <w:bodyDiv w:val="1"/>
      <w:marLeft w:val="0"/>
      <w:marRight w:val="0"/>
      <w:marTop w:val="0"/>
      <w:marBottom w:val="0"/>
      <w:divBdr>
        <w:top w:val="none" w:sz="0" w:space="0" w:color="auto"/>
        <w:left w:val="none" w:sz="0" w:space="0" w:color="auto"/>
        <w:bottom w:val="none" w:sz="0" w:space="0" w:color="auto"/>
        <w:right w:val="none" w:sz="0" w:space="0" w:color="auto"/>
      </w:divBdr>
    </w:div>
    <w:div w:id="2056393096">
      <w:bodyDiv w:val="1"/>
      <w:marLeft w:val="0"/>
      <w:marRight w:val="0"/>
      <w:marTop w:val="0"/>
      <w:marBottom w:val="0"/>
      <w:divBdr>
        <w:top w:val="none" w:sz="0" w:space="0" w:color="auto"/>
        <w:left w:val="none" w:sz="0" w:space="0" w:color="auto"/>
        <w:bottom w:val="none" w:sz="0" w:space="0" w:color="auto"/>
        <w:right w:val="none" w:sz="0" w:space="0" w:color="auto"/>
      </w:divBdr>
      <w:divsChild>
        <w:div w:id="683214816">
          <w:marLeft w:val="0"/>
          <w:marRight w:val="0"/>
          <w:marTop w:val="0"/>
          <w:marBottom w:val="150"/>
          <w:divBdr>
            <w:top w:val="none" w:sz="0" w:space="0" w:color="auto"/>
            <w:left w:val="none" w:sz="0" w:space="0" w:color="auto"/>
            <w:bottom w:val="none" w:sz="0" w:space="0" w:color="auto"/>
            <w:right w:val="none" w:sz="0" w:space="0" w:color="auto"/>
          </w:divBdr>
        </w:div>
        <w:div w:id="1712068189">
          <w:marLeft w:val="0"/>
          <w:marRight w:val="0"/>
          <w:marTop w:val="0"/>
          <w:marBottom w:val="300"/>
          <w:divBdr>
            <w:top w:val="none" w:sz="0" w:space="0" w:color="auto"/>
            <w:left w:val="none" w:sz="0" w:space="0" w:color="auto"/>
            <w:bottom w:val="none" w:sz="0" w:space="0" w:color="auto"/>
            <w:right w:val="none" w:sz="0" w:space="0" w:color="auto"/>
          </w:divBdr>
          <w:divsChild>
            <w:div w:id="1049916133">
              <w:marLeft w:val="0"/>
              <w:marRight w:val="0"/>
              <w:marTop w:val="0"/>
              <w:marBottom w:val="300"/>
              <w:divBdr>
                <w:top w:val="none" w:sz="0" w:space="0" w:color="auto"/>
                <w:left w:val="none" w:sz="0" w:space="0" w:color="auto"/>
                <w:bottom w:val="none" w:sz="0" w:space="0" w:color="auto"/>
                <w:right w:val="none" w:sz="0" w:space="0" w:color="auto"/>
              </w:divBdr>
              <w:divsChild>
                <w:div w:id="38228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559710">
      <w:bodyDiv w:val="1"/>
      <w:marLeft w:val="0"/>
      <w:marRight w:val="0"/>
      <w:marTop w:val="0"/>
      <w:marBottom w:val="0"/>
      <w:divBdr>
        <w:top w:val="none" w:sz="0" w:space="0" w:color="auto"/>
        <w:left w:val="none" w:sz="0" w:space="0" w:color="auto"/>
        <w:bottom w:val="none" w:sz="0" w:space="0" w:color="auto"/>
        <w:right w:val="none" w:sz="0" w:space="0" w:color="auto"/>
      </w:divBdr>
    </w:div>
    <w:div w:id="2073850780">
      <w:bodyDiv w:val="1"/>
      <w:marLeft w:val="0"/>
      <w:marRight w:val="0"/>
      <w:marTop w:val="0"/>
      <w:marBottom w:val="0"/>
      <w:divBdr>
        <w:top w:val="none" w:sz="0" w:space="0" w:color="auto"/>
        <w:left w:val="none" w:sz="0" w:space="0" w:color="auto"/>
        <w:bottom w:val="none" w:sz="0" w:space="0" w:color="auto"/>
        <w:right w:val="none" w:sz="0" w:space="0" w:color="auto"/>
      </w:divBdr>
    </w:div>
    <w:div w:id="2074156617">
      <w:bodyDiv w:val="1"/>
      <w:marLeft w:val="0"/>
      <w:marRight w:val="0"/>
      <w:marTop w:val="0"/>
      <w:marBottom w:val="0"/>
      <w:divBdr>
        <w:top w:val="none" w:sz="0" w:space="0" w:color="auto"/>
        <w:left w:val="none" w:sz="0" w:space="0" w:color="auto"/>
        <w:bottom w:val="none" w:sz="0" w:space="0" w:color="auto"/>
        <w:right w:val="none" w:sz="0" w:space="0" w:color="auto"/>
      </w:divBdr>
    </w:div>
    <w:div w:id="2081587103">
      <w:bodyDiv w:val="1"/>
      <w:marLeft w:val="0"/>
      <w:marRight w:val="0"/>
      <w:marTop w:val="0"/>
      <w:marBottom w:val="0"/>
      <w:divBdr>
        <w:top w:val="none" w:sz="0" w:space="0" w:color="auto"/>
        <w:left w:val="none" w:sz="0" w:space="0" w:color="auto"/>
        <w:bottom w:val="none" w:sz="0" w:space="0" w:color="auto"/>
        <w:right w:val="none" w:sz="0" w:space="0" w:color="auto"/>
      </w:divBdr>
      <w:divsChild>
        <w:div w:id="1523013705">
          <w:marLeft w:val="0"/>
          <w:marRight w:val="0"/>
          <w:marTop w:val="0"/>
          <w:marBottom w:val="0"/>
          <w:divBdr>
            <w:top w:val="none" w:sz="0" w:space="0" w:color="auto"/>
            <w:left w:val="none" w:sz="0" w:space="0" w:color="auto"/>
            <w:bottom w:val="none" w:sz="0" w:space="0" w:color="auto"/>
            <w:right w:val="none" w:sz="0" w:space="0" w:color="auto"/>
          </w:divBdr>
          <w:divsChild>
            <w:div w:id="1355692682">
              <w:marLeft w:val="0"/>
              <w:marRight w:val="0"/>
              <w:marTop w:val="0"/>
              <w:marBottom w:val="0"/>
              <w:divBdr>
                <w:top w:val="none" w:sz="0" w:space="0" w:color="auto"/>
                <w:left w:val="none" w:sz="0" w:space="0" w:color="auto"/>
                <w:bottom w:val="none" w:sz="0" w:space="0" w:color="auto"/>
                <w:right w:val="none" w:sz="0" w:space="0" w:color="auto"/>
              </w:divBdr>
              <w:divsChild>
                <w:div w:id="695352613">
                  <w:marLeft w:val="2928"/>
                  <w:marRight w:val="0"/>
                  <w:marTop w:val="720"/>
                  <w:marBottom w:val="0"/>
                  <w:divBdr>
                    <w:top w:val="none" w:sz="0" w:space="0" w:color="auto"/>
                    <w:left w:val="none" w:sz="0" w:space="0" w:color="auto"/>
                    <w:bottom w:val="none" w:sz="0" w:space="0" w:color="auto"/>
                    <w:right w:val="none" w:sz="0" w:space="0" w:color="auto"/>
                  </w:divBdr>
                  <w:divsChild>
                    <w:div w:id="1103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544611">
      <w:bodyDiv w:val="1"/>
      <w:marLeft w:val="0"/>
      <w:marRight w:val="0"/>
      <w:marTop w:val="0"/>
      <w:marBottom w:val="0"/>
      <w:divBdr>
        <w:top w:val="none" w:sz="0" w:space="0" w:color="auto"/>
        <w:left w:val="none" w:sz="0" w:space="0" w:color="auto"/>
        <w:bottom w:val="none" w:sz="0" w:space="0" w:color="auto"/>
        <w:right w:val="none" w:sz="0" w:space="0" w:color="auto"/>
      </w:divBdr>
    </w:div>
    <w:div w:id="2114277405">
      <w:bodyDiv w:val="1"/>
      <w:marLeft w:val="0"/>
      <w:marRight w:val="0"/>
      <w:marTop w:val="0"/>
      <w:marBottom w:val="0"/>
      <w:divBdr>
        <w:top w:val="none" w:sz="0" w:space="0" w:color="auto"/>
        <w:left w:val="none" w:sz="0" w:space="0" w:color="auto"/>
        <w:bottom w:val="none" w:sz="0" w:space="0" w:color="auto"/>
        <w:right w:val="none" w:sz="0" w:space="0" w:color="auto"/>
      </w:divBdr>
    </w:div>
    <w:div w:id="2140872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5.xml"/><Relationship Id="rId21" Type="http://schemas.openxmlformats.org/officeDocument/2006/relationships/chart" Target="charts/chart10.xml"/><Relationship Id="rId42" Type="http://schemas.openxmlformats.org/officeDocument/2006/relationships/chart" Target="charts/chart31.xml"/><Relationship Id="rId47" Type="http://schemas.openxmlformats.org/officeDocument/2006/relationships/chart" Target="charts/chart36.xml"/><Relationship Id="rId63" Type="http://schemas.openxmlformats.org/officeDocument/2006/relationships/chart" Target="charts/chart52.xml"/><Relationship Id="rId68" Type="http://schemas.openxmlformats.org/officeDocument/2006/relationships/chart" Target="charts/chart57.xml"/><Relationship Id="rId84" Type="http://schemas.openxmlformats.org/officeDocument/2006/relationships/header" Target="header1.xml"/><Relationship Id="rId16" Type="http://schemas.openxmlformats.org/officeDocument/2006/relationships/chart" Target="charts/chart5.xml"/><Relationship Id="rId11" Type="http://schemas.openxmlformats.org/officeDocument/2006/relationships/hyperlink" Target="mailto:Won-ok.Kim@dc.gov" TargetMode="External"/><Relationship Id="rId32" Type="http://schemas.openxmlformats.org/officeDocument/2006/relationships/chart" Target="charts/chart21.xml"/><Relationship Id="rId37" Type="http://schemas.openxmlformats.org/officeDocument/2006/relationships/chart" Target="charts/chart26.xml"/><Relationship Id="rId53" Type="http://schemas.openxmlformats.org/officeDocument/2006/relationships/chart" Target="charts/chart42.xml"/><Relationship Id="rId58" Type="http://schemas.openxmlformats.org/officeDocument/2006/relationships/chart" Target="charts/chart47.xml"/><Relationship Id="rId74" Type="http://schemas.openxmlformats.org/officeDocument/2006/relationships/chart" Target="charts/chart63.xml"/><Relationship Id="rId79" Type="http://schemas.openxmlformats.org/officeDocument/2006/relationships/chart" Target="charts/chart68.xml"/><Relationship Id="rId5" Type="http://schemas.openxmlformats.org/officeDocument/2006/relationships/settings" Target="settings.xml"/><Relationship Id="rId19" Type="http://schemas.openxmlformats.org/officeDocument/2006/relationships/chart" Target="charts/chart8.xm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chart" Target="charts/chart32.xml"/><Relationship Id="rId48" Type="http://schemas.openxmlformats.org/officeDocument/2006/relationships/chart" Target="charts/chart37.xml"/><Relationship Id="rId56" Type="http://schemas.openxmlformats.org/officeDocument/2006/relationships/chart" Target="charts/chart45.xml"/><Relationship Id="rId64" Type="http://schemas.openxmlformats.org/officeDocument/2006/relationships/chart" Target="charts/chart53.xml"/><Relationship Id="rId69" Type="http://schemas.openxmlformats.org/officeDocument/2006/relationships/chart" Target="charts/chart58.xml"/><Relationship Id="rId77" Type="http://schemas.openxmlformats.org/officeDocument/2006/relationships/chart" Target="charts/chart66.xml"/><Relationship Id="rId8" Type="http://schemas.openxmlformats.org/officeDocument/2006/relationships/endnotes" Target="endnotes.xml"/><Relationship Id="rId51" Type="http://schemas.openxmlformats.org/officeDocument/2006/relationships/chart" Target="charts/chart40.xml"/><Relationship Id="rId72" Type="http://schemas.openxmlformats.org/officeDocument/2006/relationships/chart" Target="charts/chart61.xml"/><Relationship Id="rId80" Type="http://schemas.openxmlformats.org/officeDocument/2006/relationships/chart" Target="charts/chart69.xml"/><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chart" Target="charts/chart27.xml"/><Relationship Id="rId46" Type="http://schemas.openxmlformats.org/officeDocument/2006/relationships/chart" Target="charts/chart35.xml"/><Relationship Id="rId59" Type="http://schemas.openxmlformats.org/officeDocument/2006/relationships/chart" Target="charts/chart48.xml"/><Relationship Id="rId67" Type="http://schemas.openxmlformats.org/officeDocument/2006/relationships/chart" Target="charts/chart56.xml"/><Relationship Id="rId20" Type="http://schemas.openxmlformats.org/officeDocument/2006/relationships/chart" Target="charts/chart9.xml"/><Relationship Id="rId41" Type="http://schemas.openxmlformats.org/officeDocument/2006/relationships/chart" Target="charts/chart30.xml"/><Relationship Id="rId54" Type="http://schemas.openxmlformats.org/officeDocument/2006/relationships/chart" Target="charts/chart43.xml"/><Relationship Id="rId62" Type="http://schemas.openxmlformats.org/officeDocument/2006/relationships/chart" Target="charts/chart51.xml"/><Relationship Id="rId70" Type="http://schemas.openxmlformats.org/officeDocument/2006/relationships/chart" Target="charts/chart59.xml"/><Relationship Id="rId75" Type="http://schemas.openxmlformats.org/officeDocument/2006/relationships/chart" Target="charts/chart64.xml"/><Relationship Id="rId83" Type="http://schemas.openxmlformats.org/officeDocument/2006/relationships/chart" Target="charts/chart7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5.xml"/><Relationship Id="rId49" Type="http://schemas.openxmlformats.org/officeDocument/2006/relationships/chart" Target="charts/chart38.xml"/><Relationship Id="rId57" Type="http://schemas.openxmlformats.org/officeDocument/2006/relationships/chart" Target="charts/chart46.xml"/><Relationship Id="rId10" Type="http://schemas.openxmlformats.org/officeDocument/2006/relationships/image" Target="media/image2.png"/><Relationship Id="rId31" Type="http://schemas.openxmlformats.org/officeDocument/2006/relationships/chart" Target="charts/chart20.xml"/><Relationship Id="rId44" Type="http://schemas.openxmlformats.org/officeDocument/2006/relationships/chart" Target="charts/chart33.xml"/><Relationship Id="rId52" Type="http://schemas.openxmlformats.org/officeDocument/2006/relationships/chart" Target="charts/chart41.xml"/><Relationship Id="rId60" Type="http://schemas.openxmlformats.org/officeDocument/2006/relationships/chart" Target="charts/chart49.xml"/><Relationship Id="rId65" Type="http://schemas.openxmlformats.org/officeDocument/2006/relationships/chart" Target="charts/chart54.xml"/><Relationship Id="rId73" Type="http://schemas.openxmlformats.org/officeDocument/2006/relationships/chart" Target="charts/chart62.xml"/><Relationship Id="rId78" Type="http://schemas.openxmlformats.org/officeDocument/2006/relationships/chart" Target="charts/chart67.xml"/><Relationship Id="rId81" Type="http://schemas.openxmlformats.org/officeDocument/2006/relationships/chart" Target="charts/chart70.xml"/><Relationship Id="rId86"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chart" Target="charts/chart7.xml"/><Relationship Id="rId39" Type="http://schemas.openxmlformats.org/officeDocument/2006/relationships/chart" Target="charts/chart28.xml"/><Relationship Id="rId34" Type="http://schemas.openxmlformats.org/officeDocument/2006/relationships/chart" Target="charts/chart23.xml"/><Relationship Id="rId50" Type="http://schemas.openxmlformats.org/officeDocument/2006/relationships/chart" Target="charts/chart39.xml"/><Relationship Id="rId55" Type="http://schemas.openxmlformats.org/officeDocument/2006/relationships/chart" Target="charts/chart44.xml"/><Relationship Id="rId76" Type="http://schemas.openxmlformats.org/officeDocument/2006/relationships/chart" Target="charts/chart65.xml"/><Relationship Id="rId7" Type="http://schemas.openxmlformats.org/officeDocument/2006/relationships/footnotes" Target="footnotes.xml"/><Relationship Id="rId71" Type="http://schemas.openxmlformats.org/officeDocument/2006/relationships/chart" Target="charts/chart60.xml"/><Relationship Id="rId2" Type="http://schemas.openxmlformats.org/officeDocument/2006/relationships/numbering" Target="numbering.xml"/><Relationship Id="rId29" Type="http://schemas.openxmlformats.org/officeDocument/2006/relationships/chart" Target="charts/chart18.xml"/><Relationship Id="rId24" Type="http://schemas.openxmlformats.org/officeDocument/2006/relationships/chart" Target="charts/chart13.xml"/><Relationship Id="rId40" Type="http://schemas.openxmlformats.org/officeDocument/2006/relationships/chart" Target="charts/chart29.xml"/><Relationship Id="rId45" Type="http://schemas.openxmlformats.org/officeDocument/2006/relationships/chart" Target="charts/chart34.xml"/><Relationship Id="rId66" Type="http://schemas.openxmlformats.org/officeDocument/2006/relationships/chart" Target="charts/chart55.xml"/><Relationship Id="rId87" Type="http://schemas.openxmlformats.org/officeDocument/2006/relationships/theme" Target="theme/theme1.xml"/><Relationship Id="rId61" Type="http://schemas.openxmlformats.org/officeDocument/2006/relationships/chart" Target="charts/chart50.xml"/><Relationship Id="rId82" Type="http://schemas.openxmlformats.org/officeDocument/2006/relationships/chart" Target="charts/chart71.xml"/></Relationships>
</file>

<file path=word/_rels/footnotes.xml.rels><?xml version="1.0" encoding="UTF-8" standalone="yes"?>
<Relationships xmlns="http://schemas.openxmlformats.org/package/2006/relationships"><Relationship Id="rId2" Type="http://schemas.openxmlformats.org/officeDocument/2006/relationships/hyperlink" Target="http://www.nih.gov/" TargetMode="External"/><Relationship Id="rId1" Type="http://schemas.openxmlformats.org/officeDocument/2006/relationships/hyperlink" Target="http://www.nlm.nih.gov/"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MHFILE01\GlobalShared$\SEH%20PID\Trend%20Analysis%20Report\FY14\ADT%20&amp;%20Census\PRISM%20Data%20Tables%20(Trend%20Analysis)%202014-09.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DMHFILE01\GlobalShared$\SEH%20PID\Trend%20Analysis%20Report\FY14\ADT%20&amp;%20Census\PRISM%20Data%20Tables%20(Trend%20Analysis)%202014-09.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MHFILE01\GlobalShared$\SEH%20PID\Trend%20Analysis%20Report\FY14\ADT%20&amp;%20Census\PRISM%20Data%20Tables%20(Trend%20Analysis)%202014-09.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MHFILE01\GlobalShared$\SEH%20PID\Trend%20Analysis%20Report\FY14\ADT%20&amp;%20Census\PRISM%20Data%20Tables%20(Trend%20Analysis)%202014-09%20updated(Transfer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MHFILE01\GlobalShared$\SEH%20PID\Trend%20Analysis%20Report\FY14\ADT%20&amp;%20Census\Leave_Started_during_FY14%20with%20graphs.xlsx"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DMHFILE01\GlobalShared$\SEH%20PID\Trend%20Analysis%20Report\FY14\ADT%20&amp;%20Census\Leave_Started_during_FY14%20with%20graphs.xlsx"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DMHFILE01\GlobalShared$\SEH%20PID\Trend%20Analysis%20Report\FY14\Demographics\FY2014%20Demographic%20Analysi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MHFILE01\GlobalShared$\SEH%20PID\Trend%20Analysis%20Report\FY14\Demographics\FY2014%20Demographic%20Analysis.xlsx" TargetMode="External"/></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DMHFILE01\GlobalShared$\SEH%20PID\Trend%20Analysis%20Report\FY14\Demographics\FY2014%20Demographic%20Analysis.xlsx" TargetMode="External"/></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DMHFILE01\GlobalShared$\SEH%20PID\Trend%20Analysis%20Report\FY14\Demographics\FY2014%20Demographic%20Analysis.xlsx" TargetMode="External"/></Relationships>
</file>

<file path=word/charts/_rels/chart19.xml.rels><?xml version="1.0" encoding="UTF-8" standalone="yes"?>
<Relationships xmlns="http://schemas.openxmlformats.org/package/2006/relationships"><Relationship Id="rId3" Type="http://schemas.openxmlformats.org/officeDocument/2006/relationships/oleObject" Target="file:///\\DMHFILE01\GlobalShared$\SEH%20PID\Trend%20Analysis%20Report\FY14\Demographics\FY2014%20Demographic%20Analysis.xlsx" TargetMode="External"/><Relationship Id="rId2" Type="http://schemas.openxmlformats.org/officeDocument/2006/relationships/image" Target="../media/image4.jpeg"/><Relationship Id="rId1" Type="http://schemas.openxmlformats.org/officeDocument/2006/relationships/image" Target="../media/image3.png"/><Relationship Id="rId4" Type="http://schemas.openxmlformats.org/officeDocument/2006/relationships/chartUserShapes" Target="../drawings/drawing8.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DMHFILE01\GlobalShared$\SEH%20PID\Trend%20Analysis%20Report\FY14\LOS\FY2014%20LOS%20Analysis.xlsx" TargetMode="External"/></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DMHFILE01\GlobalShared$\SEH%20PID\Trend%20Analysis%20Report\FY14\LOS\FY2014%20LOS%20Analysis.xlsx" TargetMode="External"/></Relationships>
</file>

<file path=word/charts/_rels/chart22.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DMHFILE01\GlobalShared$\SEH%20PID\Trend%20Analysis%20Report\FY14\LOS\FY2014%20LOS%20Analysis.xlsx" TargetMode="External"/></Relationships>
</file>

<file path=word/charts/_rels/chart23.xml.rels><?xml version="1.0" encoding="UTF-8" standalone="yes"?>
<Relationships xmlns="http://schemas.openxmlformats.org/package/2006/relationships"><Relationship Id="rId3" Type="http://schemas.openxmlformats.org/officeDocument/2006/relationships/oleObject" Target="file:///\\DMHFILE01\GlobalShared$\SEH%20PID\Trend%20Analysis%20Report\FY14\LOS\FY2014%20LOS%20Analysis.xlsx" TargetMode="External"/><Relationship Id="rId2" Type="http://schemas.openxmlformats.org/officeDocument/2006/relationships/image" Target="../media/image4.jpeg"/><Relationship Id="rId1" Type="http://schemas.openxmlformats.org/officeDocument/2006/relationships/image" Target="../media/image3.png"/></Relationships>
</file>

<file path=word/charts/_rels/chart24.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file:///\\DMHFILE01\GlobalShared$\SEH%20PID\Trend%20Analysis%20Report\FY14\LOS\FY2014%20LOS%20Analysis.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DMHFILE01\GlobalShared$\SEH%20PID\Trend%20Analysis%20Report\FY14\Readmission\FY2014%20Readmission.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DMHFILE01\GlobalShared$\SEH%20PID\Trend%20Analysis%20Report\FY14\Readmission\FY2014%20Readmission.xlsx" TargetMode="External"/></Relationships>
</file>

<file path=word/charts/_rels/chart27.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file:///\\DMHFILE01\GlobalShared$\SEH%20PID\Trend%20Analysis%20Report\FY14\Readmission\FY2014%20Readmission.xlsx" TargetMode="External"/></Relationships>
</file>

<file path=word/charts/_rels/chart28.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oleObject" Target="file:///\\DMHFILE01\GlobalShared$\SEH%20PID\Trend%20Analysis%20Report\FY14\Readmission\FY2014%20Readmission.xlsx" TargetMode="External"/></Relationships>
</file>

<file path=word/charts/_rels/chart29.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oleObject" Target="file:///C:\Users\kimw\Dropbox\SEH\Trend%20Analysis\LOS%20&amp;%20Readmission\FY2013%20Readmission%20(Updated).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2" Type="http://schemas.openxmlformats.org/officeDocument/2006/relationships/chartUserShapes" Target="../drawings/drawing16.xml"/><Relationship Id="rId1" Type="http://schemas.openxmlformats.org/officeDocument/2006/relationships/oleObject" Target="file:///\\DMHFILE01\GlobalShared$\SEH%20PID\Trend%20Analysis%20Report\FY14\Readmission\FY2014%20Readmission.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DMHFILE01\GlobalShared$\SEH%20PID\Trend%20Analysis%20Report\FY14\Diagnosis\Clinical%20Data%20Analysis%20for%2009-30-2014%20Census%20(2-4-15).xlsx" TargetMode="External"/></Relationships>
</file>

<file path=word/charts/_rels/chart32.xml.rels><?xml version="1.0" encoding="UTF-8" standalone="yes"?>
<Relationships xmlns="http://schemas.openxmlformats.org/package/2006/relationships"><Relationship Id="rId2" Type="http://schemas.openxmlformats.org/officeDocument/2006/relationships/oleObject" Target="file:///\\DMHFILE01\GlobalShared$\SEH%20PID\Trend%20Analysis%20Report\FY14\Diagnosis\Clinical%20Data%20Analysis%20for%2009-30-2014%20Census%20(2-4-15).xlsx" TargetMode="External"/><Relationship Id="rId1" Type="http://schemas.openxmlformats.org/officeDocument/2006/relationships/themeOverride" Target="../theme/themeOverride1.xml"/></Relationships>
</file>

<file path=word/charts/_rels/chart33.xml.rels><?xml version="1.0" encoding="UTF-8" standalone="yes"?>
<Relationships xmlns="http://schemas.openxmlformats.org/package/2006/relationships"><Relationship Id="rId2" Type="http://schemas.openxmlformats.org/officeDocument/2006/relationships/oleObject" Target="file:///\\DMHFILE01\GlobalShared$\SEH%20PID\Trend%20Analysis%20Report\FY14\Diagnosis\Clinical%20Data%20Analysis%20for%2009-30-2014%20Census%20(2-4-15).xlsx" TargetMode="External"/><Relationship Id="rId1" Type="http://schemas.openxmlformats.org/officeDocument/2006/relationships/themeOverride" Target="../theme/themeOverride2.xml"/></Relationships>
</file>

<file path=word/charts/_rels/chart34.xml.rels><?xml version="1.0" encoding="UTF-8" standalone="yes"?>
<Relationships xmlns="http://schemas.openxmlformats.org/package/2006/relationships"><Relationship Id="rId2" Type="http://schemas.openxmlformats.org/officeDocument/2006/relationships/oleObject" Target="file:///\\DMHFILE01\GlobalShared$\SEH%20PID\Trend%20Analysis%20Report\FY14\Diagnosis\Clinical%20Data%20Analysis%20for%2009-30-2014%20Census%20(2-4-15).xlsx" TargetMode="External"/><Relationship Id="rId1" Type="http://schemas.openxmlformats.org/officeDocument/2006/relationships/themeOverride" Target="../theme/themeOverride3.xml"/></Relationships>
</file>

<file path=word/charts/_rels/chart35.xml.rels><?xml version="1.0" encoding="UTF-8" standalone="yes"?>
<Relationships xmlns="http://schemas.openxmlformats.org/package/2006/relationships"><Relationship Id="rId2" Type="http://schemas.openxmlformats.org/officeDocument/2006/relationships/chartUserShapes" Target="../drawings/drawing17.xml"/><Relationship Id="rId1" Type="http://schemas.openxmlformats.org/officeDocument/2006/relationships/oleObject" Target="file:///\\DMHFILE01\GlobalShared$\SEH%20PID\Trend%20Analysis%20Report\FY14\Diagnosis\Clinical%20Data%20Analysis%20for%2009-30-2014%20Census%20(2-4-15).xlsx" TargetMode="External"/></Relationships>
</file>

<file path=word/charts/_rels/chart36.xml.rels><?xml version="1.0" encoding="UTF-8" standalone="yes"?>
<Relationships xmlns="http://schemas.openxmlformats.org/package/2006/relationships"><Relationship Id="rId2" Type="http://schemas.openxmlformats.org/officeDocument/2006/relationships/chartUserShapes" Target="../drawings/drawing18.xml"/><Relationship Id="rId1" Type="http://schemas.openxmlformats.org/officeDocument/2006/relationships/oleObject" Target="file:///\\DMHFILE01\GlobalShared$\SEH%20PID\Trend%20Analysis%20Report\FY14\Diagnosis\Clinical%20Data%20Analysis%20for%2009-30-2014%20Census%20(12-31-14).xlsx" TargetMode="External"/></Relationships>
</file>

<file path=word/charts/_rels/chart37.xml.rels><?xml version="1.0" encoding="UTF-8" standalone="yes"?>
<Relationships xmlns="http://schemas.openxmlformats.org/package/2006/relationships"><Relationship Id="rId2" Type="http://schemas.openxmlformats.org/officeDocument/2006/relationships/oleObject" Target="file:///\\DMHFILE01\GlobalShared$\SEH%20PID\Trend%20Analysis%20Report\FY14\Diagnosis\Clinical%20Data%20Analysis%20for%2009-30-2014%20Census%20(2-4-15).xlsx" TargetMode="External"/><Relationship Id="rId1" Type="http://schemas.openxmlformats.org/officeDocument/2006/relationships/themeOverride" Target="../theme/themeOverride4.xml"/></Relationships>
</file>

<file path=word/charts/_rels/chart38.xml.rels><?xml version="1.0" encoding="UTF-8" standalone="yes"?>
<Relationships xmlns="http://schemas.openxmlformats.org/package/2006/relationships"><Relationship Id="rId2" Type="http://schemas.openxmlformats.org/officeDocument/2006/relationships/chartUserShapes" Target="../drawings/drawing19.xml"/><Relationship Id="rId1" Type="http://schemas.openxmlformats.org/officeDocument/2006/relationships/oleObject" Target="file:///\\DMHFILE01\GlobalShared$\SEH%20PID\Trend%20Analysis%20Report\FY14\Diagnosis\Clinical%20Data%20Analysis%20for%2009-30-2014%20Census%20(2-2-15).xlsx" TargetMode="External"/></Relationships>
</file>

<file path=word/charts/_rels/chart39.xml.rels><?xml version="1.0" encoding="UTF-8" standalone="yes"?>
<Relationships xmlns="http://schemas.openxmlformats.org/package/2006/relationships"><Relationship Id="rId2" Type="http://schemas.openxmlformats.org/officeDocument/2006/relationships/chartUserShapes" Target="../drawings/drawing20.xml"/><Relationship Id="rId1" Type="http://schemas.openxmlformats.org/officeDocument/2006/relationships/oleObject" Target="file:///\\DMHFILE01\GlobalShared$\SEH%20PID\Ad-hoc%20Data%20Request\BMI%20and%20Obesity\FY14\Weight%20Gain%20and%20Obesity%20Analysis%20for%20FY14%20Admissions.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MHFILE01\GlobalShared$\SEH%20PID\Trend%20Analysis%20Report\FY14\ADT%20&amp;%20Census\PRISM%20Data%20Tables%20(Trend%20Analysis)%202014-09.xlsx" TargetMode="External"/></Relationships>
</file>

<file path=word/charts/_rels/chart40.xml.rels><?xml version="1.0" encoding="UTF-8" standalone="yes"?>
<Relationships xmlns="http://schemas.openxmlformats.org/package/2006/relationships"><Relationship Id="rId2" Type="http://schemas.openxmlformats.org/officeDocument/2006/relationships/chartUserShapes" Target="../drawings/drawing21.xml"/><Relationship Id="rId1" Type="http://schemas.openxmlformats.org/officeDocument/2006/relationships/oleObject" Target="file:///\\DMHFILE01\GlobalShared$\SEH%20PID\Ad-hoc%20Data%20Request\BMI%20and%20Obesity\FY14\Weight%20Gain%20and%20Obesity%20Analysis%20for%20FY14%20Admissions.xlsx" TargetMode="External"/></Relationships>
</file>

<file path=word/charts/_rels/chart41.xml.rels><?xml version="1.0" encoding="UTF-8" standalone="yes"?>
<Relationships xmlns="http://schemas.openxmlformats.org/package/2006/relationships"><Relationship Id="rId2" Type="http://schemas.openxmlformats.org/officeDocument/2006/relationships/chartUserShapes" Target="../drawings/drawing22.xml"/><Relationship Id="rId1" Type="http://schemas.openxmlformats.org/officeDocument/2006/relationships/oleObject" Target="file:///\\DMHFILE01\GlobalShared$\SEH%20PID\Ad-hoc%20Data%20Request\BMI%20and%20Obesity\FY14\Weight%20Gain%20and%20Obesity%20Analysis%20for%20FY14%20Admissions.xlsx" TargetMode="External"/></Relationships>
</file>

<file path=word/charts/_rels/chart42.xml.rels><?xml version="1.0" encoding="UTF-8" standalone="yes"?>
<Relationships xmlns="http://schemas.openxmlformats.org/package/2006/relationships"><Relationship Id="rId2" Type="http://schemas.openxmlformats.org/officeDocument/2006/relationships/chartUserShapes" Target="../drawings/drawing23.xml"/><Relationship Id="rId1" Type="http://schemas.openxmlformats.org/officeDocument/2006/relationships/oleObject" Target="file:///\\DMHFILE01\GlobalShared$\SEH%20PID\UIDB\UI%202014\Analysis\UI%20Summary%20for%20FY14%20(as%20of%2002-08-15).xlsx" TargetMode="External"/></Relationships>
</file>

<file path=word/charts/_rels/chart43.xml.rels><?xml version="1.0" encoding="UTF-8" standalone="yes"?>
<Relationships xmlns="http://schemas.openxmlformats.org/package/2006/relationships"><Relationship Id="rId2" Type="http://schemas.openxmlformats.org/officeDocument/2006/relationships/chartUserShapes" Target="../drawings/drawing24.xml"/><Relationship Id="rId1" Type="http://schemas.openxmlformats.org/officeDocument/2006/relationships/oleObject" Target="file:///\\DMHFILE01\GlobalShared$\SEH%20PID\UIDB\UI%202014\Analysis\UI%20Summary%20for%20FY14%20(as%20of%2002-08-15).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DMHFILE01\GlobalShared$\SEH%20PID\Trend%20Analysis%20Report\FY14\Unusual%20Incidents\UI%20Summary%20Trend%20FY14%20(as%20of%2002-08-15).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DMHFILE01\GlobalShared$\SEH%20PID\UIDB\UI%202014\Analysis\UI%20Summary%20for%20FY14%20(as%20of%2002-08-15).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DMHFILE01\GlobalShared$\SEH%20PID\Trend%20Analysis%20Report\FY14\Unusual%20Incidents\UI%20Summary%20Trend%20FY14%20(as%20of%2002-28-15).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DMHFILE01\GlobalShared$\SEH%20PID\Trend%20Analysis%20Report\FY14\Unusual%20Incidents\UI%20Summary%20Trend%20FY14%20(as%20of%2002-28-15).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C:\Users\kimw\Dropbox\SEH\FY14%20Trend%20Analysis\Unusual%20Incidents\UI%20Summary%20Trend%20FY14%20(as%20of%2002-08-15).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C:\Users\kimw\Dropbox\SEH\FY14%20Trend%20Analysis\Unusual%20Incidents\UI%20Summary%20Trend%20FY14%20(as%20of%2002-08-15).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0.xml.rels><?xml version="1.0" encoding="UTF-8" standalone="yes"?>
<Relationships xmlns="http://schemas.openxmlformats.org/package/2006/relationships"><Relationship Id="rId1" Type="http://schemas.openxmlformats.org/officeDocument/2006/relationships/oleObject" Target="file:///C:\Users\kimw\Dropbox\SEH\FY14%20Trend%20Analysis\Unusual%20Incidents\UI%20Summary%20Trend%20FY14%20(as%20of%2002-08-15).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C:\Users\kimw\Dropbox\SEH\FY14%20Trend%20Analysis\Unusual%20Incidents\UI%20Summary%20Trend%20FY14%20(as%20of%2002-08-15).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DMHFILE01\GlobalShared$\SEH%20PID\Trend%20Analysis%20Report\FY14\Unusual%20Incidents\UI%20Summary%20Trend%20FY14%20(as%20of%2002-08-15).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DMHFILE01\GlobalShared$\SEH%20PID\UIDB\UI%202014\Analysis\UI%20Summary%20for%20FY14%20(as%20of%2002-08-15).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DMHFILE01\GlobalShared$\SEH%20PID\Trend%20Analysis%20Report\FY14\Unusual%20Incidents\UI%20Summary%20Trend%20FY14%20(as%20of%2002-08-15).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DMHFILE01\GlobalShared$\SEH%20PID\UIDB\UI%202014\Analysis\UI%20Summary%20for%20FY14%20(as%20of%2002-08-15).xlsx" TargetMode="External"/></Relationships>
</file>

<file path=word/charts/_rels/chart56.xml.rels><?xml version="1.0" encoding="UTF-8" standalone="yes"?>
<Relationships xmlns="http://schemas.openxmlformats.org/package/2006/relationships"><Relationship Id="rId2" Type="http://schemas.openxmlformats.org/officeDocument/2006/relationships/chartUserShapes" Target="../drawings/drawing25.xml"/><Relationship Id="rId1" Type="http://schemas.openxmlformats.org/officeDocument/2006/relationships/oleObject" Target="file:///\\DMHFILE01\GlobalShared$\SEH%20PID\Trend%20Analysis%20Report\FY14\Unusual%20Incidents\UI%20Summary%20Trend%20FY14%20(as%20of%2002-08-15).xlsx" TargetMode="External"/></Relationships>
</file>

<file path=word/charts/_rels/chart57.xml.rels><?xml version="1.0" encoding="UTF-8" standalone="yes"?>
<Relationships xmlns="http://schemas.openxmlformats.org/package/2006/relationships"><Relationship Id="rId2" Type="http://schemas.openxmlformats.org/officeDocument/2006/relationships/chartUserShapes" Target="../drawings/drawing26.xml"/><Relationship Id="rId1" Type="http://schemas.openxmlformats.org/officeDocument/2006/relationships/oleObject" Target="file:///C:\Users\kimw\Dropbox\SEH\FY14%20Trend%20Analysis\Unusual%20Incidents\UI%20Summary%20Trend%20FY14%20(as%20of%2002-08-15).xlsx" TargetMode="External"/></Relationships>
</file>

<file path=word/charts/_rels/chart58.xml.rels><?xml version="1.0" encoding="UTF-8" standalone="yes"?>
<Relationships xmlns="http://schemas.openxmlformats.org/package/2006/relationships"><Relationship Id="rId2" Type="http://schemas.openxmlformats.org/officeDocument/2006/relationships/chartUserShapes" Target="../drawings/drawing27.xml"/><Relationship Id="rId1" Type="http://schemas.openxmlformats.org/officeDocument/2006/relationships/oleObject" Target="file:///C:\Users\kimw\Dropbox\SEH\FY14%20Trend%20Analysis\Unusual%20Incidents\UI%20Summary%20Trend%20FY14%20(as%20of%2002-08-15).xlsx" TargetMode="External"/></Relationships>
</file>

<file path=word/charts/_rels/chart59.xml.rels><?xml version="1.0" encoding="UTF-8" standalone="yes"?>
<Relationships xmlns="http://schemas.openxmlformats.org/package/2006/relationships"><Relationship Id="rId1" Type="http://schemas.openxmlformats.org/officeDocument/2006/relationships/oleObject" Target="file:///C:\Users\kimw\Dropbox\SEH\FY14%20Trend%20Analysis\Unusual%20Incidents\UI%20Summary%20Trend%20FY14%20(as%20of%2002-08-15).xlsx"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0.xml.rels><?xml version="1.0" encoding="UTF-8" standalone="yes"?>
<Relationships xmlns="http://schemas.openxmlformats.org/package/2006/relationships"><Relationship Id="rId1" Type="http://schemas.openxmlformats.org/officeDocument/2006/relationships/oleObject" Target="file:///C:\Users\kimw\Dropbox\SEH\FY14%20Trend%20Analysis\Unusual%20Incidents\UI%20Summary%20Trend%20FY14%20(as%20of%2002-08-15).xlsx" TargetMode="External"/></Relationships>
</file>

<file path=word/charts/_rels/chart61.xml.rels><?xml version="1.0" encoding="UTF-8" standalone="yes"?>
<Relationships xmlns="http://schemas.openxmlformats.org/package/2006/relationships"><Relationship Id="rId2" Type="http://schemas.openxmlformats.org/officeDocument/2006/relationships/chartUserShapes" Target="../drawings/drawing28.xml"/><Relationship Id="rId1" Type="http://schemas.openxmlformats.org/officeDocument/2006/relationships/oleObject" Target="file:///C:\Users\kimw\Dropbox\SEH\FY14%20Trend%20Analysis\Unusual%20Incidents\UI%20Summary%20Trend%20FY14%20(as%20of%2002-08-15).xlsx" TargetMode="External"/></Relationships>
</file>

<file path=word/charts/_rels/chart62.xml.rels><?xml version="1.0" encoding="UTF-8" standalone="yes"?>
<Relationships xmlns="http://schemas.openxmlformats.org/package/2006/relationships"><Relationship Id="rId1" Type="http://schemas.openxmlformats.org/officeDocument/2006/relationships/oleObject" Target="file:///C:\Users\kimw\Dropbox\SEH\FY14%20Trend%20Analysis\Unusual%20Incidents\UI%20Summary%20Trend%20FY14%20(as%20of%2002-08-15).xlsx" TargetMode="External"/></Relationships>
</file>

<file path=word/charts/_rels/chart63.xml.rels><?xml version="1.0" encoding="UTF-8" standalone="yes"?>
<Relationships xmlns="http://schemas.openxmlformats.org/package/2006/relationships"><Relationship Id="rId1" Type="http://schemas.openxmlformats.org/officeDocument/2006/relationships/oleObject" Target="file:///C:\Users\kimw\Dropbox\SEH\FY14%20Trend%20Analysis\Unusual%20Incidents\UI%20Summary%20Trend%20FY14%20(as%20of%2002-08-15).xlsx" TargetMode="External"/></Relationships>
</file>

<file path=word/charts/_rels/chart64.xml.rels><?xml version="1.0" encoding="UTF-8" standalone="yes"?>
<Relationships xmlns="http://schemas.openxmlformats.org/package/2006/relationships"><Relationship Id="rId2" Type="http://schemas.openxmlformats.org/officeDocument/2006/relationships/chartUserShapes" Target="../drawings/drawing29.xml"/><Relationship Id="rId1" Type="http://schemas.openxmlformats.org/officeDocument/2006/relationships/oleObject" Target="file:///\\DMHFILE01\GlobalShared$\SEH%20PID\UIDB\UI%202014\Analysis\UI%20Summary%20for%20FY14%20(as%20of%2002-08-15).xlsx" TargetMode="External"/></Relationships>
</file>

<file path=word/charts/_rels/chart65.xml.rels><?xml version="1.0" encoding="UTF-8" standalone="yes"?>
<Relationships xmlns="http://schemas.openxmlformats.org/package/2006/relationships"><Relationship Id="rId1" Type="http://schemas.openxmlformats.org/officeDocument/2006/relationships/oleObject" Target="file:///\\DMHFILE01\GlobalShared$\SEH%20PID\UIDB\UI%202014\Analysis\UI%20Summary%20for%20FY14%20(as%20of%2002-08-15).xlsx" TargetMode="External"/></Relationships>
</file>

<file path=word/charts/_rels/chart66.xml.rels><?xml version="1.0" encoding="UTF-8" standalone="yes"?>
<Relationships xmlns="http://schemas.openxmlformats.org/package/2006/relationships"><Relationship Id="rId1" Type="http://schemas.openxmlformats.org/officeDocument/2006/relationships/oleObject" Target="file:///\\DMHFILE01\GlobalShared$\SEH%20PID\Trend%20Analysis%20Report\FY14\Unusual%20Incidents\UI%20Summary%20Trend%20FY14%20(as%20of%2002-08-15).xlsx" TargetMode="External"/></Relationships>
</file>

<file path=word/charts/_rels/chart67.xml.rels><?xml version="1.0" encoding="UTF-8" standalone="yes"?>
<Relationships xmlns="http://schemas.openxmlformats.org/package/2006/relationships"><Relationship Id="rId1" Type="http://schemas.openxmlformats.org/officeDocument/2006/relationships/oleObject" Target="file:///C:\Users\kimw\Dropbox\SEH\FY14%20Trend%20Analysis\Unusual%20Incidents\UI%20Summary%20Trend%20FY14%20(as%20of%2002-08-15).xlsx" TargetMode="External"/></Relationships>
</file>

<file path=word/charts/_rels/chart68.xml.rels><?xml version="1.0" encoding="UTF-8" standalone="yes"?>
<Relationships xmlns="http://schemas.openxmlformats.org/package/2006/relationships"><Relationship Id="rId3" Type="http://schemas.openxmlformats.org/officeDocument/2006/relationships/chartUserShapes" Target="../drawings/drawing30.xml"/><Relationship Id="rId2" Type="http://schemas.openxmlformats.org/officeDocument/2006/relationships/oleObject" Target="file:///\\DMHFILE01\GlobalShared$\SEH%20PID\Trend%20Analysis%20Report\FY14\Unusual%20Incidents\UI%20Summary%20Trend%20FY14%20(as%20of%2002-08-15).xlsx" TargetMode="External"/><Relationship Id="rId1" Type="http://schemas.openxmlformats.org/officeDocument/2006/relationships/themeOverride" Target="../theme/themeOverride5.xml"/></Relationships>
</file>

<file path=word/charts/_rels/chart69.xml.rels><?xml version="1.0" encoding="UTF-8" standalone="yes"?>
<Relationships xmlns="http://schemas.openxmlformats.org/package/2006/relationships"><Relationship Id="rId1" Type="http://schemas.openxmlformats.org/officeDocument/2006/relationships/oleObject" Target="file:///\\DMHFILE01\GlobalShared$\SEH%20PID\UIDB\UI%202014\Analysis\UI%20Summary%20for%20FY14%20(as%20of%2002-08-15).xlsx"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0.xml.rels><?xml version="1.0" encoding="UTF-8" standalone="yes"?>
<Relationships xmlns="http://schemas.openxmlformats.org/package/2006/relationships"><Relationship Id="rId1" Type="http://schemas.openxmlformats.org/officeDocument/2006/relationships/oleObject" Target="file:///\\DMHFILE01\GlobalShared$\SEH%20PID\UIDB\UI%202014\Analysis\UI%20Summary%20for%20FY14%20(as%20of%2002-08-15).xlsx" TargetMode="External"/></Relationships>
</file>

<file path=word/charts/_rels/chart71.xml.rels><?xml version="1.0" encoding="UTF-8" standalone="yes"?>
<Relationships xmlns="http://schemas.openxmlformats.org/package/2006/relationships"><Relationship Id="rId2" Type="http://schemas.openxmlformats.org/officeDocument/2006/relationships/chartUserShapes" Target="../drawings/drawing31.xml"/><Relationship Id="rId1" Type="http://schemas.openxmlformats.org/officeDocument/2006/relationships/oleObject" Target="file:///\\DMHFILE01\GlobalShared$\SEH%20PID\UIDB\UI%202014\Analysis\UI%20Summary%20for%20FY14%20(as%20of%2002-08-15).xlsx" TargetMode="External"/></Relationships>
</file>

<file path=word/charts/_rels/chart72.xml.rels><?xml version="1.0" encoding="UTF-8" standalone="yes"?>
<Relationships xmlns="http://schemas.openxmlformats.org/package/2006/relationships"><Relationship Id="rId2" Type="http://schemas.openxmlformats.org/officeDocument/2006/relationships/chartUserShapes" Target="../drawings/drawing32.xml"/><Relationship Id="rId1" Type="http://schemas.openxmlformats.org/officeDocument/2006/relationships/oleObject" Target="file:///\\DMHFILE01\GlobalShared$\SEH%20PID\UIDB\UI%202014\Analysis\UI%20Summary%20for%20FY14%20(as%20of%2002-08-15).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MHFILE01\GlobalShared$\SEH%20PID\Trend%20Analysis%20Report\FY14\ADT%20&amp;%20Census\PRISM%20Data%20Tables%20(Trend%20Analysis)%202014-09.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MHFILE01\GlobalShared$\SEH%20PID\Trend%20Analysis%20Report\FY14\ADT%20&amp;%20Census\PRISM%20Data%20Tables%20(Trend%20Analysis)%202014-0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669559015473784E-2"/>
          <c:y val="9.8837976844942194E-2"/>
          <c:w val="0.91028879322900957"/>
          <c:h val="0.70747606020591691"/>
        </c:manualLayout>
      </c:layout>
      <c:lineChart>
        <c:grouping val="standard"/>
        <c:varyColors val="0"/>
        <c:ser>
          <c:idx val="0"/>
          <c:order val="0"/>
          <c:tx>
            <c:strRef>
              <c:f>'Data for Panel Chart 1'!$C$5</c:f>
              <c:strCache>
                <c:ptCount val="1"/>
                <c:pt idx="0">
                  <c:v>Line 1</c:v>
                </c:pt>
              </c:strCache>
            </c:strRef>
          </c:tx>
          <c:spPr>
            <a:ln w="38100">
              <a:solidFill>
                <a:srgbClr val="008000"/>
              </a:solidFill>
              <a:prstDash val="solid"/>
            </a:ln>
          </c:spPr>
          <c:marker>
            <c:symbol val="none"/>
          </c:marker>
          <c:dLbls>
            <c:dLbl>
              <c:idx val="11"/>
              <c:layout>
                <c:manualLayout>
                  <c:x val="-3.1823980810390153E-2"/>
                  <c:y val="-1.9095900816793326E-2"/>
                </c:manualLayout>
              </c:layout>
              <c:showLegendKey val="0"/>
              <c:showVal val="1"/>
              <c:showCatName val="0"/>
              <c:showSerName val="0"/>
              <c:showPercent val="0"/>
              <c:showBubbleSize val="0"/>
            </c:dLbl>
            <c:dLbl>
              <c:idx val="35"/>
              <c:layout>
                <c:manualLayout>
                  <c:x val="-3.5801978411688924E-2"/>
                  <c:y val="-2.2915080980151992E-2"/>
                </c:manualLayout>
              </c:layout>
              <c:showLegendKey val="0"/>
              <c:showVal val="1"/>
              <c:showCatName val="0"/>
              <c:showSerName val="0"/>
              <c:showPercent val="0"/>
              <c:showBubbleSize val="0"/>
            </c:dLbl>
            <c:dLbl>
              <c:idx val="59"/>
              <c:layout>
                <c:manualLayout>
                  <c:x val="-3.3812979611039538E-2"/>
                  <c:y val="1.9095900816793257E-2"/>
                </c:manualLayout>
              </c:layout>
              <c:showLegendKey val="0"/>
              <c:showVal val="1"/>
              <c:showCatName val="0"/>
              <c:showSerName val="0"/>
              <c:showPercent val="0"/>
              <c:showBubbleSize val="0"/>
            </c:dLbl>
            <c:dLbl>
              <c:idx val="83"/>
              <c:showLegendKey val="0"/>
              <c:showVal val="1"/>
              <c:showCatName val="0"/>
              <c:showSerName val="0"/>
              <c:showPercent val="0"/>
              <c:showBubbleSize val="0"/>
            </c:dLbl>
            <c:txPr>
              <a:bodyPr/>
              <a:lstStyle/>
              <a:p>
                <a:pPr>
                  <a:defRPr sz="1200">
                    <a:solidFill>
                      <a:srgbClr val="006600"/>
                    </a:solidFill>
                    <a:effectLst>
                      <a:glow rad="101600">
                        <a:srgbClr val="9BBB59">
                          <a:satMod val="175000"/>
                          <a:alpha val="60000"/>
                        </a:srgbClr>
                      </a:glow>
                    </a:effectLst>
                  </a:defRPr>
                </a:pPr>
                <a:endParaRPr lang="en-US"/>
              </a:p>
            </c:txPr>
            <c:showLegendKey val="0"/>
            <c:showVal val="0"/>
            <c:showCatName val="0"/>
            <c:showSerName val="0"/>
            <c:showPercent val="0"/>
            <c:showBubbleSize val="0"/>
          </c:dLbls>
          <c:cat>
            <c:multiLvlStrRef>
              <c:f>'Data for Panel Chart 1'!$A$6:$B$89</c:f>
              <c:multiLvlStrCache>
                <c:ptCount val="84"/>
                <c:lvl>
                  <c:pt idx="0">
                    <c:v>Oct</c:v>
                  </c:pt>
                  <c:pt idx="1">
                    <c:v>Nov</c:v>
                  </c:pt>
                  <c:pt idx="2">
                    <c:v>Dec</c:v>
                  </c:pt>
                  <c:pt idx="3">
                    <c:v>Jan</c:v>
                  </c:pt>
                  <c:pt idx="4">
                    <c:v>Feb</c:v>
                  </c:pt>
                  <c:pt idx="5">
                    <c:v>Mar</c:v>
                  </c:pt>
                  <c:pt idx="6">
                    <c:v>Apr</c:v>
                  </c:pt>
                  <c:pt idx="7">
                    <c:v>May</c:v>
                  </c:pt>
                  <c:pt idx="8">
                    <c:v>Jun</c:v>
                  </c:pt>
                  <c:pt idx="9">
                    <c:v>Jul</c:v>
                  </c:pt>
                  <c:pt idx="10">
                    <c:v>Aug</c:v>
                  </c:pt>
                  <c:pt idx="11">
                    <c:v>Sep</c:v>
                  </c:pt>
                  <c:pt idx="12">
                    <c:v>Oct</c:v>
                  </c:pt>
                  <c:pt idx="13">
                    <c:v>Nov</c:v>
                  </c:pt>
                  <c:pt idx="14">
                    <c:v>Dec</c:v>
                  </c:pt>
                  <c:pt idx="15">
                    <c:v>Jan</c:v>
                  </c:pt>
                  <c:pt idx="16">
                    <c:v>Feb</c:v>
                  </c:pt>
                  <c:pt idx="17">
                    <c:v>Mar</c:v>
                  </c:pt>
                  <c:pt idx="18">
                    <c:v>Apr</c:v>
                  </c:pt>
                  <c:pt idx="19">
                    <c:v>May</c:v>
                  </c:pt>
                  <c:pt idx="20">
                    <c:v>Jun</c:v>
                  </c:pt>
                  <c:pt idx="21">
                    <c:v>Jul</c:v>
                  </c:pt>
                  <c:pt idx="22">
                    <c:v>Aug</c:v>
                  </c:pt>
                  <c:pt idx="23">
                    <c:v>Sep</c:v>
                  </c:pt>
                  <c:pt idx="24">
                    <c:v>Oct</c:v>
                  </c:pt>
                  <c:pt idx="25">
                    <c:v>Nov</c:v>
                  </c:pt>
                  <c:pt idx="26">
                    <c:v>Dec</c:v>
                  </c:pt>
                  <c:pt idx="27">
                    <c:v>Jan</c:v>
                  </c:pt>
                  <c:pt idx="28">
                    <c:v>Feb</c:v>
                  </c:pt>
                  <c:pt idx="29">
                    <c:v>Mar</c:v>
                  </c:pt>
                  <c:pt idx="30">
                    <c:v>Apr</c:v>
                  </c:pt>
                  <c:pt idx="31">
                    <c:v>May</c:v>
                  </c:pt>
                  <c:pt idx="32">
                    <c:v>Jun</c:v>
                  </c:pt>
                  <c:pt idx="33">
                    <c:v>Jul</c:v>
                  </c:pt>
                  <c:pt idx="34">
                    <c:v>Aug</c:v>
                  </c:pt>
                  <c:pt idx="35">
                    <c:v>Sep</c:v>
                  </c:pt>
                  <c:pt idx="36">
                    <c:v>Oct</c:v>
                  </c:pt>
                  <c:pt idx="37">
                    <c:v>Nov</c:v>
                  </c:pt>
                  <c:pt idx="38">
                    <c:v>Dec</c:v>
                  </c:pt>
                  <c:pt idx="39">
                    <c:v>Jan</c:v>
                  </c:pt>
                  <c:pt idx="40">
                    <c:v>Feb</c:v>
                  </c:pt>
                  <c:pt idx="41">
                    <c:v>Mar</c:v>
                  </c:pt>
                  <c:pt idx="42">
                    <c:v>Apr</c:v>
                  </c:pt>
                  <c:pt idx="43">
                    <c:v>May</c:v>
                  </c:pt>
                  <c:pt idx="44">
                    <c:v>Jun</c:v>
                  </c:pt>
                  <c:pt idx="45">
                    <c:v>Jul</c:v>
                  </c:pt>
                  <c:pt idx="46">
                    <c:v>Aug</c:v>
                  </c:pt>
                  <c:pt idx="47">
                    <c:v>Sep</c:v>
                  </c:pt>
                  <c:pt idx="48">
                    <c:v>Oct</c:v>
                  </c:pt>
                  <c:pt idx="49">
                    <c:v>Nov</c:v>
                  </c:pt>
                  <c:pt idx="50">
                    <c:v>Dec</c:v>
                  </c:pt>
                  <c:pt idx="51">
                    <c:v>Jan</c:v>
                  </c:pt>
                  <c:pt idx="52">
                    <c:v>Feb</c:v>
                  </c:pt>
                  <c:pt idx="53">
                    <c:v>Mar</c:v>
                  </c:pt>
                  <c:pt idx="54">
                    <c:v>Apr</c:v>
                  </c:pt>
                  <c:pt idx="55">
                    <c:v>May</c:v>
                  </c:pt>
                  <c:pt idx="56">
                    <c:v>Jun</c:v>
                  </c:pt>
                  <c:pt idx="57">
                    <c:v>Jul</c:v>
                  </c:pt>
                  <c:pt idx="58">
                    <c:v>Aug</c:v>
                  </c:pt>
                  <c:pt idx="59">
                    <c:v>Sep</c:v>
                  </c:pt>
                  <c:pt idx="60">
                    <c:v>Oct</c:v>
                  </c:pt>
                  <c:pt idx="61">
                    <c:v>Nov</c:v>
                  </c:pt>
                  <c:pt idx="62">
                    <c:v>Dec</c:v>
                  </c:pt>
                  <c:pt idx="63">
                    <c:v>Jan</c:v>
                  </c:pt>
                  <c:pt idx="64">
                    <c:v>Feb</c:v>
                  </c:pt>
                  <c:pt idx="65">
                    <c:v>Mar</c:v>
                  </c:pt>
                  <c:pt idx="66">
                    <c:v>Apr</c:v>
                  </c:pt>
                  <c:pt idx="67">
                    <c:v>May</c:v>
                  </c:pt>
                  <c:pt idx="68">
                    <c:v>Jun</c:v>
                  </c:pt>
                  <c:pt idx="69">
                    <c:v>Jul</c:v>
                  </c:pt>
                  <c:pt idx="70">
                    <c:v>Aug</c:v>
                  </c:pt>
                  <c:pt idx="71">
                    <c:v>Sep</c:v>
                  </c:pt>
                  <c:pt idx="72">
                    <c:v>Oct</c:v>
                  </c:pt>
                  <c:pt idx="73">
                    <c:v>Nov</c:v>
                  </c:pt>
                  <c:pt idx="74">
                    <c:v>Dec</c:v>
                  </c:pt>
                  <c:pt idx="75">
                    <c:v>Jan</c:v>
                  </c:pt>
                  <c:pt idx="76">
                    <c:v>Feb</c:v>
                  </c:pt>
                  <c:pt idx="77">
                    <c:v>Mar</c:v>
                  </c:pt>
                  <c:pt idx="78">
                    <c:v>Apr</c:v>
                  </c:pt>
                  <c:pt idx="79">
                    <c:v>May</c:v>
                  </c:pt>
                  <c:pt idx="80">
                    <c:v>Jun</c:v>
                  </c:pt>
                  <c:pt idx="81">
                    <c:v>Jul</c:v>
                  </c:pt>
                  <c:pt idx="82">
                    <c:v>Aug</c:v>
                  </c:pt>
                  <c:pt idx="83">
                    <c:v>Sep</c:v>
                  </c:pt>
                </c:lvl>
                <c:lvl>
                  <c:pt idx="0">
                    <c:v>FY08</c:v>
                  </c:pt>
                  <c:pt idx="12">
                    <c:v>FY09</c:v>
                  </c:pt>
                  <c:pt idx="24">
                    <c:v>FY10</c:v>
                  </c:pt>
                  <c:pt idx="36">
                    <c:v>FY11</c:v>
                  </c:pt>
                  <c:pt idx="48">
                    <c:v>FY12</c:v>
                  </c:pt>
                  <c:pt idx="60">
                    <c:v>FY13</c:v>
                  </c:pt>
                  <c:pt idx="72">
                    <c:v>FY14</c:v>
                  </c:pt>
                </c:lvl>
              </c:multiLvlStrCache>
            </c:multiLvlStrRef>
          </c:cat>
          <c:val>
            <c:numRef>
              <c:f>'Data for Panel Chart 1'!$C$6:$C$89</c:f>
              <c:numCache>
                <c:formatCode>0</c:formatCode>
                <c:ptCount val="84"/>
                <c:pt idx="0">
                  <c:v>413</c:v>
                </c:pt>
                <c:pt idx="1">
                  <c:v>420</c:v>
                </c:pt>
                <c:pt idx="2">
                  <c:v>422</c:v>
                </c:pt>
                <c:pt idx="3">
                  <c:v>419</c:v>
                </c:pt>
                <c:pt idx="4">
                  <c:v>401</c:v>
                </c:pt>
                <c:pt idx="5">
                  <c:v>396</c:v>
                </c:pt>
                <c:pt idx="6">
                  <c:v>396</c:v>
                </c:pt>
                <c:pt idx="7">
                  <c:v>411</c:v>
                </c:pt>
                <c:pt idx="8">
                  <c:v>403</c:v>
                </c:pt>
                <c:pt idx="9">
                  <c:v>397</c:v>
                </c:pt>
                <c:pt idx="10">
                  <c:v>402</c:v>
                </c:pt>
                <c:pt idx="11">
                  <c:v>409</c:v>
                </c:pt>
                <c:pt idx="24">
                  <c:v>349</c:v>
                </c:pt>
                <c:pt idx="25">
                  <c:v>341.70000000000005</c:v>
                </c:pt>
                <c:pt idx="26">
                  <c:v>337.16129032258061</c:v>
                </c:pt>
                <c:pt idx="27">
                  <c:v>331.9677419354839</c:v>
                </c:pt>
                <c:pt idx="28">
                  <c:v>332.71428571428572</c:v>
                </c:pt>
                <c:pt idx="29">
                  <c:v>329.67741935483872</c:v>
                </c:pt>
                <c:pt idx="30">
                  <c:v>320.9666666666667</c:v>
                </c:pt>
                <c:pt idx="31">
                  <c:v>312.64516129032262</c:v>
                </c:pt>
                <c:pt idx="32">
                  <c:v>315.83333333333337</c:v>
                </c:pt>
                <c:pt idx="33">
                  <c:v>319.38709677419354</c:v>
                </c:pt>
                <c:pt idx="34">
                  <c:v>317.12903225806457</c:v>
                </c:pt>
                <c:pt idx="35">
                  <c:v>313.03333333333336</c:v>
                </c:pt>
                <c:pt idx="48">
                  <c:v>281.61290322580646</c:v>
                </c:pt>
                <c:pt idx="49">
                  <c:v>286.06666666666666</c:v>
                </c:pt>
                <c:pt idx="50">
                  <c:v>279.25806451612902</c:v>
                </c:pt>
                <c:pt idx="51">
                  <c:v>274.70967741935482</c:v>
                </c:pt>
                <c:pt idx="52">
                  <c:v>268.65517241379308</c:v>
                </c:pt>
                <c:pt idx="53">
                  <c:v>273</c:v>
                </c:pt>
                <c:pt idx="54">
                  <c:v>264.63333333333333</c:v>
                </c:pt>
                <c:pt idx="55">
                  <c:v>271.22580645161293</c:v>
                </c:pt>
                <c:pt idx="56">
                  <c:v>278.06666666666666</c:v>
                </c:pt>
                <c:pt idx="57">
                  <c:v>282.38709677419354</c:v>
                </c:pt>
                <c:pt idx="58">
                  <c:v>275.61290322580646</c:v>
                </c:pt>
                <c:pt idx="59">
                  <c:v>273.26666666666665</c:v>
                </c:pt>
                <c:pt idx="72">
                  <c:v>266.32258064516128</c:v>
                </c:pt>
                <c:pt idx="73">
                  <c:v>259.9666666666667</c:v>
                </c:pt>
                <c:pt idx="74">
                  <c:v>257.73225806451609</c:v>
                </c:pt>
                <c:pt idx="75">
                  <c:v>274.17419354838705</c:v>
                </c:pt>
                <c:pt idx="76">
                  <c:v>272.35714285714283</c:v>
                </c:pt>
                <c:pt idx="77">
                  <c:v>265.77419354838707</c:v>
                </c:pt>
                <c:pt idx="78">
                  <c:v>263.63333333333333</c:v>
                </c:pt>
                <c:pt idx="79">
                  <c:v>267.58064516129031</c:v>
                </c:pt>
                <c:pt idx="80">
                  <c:v>269.7</c:v>
                </c:pt>
                <c:pt idx="81">
                  <c:v>264.77419354838707</c:v>
                </c:pt>
                <c:pt idx="82">
                  <c:v>271</c:v>
                </c:pt>
                <c:pt idx="83">
                  <c:v>283</c:v>
                </c:pt>
              </c:numCache>
            </c:numRef>
          </c:val>
          <c:smooth val="1"/>
        </c:ser>
        <c:ser>
          <c:idx val="1"/>
          <c:order val="1"/>
          <c:tx>
            <c:strRef>
              <c:f>'Data for Panel Chart 1'!$D$5</c:f>
              <c:strCache>
                <c:ptCount val="1"/>
                <c:pt idx="0">
                  <c:v>Line 2</c:v>
                </c:pt>
              </c:strCache>
            </c:strRef>
          </c:tx>
          <c:spPr>
            <a:ln w="38100">
              <a:solidFill>
                <a:srgbClr val="008000"/>
              </a:solidFill>
              <a:prstDash val="solid"/>
            </a:ln>
          </c:spPr>
          <c:marker>
            <c:symbol val="none"/>
          </c:marker>
          <c:dLbls>
            <c:dLbl>
              <c:idx val="23"/>
              <c:layout>
                <c:manualLayout>
                  <c:x val="-2.7845983209091422E-2"/>
                  <c:y val="-1.9095900816793326E-2"/>
                </c:manualLayout>
              </c:layout>
              <c:showLegendKey val="0"/>
              <c:showVal val="1"/>
              <c:showCatName val="0"/>
              <c:showSerName val="0"/>
              <c:showPercent val="0"/>
              <c:showBubbleSize val="0"/>
            </c:dLbl>
            <c:dLbl>
              <c:idx val="47"/>
              <c:layout>
                <c:manualLayout>
                  <c:x val="-3.3812979611039538E-2"/>
                  <c:y val="-1.9096201539640836E-2"/>
                </c:manualLayout>
              </c:layout>
              <c:showLegendKey val="0"/>
              <c:showVal val="1"/>
              <c:showCatName val="0"/>
              <c:showSerName val="0"/>
              <c:showPercent val="0"/>
              <c:showBubbleSize val="0"/>
            </c:dLbl>
            <c:dLbl>
              <c:idx val="71"/>
              <c:layout>
                <c:manualLayout>
                  <c:x val="-3.3812979611039538E-2"/>
                  <c:y val="3.0553441306869253E-2"/>
                </c:manualLayout>
              </c:layout>
              <c:showLegendKey val="0"/>
              <c:showVal val="1"/>
              <c:showCatName val="0"/>
              <c:showSerName val="0"/>
              <c:showPercent val="0"/>
              <c:showBubbleSize val="0"/>
            </c:dLbl>
            <c:txPr>
              <a:bodyPr/>
              <a:lstStyle/>
              <a:p>
                <a:pPr algn="ctr">
                  <a:defRPr lang="en-US" sz="1200" b="1" i="0" u="none" strike="noStrike" kern="1200" baseline="0">
                    <a:solidFill>
                      <a:srgbClr val="006600"/>
                    </a:solidFill>
                    <a:effectLst>
                      <a:glow rad="101600">
                        <a:srgbClr val="9BBB59">
                          <a:satMod val="175000"/>
                          <a:alpha val="60000"/>
                        </a:srgbClr>
                      </a:glow>
                    </a:effectLst>
                    <a:latin typeface="+mn-lt"/>
                    <a:ea typeface="+mn-ea"/>
                    <a:cs typeface="+mn-cs"/>
                  </a:defRPr>
                </a:pPr>
                <a:endParaRPr lang="en-US"/>
              </a:p>
            </c:txPr>
            <c:showLegendKey val="0"/>
            <c:showVal val="0"/>
            <c:showCatName val="0"/>
            <c:showSerName val="0"/>
            <c:showPercent val="0"/>
            <c:showBubbleSize val="0"/>
          </c:dLbls>
          <c:cat>
            <c:multiLvlStrRef>
              <c:f>'Data for Panel Chart 1'!$A$6:$B$89</c:f>
              <c:multiLvlStrCache>
                <c:ptCount val="84"/>
                <c:lvl>
                  <c:pt idx="0">
                    <c:v>Oct</c:v>
                  </c:pt>
                  <c:pt idx="1">
                    <c:v>Nov</c:v>
                  </c:pt>
                  <c:pt idx="2">
                    <c:v>Dec</c:v>
                  </c:pt>
                  <c:pt idx="3">
                    <c:v>Jan</c:v>
                  </c:pt>
                  <c:pt idx="4">
                    <c:v>Feb</c:v>
                  </c:pt>
                  <c:pt idx="5">
                    <c:v>Mar</c:v>
                  </c:pt>
                  <c:pt idx="6">
                    <c:v>Apr</c:v>
                  </c:pt>
                  <c:pt idx="7">
                    <c:v>May</c:v>
                  </c:pt>
                  <c:pt idx="8">
                    <c:v>Jun</c:v>
                  </c:pt>
                  <c:pt idx="9">
                    <c:v>Jul</c:v>
                  </c:pt>
                  <c:pt idx="10">
                    <c:v>Aug</c:v>
                  </c:pt>
                  <c:pt idx="11">
                    <c:v>Sep</c:v>
                  </c:pt>
                  <c:pt idx="12">
                    <c:v>Oct</c:v>
                  </c:pt>
                  <c:pt idx="13">
                    <c:v>Nov</c:v>
                  </c:pt>
                  <c:pt idx="14">
                    <c:v>Dec</c:v>
                  </c:pt>
                  <c:pt idx="15">
                    <c:v>Jan</c:v>
                  </c:pt>
                  <c:pt idx="16">
                    <c:v>Feb</c:v>
                  </c:pt>
                  <c:pt idx="17">
                    <c:v>Mar</c:v>
                  </c:pt>
                  <c:pt idx="18">
                    <c:v>Apr</c:v>
                  </c:pt>
                  <c:pt idx="19">
                    <c:v>May</c:v>
                  </c:pt>
                  <c:pt idx="20">
                    <c:v>Jun</c:v>
                  </c:pt>
                  <c:pt idx="21">
                    <c:v>Jul</c:v>
                  </c:pt>
                  <c:pt idx="22">
                    <c:v>Aug</c:v>
                  </c:pt>
                  <c:pt idx="23">
                    <c:v>Sep</c:v>
                  </c:pt>
                  <c:pt idx="24">
                    <c:v>Oct</c:v>
                  </c:pt>
                  <c:pt idx="25">
                    <c:v>Nov</c:v>
                  </c:pt>
                  <c:pt idx="26">
                    <c:v>Dec</c:v>
                  </c:pt>
                  <c:pt idx="27">
                    <c:v>Jan</c:v>
                  </c:pt>
                  <c:pt idx="28">
                    <c:v>Feb</c:v>
                  </c:pt>
                  <c:pt idx="29">
                    <c:v>Mar</c:v>
                  </c:pt>
                  <c:pt idx="30">
                    <c:v>Apr</c:v>
                  </c:pt>
                  <c:pt idx="31">
                    <c:v>May</c:v>
                  </c:pt>
                  <c:pt idx="32">
                    <c:v>Jun</c:v>
                  </c:pt>
                  <c:pt idx="33">
                    <c:v>Jul</c:v>
                  </c:pt>
                  <c:pt idx="34">
                    <c:v>Aug</c:v>
                  </c:pt>
                  <c:pt idx="35">
                    <c:v>Sep</c:v>
                  </c:pt>
                  <c:pt idx="36">
                    <c:v>Oct</c:v>
                  </c:pt>
                  <c:pt idx="37">
                    <c:v>Nov</c:v>
                  </c:pt>
                  <c:pt idx="38">
                    <c:v>Dec</c:v>
                  </c:pt>
                  <c:pt idx="39">
                    <c:v>Jan</c:v>
                  </c:pt>
                  <c:pt idx="40">
                    <c:v>Feb</c:v>
                  </c:pt>
                  <c:pt idx="41">
                    <c:v>Mar</c:v>
                  </c:pt>
                  <c:pt idx="42">
                    <c:v>Apr</c:v>
                  </c:pt>
                  <c:pt idx="43">
                    <c:v>May</c:v>
                  </c:pt>
                  <c:pt idx="44">
                    <c:v>Jun</c:v>
                  </c:pt>
                  <c:pt idx="45">
                    <c:v>Jul</c:v>
                  </c:pt>
                  <c:pt idx="46">
                    <c:v>Aug</c:v>
                  </c:pt>
                  <c:pt idx="47">
                    <c:v>Sep</c:v>
                  </c:pt>
                  <c:pt idx="48">
                    <c:v>Oct</c:v>
                  </c:pt>
                  <c:pt idx="49">
                    <c:v>Nov</c:v>
                  </c:pt>
                  <c:pt idx="50">
                    <c:v>Dec</c:v>
                  </c:pt>
                  <c:pt idx="51">
                    <c:v>Jan</c:v>
                  </c:pt>
                  <c:pt idx="52">
                    <c:v>Feb</c:v>
                  </c:pt>
                  <c:pt idx="53">
                    <c:v>Mar</c:v>
                  </c:pt>
                  <c:pt idx="54">
                    <c:v>Apr</c:v>
                  </c:pt>
                  <c:pt idx="55">
                    <c:v>May</c:v>
                  </c:pt>
                  <c:pt idx="56">
                    <c:v>Jun</c:v>
                  </c:pt>
                  <c:pt idx="57">
                    <c:v>Jul</c:v>
                  </c:pt>
                  <c:pt idx="58">
                    <c:v>Aug</c:v>
                  </c:pt>
                  <c:pt idx="59">
                    <c:v>Sep</c:v>
                  </c:pt>
                  <c:pt idx="60">
                    <c:v>Oct</c:v>
                  </c:pt>
                  <c:pt idx="61">
                    <c:v>Nov</c:v>
                  </c:pt>
                  <c:pt idx="62">
                    <c:v>Dec</c:v>
                  </c:pt>
                  <c:pt idx="63">
                    <c:v>Jan</c:v>
                  </c:pt>
                  <c:pt idx="64">
                    <c:v>Feb</c:v>
                  </c:pt>
                  <c:pt idx="65">
                    <c:v>Mar</c:v>
                  </c:pt>
                  <c:pt idx="66">
                    <c:v>Apr</c:v>
                  </c:pt>
                  <c:pt idx="67">
                    <c:v>May</c:v>
                  </c:pt>
                  <c:pt idx="68">
                    <c:v>Jun</c:v>
                  </c:pt>
                  <c:pt idx="69">
                    <c:v>Jul</c:v>
                  </c:pt>
                  <c:pt idx="70">
                    <c:v>Aug</c:v>
                  </c:pt>
                  <c:pt idx="71">
                    <c:v>Sep</c:v>
                  </c:pt>
                  <c:pt idx="72">
                    <c:v>Oct</c:v>
                  </c:pt>
                  <c:pt idx="73">
                    <c:v>Nov</c:v>
                  </c:pt>
                  <c:pt idx="74">
                    <c:v>Dec</c:v>
                  </c:pt>
                  <c:pt idx="75">
                    <c:v>Jan</c:v>
                  </c:pt>
                  <c:pt idx="76">
                    <c:v>Feb</c:v>
                  </c:pt>
                  <c:pt idx="77">
                    <c:v>Mar</c:v>
                  </c:pt>
                  <c:pt idx="78">
                    <c:v>Apr</c:v>
                  </c:pt>
                  <c:pt idx="79">
                    <c:v>May</c:v>
                  </c:pt>
                  <c:pt idx="80">
                    <c:v>Jun</c:v>
                  </c:pt>
                  <c:pt idx="81">
                    <c:v>Jul</c:v>
                  </c:pt>
                  <c:pt idx="82">
                    <c:v>Aug</c:v>
                  </c:pt>
                  <c:pt idx="83">
                    <c:v>Sep</c:v>
                  </c:pt>
                </c:lvl>
                <c:lvl>
                  <c:pt idx="0">
                    <c:v>FY08</c:v>
                  </c:pt>
                  <c:pt idx="12">
                    <c:v>FY09</c:v>
                  </c:pt>
                  <c:pt idx="24">
                    <c:v>FY10</c:v>
                  </c:pt>
                  <c:pt idx="36">
                    <c:v>FY11</c:v>
                  </c:pt>
                  <c:pt idx="48">
                    <c:v>FY12</c:v>
                  </c:pt>
                  <c:pt idx="60">
                    <c:v>FY13</c:v>
                  </c:pt>
                  <c:pt idx="72">
                    <c:v>FY14</c:v>
                  </c:pt>
                </c:lvl>
              </c:multiLvlStrCache>
            </c:multiLvlStrRef>
          </c:cat>
          <c:val>
            <c:numRef>
              <c:f>'Data for Panel Chart 1'!$D$6:$D$89</c:f>
              <c:numCache>
                <c:formatCode>General</c:formatCode>
                <c:ptCount val="84"/>
                <c:pt idx="12" formatCode="0">
                  <c:v>390</c:v>
                </c:pt>
                <c:pt idx="13" formatCode="0">
                  <c:v>399</c:v>
                </c:pt>
                <c:pt idx="14" formatCode="0">
                  <c:v>388</c:v>
                </c:pt>
                <c:pt idx="15" formatCode="0">
                  <c:v>394</c:v>
                </c:pt>
                <c:pt idx="16" formatCode="0">
                  <c:v>387</c:v>
                </c:pt>
                <c:pt idx="17" formatCode="0">
                  <c:v>384</c:v>
                </c:pt>
                <c:pt idx="18" formatCode="0">
                  <c:v>374</c:v>
                </c:pt>
                <c:pt idx="19" formatCode="0">
                  <c:v>380</c:v>
                </c:pt>
                <c:pt idx="20" formatCode="0">
                  <c:v>364</c:v>
                </c:pt>
                <c:pt idx="21" formatCode="0">
                  <c:v>355</c:v>
                </c:pt>
                <c:pt idx="22" formatCode="0">
                  <c:v>353</c:v>
                </c:pt>
                <c:pt idx="23" formatCode="0">
                  <c:v>354</c:v>
                </c:pt>
                <c:pt idx="36" formatCode="0">
                  <c:v>308.45161290322579</c:v>
                </c:pt>
                <c:pt idx="37" formatCode="0">
                  <c:v>302.8</c:v>
                </c:pt>
                <c:pt idx="38" formatCode="0">
                  <c:v>299.64516129032256</c:v>
                </c:pt>
                <c:pt idx="39" formatCode="0">
                  <c:v>299.32258064516128</c:v>
                </c:pt>
                <c:pt idx="40" formatCode="0">
                  <c:v>291.53571428571428</c:v>
                </c:pt>
                <c:pt idx="41" formatCode="0">
                  <c:v>275.96774193548384</c:v>
                </c:pt>
                <c:pt idx="42" formatCode="0">
                  <c:v>282.83333333333331</c:v>
                </c:pt>
                <c:pt idx="43" formatCode="0">
                  <c:v>286.45161290322579</c:v>
                </c:pt>
                <c:pt idx="44" formatCode="0">
                  <c:v>276.33333333333331</c:v>
                </c:pt>
                <c:pt idx="45" formatCode="0">
                  <c:v>268.32258064516128</c:v>
                </c:pt>
                <c:pt idx="46" formatCode="0">
                  <c:v>278.19354838709677</c:v>
                </c:pt>
                <c:pt idx="47" formatCode="0">
                  <c:v>290.03333333333336</c:v>
                </c:pt>
                <c:pt idx="60" formatCode="0">
                  <c:v>277.93548387096774</c:v>
                </c:pt>
                <c:pt idx="61" formatCode="0">
                  <c:v>273.43440860215054</c:v>
                </c:pt>
                <c:pt idx="62" formatCode="0">
                  <c:v>264.80107526881716</c:v>
                </c:pt>
                <c:pt idx="63" formatCode="0">
                  <c:v>262.22580645161287</c:v>
                </c:pt>
                <c:pt idx="64" formatCode="0">
                  <c:v>259.4608294930876</c:v>
                </c:pt>
                <c:pt idx="65" formatCode="0">
                  <c:v>262.41935483870969</c:v>
                </c:pt>
                <c:pt idx="66" formatCode="0">
                  <c:v>266.93333333333334</c:v>
                </c:pt>
                <c:pt idx="67" formatCode="0">
                  <c:v>274</c:v>
                </c:pt>
                <c:pt idx="68" formatCode="0">
                  <c:v>259.23333333333335</c:v>
                </c:pt>
                <c:pt idx="69" formatCode="0">
                  <c:v>249.16129032258064</c:v>
                </c:pt>
                <c:pt idx="70" formatCode="0">
                  <c:v>252.16129032258064</c:v>
                </c:pt>
                <c:pt idx="71" formatCode="0">
                  <c:v>266.03333333333336</c:v>
                </c:pt>
              </c:numCache>
            </c:numRef>
          </c:val>
          <c:smooth val="1"/>
        </c:ser>
        <c:dLbls>
          <c:showLegendKey val="0"/>
          <c:showVal val="0"/>
          <c:showCatName val="0"/>
          <c:showSerName val="0"/>
          <c:showPercent val="0"/>
          <c:showBubbleSize val="0"/>
        </c:dLbls>
        <c:marker val="1"/>
        <c:smooth val="0"/>
        <c:axId val="239335424"/>
        <c:axId val="156618112"/>
      </c:lineChart>
      <c:scatterChart>
        <c:scatterStyle val="lineMarker"/>
        <c:varyColors val="0"/>
        <c:ser>
          <c:idx val="2"/>
          <c:order val="2"/>
          <c:tx>
            <c:strRef>
              <c:f>'Data for Panel Chart 1'!$G$5</c:f>
              <c:strCache>
                <c:ptCount val="1"/>
                <c:pt idx="0">
                  <c:v>Grid Lines</c:v>
                </c:pt>
              </c:strCache>
            </c:strRef>
          </c:tx>
          <c:spPr>
            <a:ln w="28575">
              <a:noFill/>
            </a:ln>
          </c:spPr>
          <c:marker>
            <c:symbol val="none"/>
          </c:marker>
          <c:errBars>
            <c:errDir val="y"/>
            <c:errBarType val="plus"/>
            <c:errValType val="fixedVal"/>
            <c:noEndCap val="1"/>
            <c:val val="1"/>
          </c:errBars>
          <c:xVal>
            <c:numRef>
              <c:f>'Data for Panel Chart 1'!$F$6:$F$11</c:f>
              <c:numCache>
                <c:formatCode>General</c:formatCode>
                <c:ptCount val="6"/>
                <c:pt idx="0">
                  <c:v>12</c:v>
                </c:pt>
                <c:pt idx="1">
                  <c:v>24</c:v>
                </c:pt>
                <c:pt idx="2">
                  <c:v>36</c:v>
                </c:pt>
                <c:pt idx="3">
                  <c:v>48</c:v>
                </c:pt>
                <c:pt idx="4">
                  <c:v>60</c:v>
                </c:pt>
                <c:pt idx="5">
                  <c:v>72</c:v>
                </c:pt>
              </c:numCache>
            </c:numRef>
          </c:xVal>
          <c:yVal>
            <c:numRef>
              <c:f>'Data for Panel Chart 1'!$G$6:$G$11</c:f>
              <c:numCache>
                <c:formatCode>General</c:formatCode>
                <c:ptCount val="6"/>
                <c:pt idx="0">
                  <c:v>0</c:v>
                </c:pt>
                <c:pt idx="1">
                  <c:v>0</c:v>
                </c:pt>
                <c:pt idx="2">
                  <c:v>0</c:v>
                </c:pt>
                <c:pt idx="3">
                  <c:v>0</c:v>
                </c:pt>
                <c:pt idx="4">
                  <c:v>0</c:v>
                </c:pt>
                <c:pt idx="5">
                  <c:v>0</c:v>
                </c:pt>
              </c:numCache>
            </c:numRef>
          </c:yVal>
          <c:smooth val="0"/>
        </c:ser>
        <c:ser>
          <c:idx val="3"/>
          <c:order val="3"/>
          <c:tx>
            <c:strRef>
              <c:f>'Data for Panel Chart 1'!$I$24</c:f>
              <c:strCache>
                <c:ptCount val="1"/>
                <c:pt idx="0">
                  <c:v>FY08</c:v>
                </c:pt>
              </c:strCache>
            </c:strRef>
          </c:tx>
          <c:spPr>
            <a:ln w="28575">
              <a:noFill/>
            </a:ln>
          </c:spPr>
          <c:marker>
            <c:symbol val="none"/>
          </c:marker>
          <c:dLbls>
            <c:txPr>
              <a:bodyPr rot="0" vert="horz"/>
              <a:lstStyle/>
              <a:p>
                <a:pPr algn="ctr">
                  <a:defRPr/>
                </a:pPr>
                <a:endParaRPr lang="en-US"/>
              </a:p>
            </c:txPr>
            <c:dLblPos val="t"/>
            <c:showLegendKey val="0"/>
            <c:showVal val="0"/>
            <c:showCatName val="0"/>
            <c:showSerName val="1"/>
            <c:showPercent val="0"/>
            <c:showBubbleSize val="0"/>
            <c:showLeaderLines val="0"/>
          </c:dLbls>
          <c:xVal>
            <c:numRef>
              <c:f>'Data for Panel Chart 1'!$F$14</c:f>
              <c:numCache>
                <c:formatCode>General</c:formatCode>
                <c:ptCount val="1"/>
                <c:pt idx="0">
                  <c:v>6</c:v>
                </c:pt>
              </c:numCache>
            </c:numRef>
          </c:xVal>
          <c:yVal>
            <c:numRef>
              <c:f>'Data for Panel Chart 1'!$G$14</c:f>
              <c:numCache>
                <c:formatCode>General</c:formatCode>
                <c:ptCount val="1"/>
                <c:pt idx="0">
                  <c:v>1</c:v>
                </c:pt>
              </c:numCache>
            </c:numRef>
          </c:yVal>
          <c:smooth val="0"/>
        </c:ser>
        <c:ser>
          <c:idx val="4"/>
          <c:order val="4"/>
          <c:tx>
            <c:strRef>
              <c:f>'Data for Panel Chart 1'!$I$25</c:f>
              <c:strCache>
                <c:ptCount val="1"/>
                <c:pt idx="0">
                  <c:v>FY09</c:v>
                </c:pt>
              </c:strCache>
            </c:strRef>
          </c:tx>
          <c:spPr>
            <a:ln w="28575">
              <a:noFill/>
            </a:ln>
          </c:spPr>
          <c:marker>
            <c:symbol val="none"/>
          </c:marker>
          <c:dLbls>
            <c:txPr>
              <a:bodyPr rot="0" vert="horz"/>
              <a:lstStyle/>
              <a:p>
                <a:pPr algn="ctr">
                  <a:defRPr/>
                </a:pPr>
                <a:endParaRPr lang="en-US"/>
              </a:p>
            </c:txPr>
            <c:dLblPos val="t"/>
            <c:showLegendKey val="0"/>
            <c:showVal val="0"/>
            <c:showCatName val="0"/>
            <c:showSerName val="1"/>
            <c:showPercent val="0"/>
            <c:showBubbleSize val="0"/>
            <c:showLeaderLines val="0"/>
          </c:dLbls>
          <c:xVal>
            <c:numRef>
              <c:f>'Data for Panel Chart 1'!$F$15</c:f>
              <c:numCache>
                <c:formatCode>General</c:formatCode>
                <c:ptCount val="1"/>
                <c:pt idx="0">
                  <c:v>18</c:v>
                </c:pt>
              </c:numCache>
            </c:numRef>
          </c:xVal>
          <c:yVal>
            <c:numRef>
              <c:f>'Data for Panel Chart 1'!$G$15</c:f>
              <c:numCache>
                <c:formatCode>General</c:formatCode>
                <c:ptCount val="1"/>
                <c:pt idx="0">
                  <c:v>1</c:v>
                </c:pt>
              </c:numCache>
            </c:numRef>
          </c:yVal>
          <c:smooth val="0"/>
        </c:ser>
        <c:ser>
          <c:idx val="5"/>
          <c:order val="5"/>
          <c:tx>
            <c:strRef>
              <c:f>'Data for Panel Chart 1'!$I$26</c:f>
              <c:strCache>
                <c:ptCount val="1"/>
                <c:pt idx="0">
                  <c:v>FY10</c:v>
                </c:pt>
              </c:strCache>
            </c:strRef>
          </c:tx>
          <c:spPr>
            <a:ln w="28575">
              <a:noFill/>
            </a:ln>
          </c:spPr>
          <c:marker>
            <c:symbol val="none"/>
          </c:marker>
          <c:dLbls>
            <c:txPr>
              <a:bodyPr rot="0" vert="horz"/>
              <a:lstStyle/>
              <a:p>
                <a:pPr algn="ctr">
                  <a:defRPr/>
                </a:pPr>
                <a:endParaRPr lang="en-US"/>
              </a:p>
            </c:txPr>
            <c:dLblPos val="t"/>
            <c:showLegendKey val="0"/>
            <c:showVal val="0"/>
            <c:showCatName val="0"/>
            <c:showSerName val="1"/>
            <c:showPercent val="0"/>
            <c:showBubbleSize val="0"/>
            <c:showLeaderLines val="0"/>
          </c:dLbls>
          <c:xVal>
            <c:numRef>
              <c:f>'Data for Panel Chart 1'!$F$16</c:f>
              <c:numCache>
                <c:formatCode>General</c:formatCode>
                <c:ptCount val="1"/>
                <c:pt idx="0">
                  <c:v>30</c:v>
                </c:pt>
              </c:numCache>
            </c:numRef>
          </c:xVal>
          <c:yVal>
            <c:numRef>
              <c:f>'Data for Panel Chart 1'!$G$16</c:f>
              <c:numCache>
                <c:formatCode>General</c:formatCode>
                <c:ptCount val="1"/>
                <c:pt idx="0">
                  <c:v>1</c:v>
                </c:pt>
              </c:numCache>
            </c:numRef>
          </c:yVal>
          <c:smooth val="0"/>
        </c:ser>
        <c:ser>
          <c:idx val="6"/>
          <c:order val="6"/>
          <c:tx>
            <c:strRef>
              <c:f>'Data for Panel Chart 1'!$I$27</c:f>
              <c:strCache>
                <c:ptCount val="1"/>
                <c:pt idx="0">
                  <c:v>FY11</c:v>
                </c:pt>
              </c:strCache>
            </c:strRef>
          </c:tx>
          <c:spPr>
            <a:ln w="28575">
              <a:noFill/>
            </a:ln>
          </c:spPr>
          <c:marker>
            <c:symbol val="none"/>
          </c:marker>
          <c:dLbls>
            <c:txPr>
              <a:bodyPr rot="0" vert="horz"/>
              <a:lstStyle/>
              <a:p>
                <a:pPr algn="ctr">
                  <a:defRPr/>
                </a:pPr>
                <a:endParaRPr lang="en-US"/>
              </a:p>
            </c:txPr>
            <c:dLblPos val="t"/>
            <c:showLegendKey val="0"/>
            <c:showVal val="0"/>
            <c:showCatName val="0"/>
            <c:showSerName val="1"/>
            <c:showPercent val="0"/>
            <c:showBubbleSize val="0"/>
            <c:showLeaderLines val="0"/>
          </c:dLbls>
          <c:xVal>
            <c:numRef>
              <c:f>'Data for Panel Chart 1'!$F$17</c:f>
              <c:numCache>
                <c:formatCode>General</c:formatCode>
                <c:ptCount val="1"/>
                <c:pt idx="0">
                  <c:v>42</c:v>
                </c:pt>
              </c:numCache>
            </c:numRef>
          </c:xVal>
          <c:yVal>
            <c:numRef>
              <c:f>'Data for Panel Chart 1'!$G$17</c:f>
              <c:numCache>
                <c:formatCode>General</c:formatCode>
                <c:ptCount val="1"/>
                <c:pt idx="0">
                  <c:v>1</c:v>
                </c:pt>
              </c:numCache>
            </c:numRef>
          </c:yVal>
          <c:smooth val="0"/>
        </c:ser>
        <c:ser>
          <c:idx val="7"/>
          <c:order val="7"/>
          <c:tx>
            <c:strRef>
              <c:f>'Data for Panel Chart 1'!$I$28</c:f>
              <c:strCache>
                <c:ptCount val="1"/>
                <c:pt idx="0">
                  <c:v>FY12</c:v>
                </c:pt>
              </c:strCache>
            </c:strRef>
          </c:tx>
          <c:spPr>
            <a:ln w="28575">
              <a:noFill/>
            </a:ln>
          </c:spPr>
          <c:marker>
            <c:symbol val="none"/>
          </c:marker>
          <c:dLbls>
            <c:txPr>
              <a:bodyPr rot="0" vert="horz"/>
              <a:lstStyle/>
              <a:p>
                <a:pPr algn="ctr">
                  <a:defRPr/>
                </a:pPr>
                <a:endParaRPr lang="en-US"/>
              </a:p>
            </c:txPr>
            <c:dLblPos val="t"/>
            <c:showLegendKey val="0"/>
            <c:showVal val="0"/>
            <c:showCatName val="0"/>
            <c:showSerName val="1"/>
            <c:showPercent val="0"/>
            <c:showBubbleSize val="0"/>
            <c:showLeaderLines val="0"/>
          </c:dLbls>
          <c:xVal>
            <c:numRef>
              <c:f>'Data for Panel Chart 1'!$F$18</c:f>
              <c:numCache>
                <c:formatCode>General</c:formatCode>
                <c:ptCount val="1"/>
                <c:pt idx="0">
                  <c:v>54</c:v>
                </c:pt>
              </c:numCache>
            </c:numRef>
          </c:xVal>
          <c:yVal>
            <c:numRef>
              <c:f>'Data for Panel Chart 1'!$G$18</c:f>
              <c:numCache>
                <c:formatCode>General</c:formatCode>
                <c:ptCount val="1"/>
                <c:pt idx="0">
                  <c:v>1</c:v>
                </c:pt>
              </c:numCache>
            </c:numRef>
          </c:yVal>
          <c:smooth val="0"/>
        </c:ser>
        <c:ser>
          <c:idx val="8"/>
          <c:order val="8"/>
          <c:tx>
            <c:strRef>
              <c:f>'Data for Panel Chart 1'!$I$29</c:f>
              <c:strCache>
                <c:ptCount val="1"/>
                <c:pt idx="0">
                  <c:v>FY13</c:v>
                </c:pt>
              </c:strCache>
            </c:strRef>
          </c:tx>
          <c:spPr>
            <a:ln w="28575">
              <a:noFill/>
            </a:ln>
          </c:spPr>
          <c:marker>
            <c:symbol val="none"/>
          </c:marker>
          <c:dLbls>
            <c:txPr>
              <a:bodyPr rot="0" vert="horz"/>
              <a:lstStyle/>
              <a:p>
                <a:pPr algn="ctr">
                  <a:defRPr/>
                </a:pPr>
                <a:endParaRPr lang="en-US"/>
              </a:p>
            </c:txPr>
            <c:dLblPos val="t"/>
            <c:showLegendKey val="0"/>
            <c:showVal val="0"/>
            <c:showCatName val="0"/>
            <c:showSerName val="1"/>
            <c:showPercent val="0"/>
            <c:showBubbleSize val="0"/>
            <c:showLeaderLines val="0"/>
          </c:dLbls>
          <c:xVal>
            <c:numRef>
              <c:f>'Data for Panel Chart 1'!$F$19</c:f>
              <c:numCache>
                <c:formatCode>General</c:formatCode>
                <c:ptCount val="1"/>
                <c:pt idx="0">
                  <c:v>66</c:v>
                </c:pt>
              </c:numCache>
            </c:numRef>
          </c:xVal>
          <c:yVal>
            <c:numRef>
              <c:f>'Data for Panel Chart 1'!$G$19</c:f>
              <c:numCache>
                <c:formatCode>General</c:formatCode>
                <c:ptCount val="1"/>
                <c:pt idx="0">
                  <c:v>1</c:v>
                </c:pt>
              </c:numCache>
            </c:numRef>
          </c:yVal>
          <c:smooth val="0"/>
        </c:ser>
        <c:ser>
          <c:idx val="9"/>
          <c:order val="9"/>
          <c:tx>
            <c:strRef>
              <c:f>'Data for Panel Chart 1'!$I$30</c:f>
              <c:strCache>
                <c:ptCount val="1"/>
                <c:pt idx="0">
                  <c:v>FY14</c:v>
                </c:pt>
              </c:strCache>
            </c:strRef>
          </c:tx>
          <c:spPr>
            <a:ln w="28575">
              <a:noFill/>
            </a:ln>
          </c:spPr>
          <c:marker>
            <c:symbol val="none"/>
          </c:marker>
          <c:dLbls>
            <c:txPr>
              <a:bodyPr rot="0" vert="horz"/>
              <a:lstStyle/>
              <a:p>
                <a:pPr algn="ctr">
                  <a:defRPr/>
                </a:pPr>
                <a:endParaRPr lang="en-US"/>
              </a:p>
            </c:txPr>
            <c:dLblPos val="t"/>
            <c:showLegendKey val="0"/>
            <c:showVal val="0"/>
            <c:showCatName val="0"/>
            <c:showSerName val="1"/>
            <c:showPercent val="0"/>
            <c:showBubbleSize val="0"/>
            <c:showLeaderLines val="0"/>
          </c:dLbls>
          <c:xVal>
            <c:numRef>
              <c:f>'Data for Panel Chart 1'!$F$20</c:f>
              <c:numCache>
                <c:formatCode>General</c:formatCode>
                <c:ptCount val="1"/>
                <c:pt idx="0">
                  <c:v>78</c:v>
                </c:pt>
              </c:numCache>
            </c:numRef>
          </c:xVal>
          <c:yVal>
            <c:numRef>
              <c:f>'Data for Panel Chart 1'!$G$20</c:f>
              <c:numCache>
                <c:formatCode>General</c:formatCode>
                <c:ptCount val="1"/>
                <c:pt idx="0">
                  <c:v>1</c:v>
                </c:pt>
              </c:numCache>
            </c:numRef>
          </c:yVal>
          <c:smooth val="0"/>
        </c:ser>
        <c:dLbls>
          <c:showLegendKey val="0"/>
          <c:showVal val="0"/>
          <c:showCatName val="0"/>
          <c:showSerName val="0"/>
          <c:showPercent val="0"/>
          <c:showBubbleSize val="0"/>
        </c:dLbls>
        <c:axId val="167310976"/>
        <c:axId val="162045952"/>
      </c:scatterChart>
      <c:catAx>
        <c:axId val="239335424"/>
        <c:scaling>
          <c:orientation val="minMax"/>
        </c:scaling>
        <c:delete val="0"/>
        <c:axPos val="b"/>
        <c:majorTickMark val="none"/>
        <c:minorTickMark val="none"/>
        <c:tickLblPos val="nextTo"/>
        <c:txPr>
          <a:bodyPr rot="-5400000" vert="horz"/>
          <a:lstStyle/>
          <a:p>
            <a:pPr>
              <a:defRPr b="0"/>
            </a:pPr>
            <a:endParaRPr lang="en-US"/>
          </a:p>
        </c:txPr>
        <c:crossAx val="156618112"/>
        <c:crosses val="autoZero"/>
        <c:auto val="1"/>
        <c:lblAlgn val="ctr"/>
        <c:lblOffset val="100"/>
        <c:tickMarkSkip val="3"/>
        <c:noMultiLvlLbl val="0"/>
      </c:catAx>
      <c:valAx>
        <c:axId val="156618112"/>
        <c:scaling>
          <c:orientation val="minMax"/>
          <c:max val="450"/>
          <c:min val="200"/>
        </c:scaling>
        <c:delete val="0"/>
        <c:axPos val="l"/>
        <c:majorGridlines>
          <c:spPr>
            <a:ln>
              <a:solidFill>
                <a:schemeClr val="bg1">
                  <a:lumMod val="75000"/>
                </a:schemeClr>
              </a:solidFill>
            </a:ln>
          </c:spPr>
        </c:majorGridlines>
        <c:numFmt formatCode="0" sourceLinked="1"/>
        <c:majorTickMark val="out"/>
        <c:minorTickMark val="none"/>
        <c:tickLblPos val="nextTo"/>
        <c:txPr>
          <a:bodyPr/>
          <a:lstStyle/>
          <a:p>
            <a:pPr>
              <a:defRPr b="0"/>
            </a:pPr>
            <a:endParaRPr lang="en-US"/>
          </a:p>
        </c:txPr>
        <c:crossAx val="239335424"/>
        <c:crossesAt val="1"/>
        <c:crossBetween val="between"/>
        <c:majorUnit val="50"/>
      </c:valAx>
      <c:valAx>
        <c:axId val="162045952"/>
        <c:scaling>
          <c:orientation val="minMax"/>
          <c:max val="1"/>
          <c:min val="0"/>
        </c:scaling>
        <c:delete val="0"/>
        <c:axPos val="r"/>
        <c:numFmt formatCode="General" sourceLinked="1"/>
        <c:majorTickMark val="none"/>
        <c:minorTickMark val="none"/>
        <c:tickLblPos val="none"/>
        <c:crossAx val="167310976"/>
        <c:crosses val="max"/>
        <c:crossBetween val="midCat"/>
      </c:valAx>
      <c:valAx>
        <c:axId val="167310976"/>
        <c:scaling>
          <c:orientation val="minMax"/>
          <c:max val="84"/>
          <c:min val="0"/>
        </c:scaling>
        <c:delete val="0"/>
        <c:axPos val="t"/>
        <c:numFmt formatCode="General" sourceLinked="1"/>
        <c:majorTickMark val="none"/>
        <c:minorTickMark val="none"/>
        <c:tickLblPos val="none"/>
        <c:spPr>
          <a:ln w="9525">
            <a:noFill/>
          </a:ln>
        </c:spPr>
        <c:crossAx val="162045952"/>
        <c:crosses val="max"/>
        <c:crossBetween val="midCat"/>
      </c:valAx>
      <c:spPr>
        <a:noFill/>
      </c:spPr>
    </c:plotArea>
    <c:plotVisOnly val="1"/>
    <c:dispBlanksAs val="gap"/>
    <c:showDLblsOverMax val="0"/>
  </c:chart>
  <c:spPr>
    <a:ln>
      <a:noFill/>
    </a:ln>
  </c:spPr>
  <c:txPr>
    <a:bodyPr/>
    <a:lstStyle/>
    <a:p>
      <a:pPr>
        <a:defRPr sz="1100" b="1"/>
      </a:pPr>
      <a:endParaRPr lang="en-US"/>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4.8986765605036918E-2"/>
          <c:y val="0.23932321577023841"/>
          <c:w val="0.90222082797419245"/>
          <c:h val="0.7237440847069595"/>
        </c:manualLayout>
      </c:layout>
      <c:barChart>
        <c:barDir val="col"/>
        <c:grouping val="clustered"/>
        <c:varyColors val="0"/>
        <c:ser>
          <c:idx val="0"/>
          <c:order val="0"/>
          <c:tx>
            <c:strRef>
              <c:f>'TA Summary'!$Q$63</c:f>
              <c:strCache>
                <c:ptCount val="1"/>
                <c:pt idx="0">
                  <c:v>Civil</c:v>
                </c:pt>
              </c:strCache>
            </c:strRef>
          </c:tx>
          <c:invertIfNegative val="0"/>
          <c:dLbls>
            <c:txPr>
              <a:bodyPr/>
              <a:lstStyle/>
              <a:p>
                <a:pPr>
                  <a:defRPr b="1">
                    <a:solidFill>
                      <a:schemeClr val="tx2"/>
                    </a:solidFill>
                  </a:defRPr>
                </a:pPr>
                <a:endParaRPr lang="en-US"/>
              </a:p>
            </c:txPr>
            <c:dLblPos val="outEnd"/>
            <c:showLegendKey val="0"/>
            <c:showVal val="1"/>
            <c:showCatName val="0"/>
            <c:showSerName val="0"/>
            <c:showPercent val="0"/>
            <c:showBubbleSize val="0"/>
            <c:showLeaderLines val="0"/>
          </c:dLbls>
          <c:cat>
            <c:strRef>
              <c:f>'TA Summary'!$P$65:$P$69</c:f>
              <c:strCache>
                <c:ptCount val="5"/>
                <c:pt idx="0">
                  <c:v>FY10</c:v>
                </c:pt>
                <c:pt idx="1">
                  <c:v>FY11</c:v>
                </c:pt>
                <c:pt idx="2">
                  <c:v>FY12</c:v>
                </c:pt>
                <c:pt idx="3">
                  <c:v>FY13</c:v>
                </c:pt>
                <c:pt idx="4">
                  <c:v>FY14</c:v>
                </c:pt>
              </c:strCache>
            </c:strRef>
          </c:cat>
          <c:val>
            <c:numRef>
              <c:f>'TA Summary'!$Q$65:$Q$69</c:f>
              <c:numCache>
                <c:formatCode>General</c:formatCode>
                <c:ptCount val="5"/>
                <c:pt idx="0">
                  <c:v>-45</c:v>
                </c:pt>
                <c:pt idx="1">
                  <c:v>-61</c:v>
                </c:pt>
                <c:pt idx="2">
                  <c:v>-12</c:v>
                </c:pt>
                <c:pt idx="3">
                  <c:v>-12</c:v>
                </c:pt>
                <c:pt idx="4">
                  <c:v>-33</c:v>
                </c:pt>
              </c:numCache>
            </c:numRef>
          </c:val>
        </c:ser>
        <c:ser>
          <c:idx val="1"/>
          <c:order val="1"/>
          <c:tx>
            <c:strRef>
              <c:f>'TA Summary'!$R$63</c:f>
              <c:strCache>
                <c:ptCount val="1"/>
                <c:pt idx="0">
                  <c:v>Pre-trial</c:v>
                </c:pt>
              </c:strCache>
            </c:strRef>
          </c:tx>
          <c:invertIfNegative val="0"/>
          <c:dLbls>
            <c:txPr>
              <a:bodyPr/>
              <a:lstStyle/>
              <a:p>
                <a:pPr>
                  <a:defRPr b="1">
                    <a:solidFill>
                      <a:srgbClr val="C00000"/>
                    </a:solidFill>
                  </a:defRPr>
                </a:pPr>
                <a:endParaRPr lang="en-US"/>
              </a:p>
            </c:txPr>
            <c:dLblPos val="outEnd"/>
            <c:showLegendKey val="0"/>
            <c:showVal val="1"/>
            <c:showCatName val="0"/>
            <c:showSerName val="0"/>
            <c:showPercent val="0"/>
            <c:showBubbleSize val="0"/>
            <c:showLeaderLines val="0"/>
          </c:dLbls>
          <c:cat>
            <c:strRef>
              <c:f>'TA Summary'!$P$65:$P$69</c:f>
              <c:strCache>
                <c:ptCount val="5"/>
                <c:pt idx="0">
                  <c:v>FY10</c:v>
                </c:pt>
                <c:pt idx="1">
                  <c:v>FY11</c:v>
                </c:pt>
                <c:pt idx="2">
                  <c:v>FY12</c:v>
                </c:pt>
                <c:pt idx="3">
                  <c:v>FY13</c:v>
                </c:pt>
                <c:pt idx="4">
                  <c:v>FY14</c:v>
                </c:pt>
              </c:strCache>
            </c:strRef>
          </c:cat>
          <c:val>
            <c:numRef>
              <c:f>'TA Summary'!$R$65:$R$69</c:f>
              <c:numCache>
                <c:formatCode>General</c:formatCode>
                <c:ptCount val="5"/>
                <c:pt idx="0">
                  <c:v>18</c:v>
                </c:pt>
                <c:pt idx="1">
                  <c:v>42</c:v>
                </c:pt>
                <c:pt idx="2">
                  <c:v>11</c:v>
                </c:pt>
                <c:pt idx="3">
                  <c:v>10</c:v>
                </c:pt>
                <c:pt idx="4">
                  <c:v>51</c:v>
                </c:pt>
              </c:numCache>
            </c:numRef>
          </c:val>
        </c:ser>
        <c:ser>
          <c:idx val="2"/>
          <c:order val="2"/>
          <c:tx>
            <c:strRef>
              <c:f>'TA Summary'!$S$63</c:f>
              <c:strCache>
                <c:ptCount val="1"/>
                <c:pt idx="0">
                  <c:v>Post-trial</c:v>
                </c:pt>
              </c:strCache>
            </c:strRef>
          </c:tx>
          <c:invertIfNegative val="0"/>
          <c:dLbls>
            <c:txPr>
              <a:bodyPr/>
              <a:lstStyle/>
              <a:p>
                <a:pPr>
                  <a:defRPr b="1">
                    <a:solidFill>
                      <a:srgbClr val="006600"/>
                    </a:solidFill>
                  </a:defRPr>
                </a:pPr>
                <a:endParaRPr lang="en-US"/>
              </a:p>
            </c:txPr>
            <c:showLegendKey val="0"/>
            <c:showVal val="1"/>
            <c:showCatName val="0"/>
            <c:showSerName val="0"/>
            <c:showPercent val="0"/>
            <c:showBubbleSize val="0"/>
            <c:showLeaderLines val="0"/>
          </c:dLbls>
          <c:cat>
            <c:strRef>
              <c:f>'TA Summary'!$P$65:$P$69</c:f>
              <c:strCache>
                <c:ptCount val="5"/>
                <c:pt idx="0">
                  <c:v>FY10</c:v>
                </c:pt>
                <c:pt idx="1">
                  <c:v>FY11</c:v>
                </c:pt>
                <c:pt idx="2">
                  <c:v>FY12</c:v>
                </c:pt>
                <c:pt idx="3">
                  <c:v>FY13</c:v>
                </c:pt>
                <c:pt idx="4">
                  <c:v>FY14</c:v>
                </c:pt>
              </c:strCache>
            </c:strRef>
          </c:cat>
          <c:val>
            <c:numRef>
              <c:f>'TA Summary'!$S$65:$S$69</c:f>
              <c:numCache>
                <c:formatCode>General</c:formatCode>
                <c:ptCount val="5"/>
                <c:pt idx="0">
                  <c:v>-16</c:v>
                </c:pt>
                <c:pt idx="1">
                  <c:v>-1</c:v>
                </c:pt>
                <c:pt idx="2">
                  <c:v>-10</c:v>
                </c:pt>
                <c:pt idx="3">
                  <c:v>-4</c:v>
                </c:pt>
                <c:pt idx="4">
                  <c:v>-13</c:v>
                </c:pt>
              </c:numCache>
            </c:numRef>
          </c:val>
        </c:ser>
        <c:dLbls>
          <c:showLegendKey val="0"/>
          <c:showVal val="0"/>
          <c:showCatName val="0"/>
          <c:showSerName val="0"/>
          <c:showPercent val="0"/>
          <c:showBubbleSize val="0"/>
        </c:dLbls>
        <c:gapWidth val="50"/>
        <c:axId val="238767616"/>
        <c:axId val="237556800"/>
      </c:barChart>
      <c:catAx>
        <c:axId val="238767616"/>
        <c:scaling>
          <c:orientation val="minMax"/>
        </c:scaling>
        <c:delete val="0"/>
        <c:axPos val="b"/>
        <c:majorTickMark val="out"/>
        <c:minorTickMark val="none"/>
        <c:tickLblPos val="high"/>
        <c:txPr>
          <a:bodyPr/>
          <a:lstStyle/>
          <a:p>
            <a:pPr>
              <a:defRPr sz="1100" b="1" u="sng"/>
            </a:pPr>
            <a:endParaRPr lang="en-US"/>
          </a:p>
        </c:txPr>
        <c:crossAx val="237556800"/>
        <c:crosses val="autoZero"/>
        <c:auto val="1"/>
        <c:lblAlgn val="ctr"/>
        <c:lblOffset val="100"/>
        <c:noMultiLvlLbl val="0"/>
      </c:catAx>
      <c:valAx>
        <c:axId val="237556800"/>
        <c:scaling>
          <c:orientation val="minMax"/>
          <c:max val="55"/>
          <c:min val="-70"/>
        </c:scaling>
        <c:delete val="0"/>
        <c:axPos val="l"/>
        <c:numFmt formatCode="General" sourceLinked="1"/>
        <c:majorTickMark val="none"/>
        <c:minorTickMark val="none"/>
        <c:tickLblPos val="none"/>
        <c:spPr>
          <a:ln>
            <a:noFill/>
          </a:ln>
        </c:spPr>
        <c:crossAx val="238767616"/>
        <c:crosses val="autoZero"/>
        <c:crossBetween val="between"/>
      </c:valAx>
    </c:plotArea>
    <c:legend>
      <c:legendPos val="r"/>
      <c:legendEntry>
        <c:idx val="0"/>
        <c:txPr>
          <a:bodyPr/>
          <a:lstStyle/>
          <a:p>
            <a:pPr>
              <a:defRPr b="1">
                <a:solidFill>
                  <a:schemeClr val="tx2"/>
                </a:solidFill>
              </a:defRPr>
            </a:pPr>
            <a:endParaRPr lang="en-US"/>
          </a:p>
        </c:txPr>
      </c:legendEntry>
      <c:legendEntry>
        <c:idx val="1"/>
        <c:txPr>
          <a:bodyPr/>
          <a:lstStyle/>
          <a:p>
            <a:pPr>
              <a:defRPr b="1">
                <a:solidFill>
                  <a:schemeClr val="accent2">
                    <a:lumMod val="75000"/>
                  </a:schemeClr>
                </a:solidFill>
              </a:defRPr>
            </a:pPr>
            <a:endParaRPr lang="en-US"/>
          </a:p>
        </c:txPr>
      </c:legendEntry>
      <c:legendEntry>
        <c:idx val="2"/>
        <c:txPr>
          <a:bodyPr/>
          <a:lstStyle/>
          <a:p>
            <a:pPr>
              <a:defRPr b="1">
                <a:solidFill>
                  <a:srgbClr val="006600"/>
                </a:solidFill>
              </a:defRPr>
            </a:pPr>
            <a:endParaRPr lang="en-US"/>
          </a:p>
        </c:txPr>
      </c:legendEntry>
      <c:layout>
        <c:manualLayout>
          <c:xMode val="edge"/>
          <c:yMode val="edge"/>
          <c:x val="2.7889763779527579E-2"/>
          <c:y val="1.0424644307187363E-2"/>
          <c:w val="0.94988801399825018"/>
          <c:h val="0.11210963589494938"/>
        </c:manualLayout>
      </c:layout>
      <c:overlay val="0"/>
      <c:txPr>
        <a:bodyPr/>
        <a:lstStyle/>
        <a:p>
          <a:pPr>
            <a:defRPr b="1"/>
          </a:pPr>
          <a:endParaRPr lang="en-US"/>
        </a:p>
      </c:txPr>
    </c:legend>
    <c:plotVisOnly val="1"/>
    <c:dispBlanksAs val="gap"/>
    <c:showDLblsOverMax val="0"/>
  </c:chart>
  <c:spPr>
    <a:ln>
      <a:noFill/>
    </a:ln>
  </c:sp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7"/>
    </mc:Choice>
    <mc:Fallback>
      <c:style val="17"/>
    </mc:Fallback>
  </mc:AlternateContent>
  <c:chart>
    <c:autoTitleDeleted val="1"/>
    <c:plotArea>
      <c:layout>
        <c:manualLayout>
          <c:layoutTarget val="inner"/>
          <c:xMode val="edge"/>
          <c:yMode val="edge"/>
          <c:x val="4.9014910370246273E-2"/>
          <c:y val="9.9331772717599492E-2"/>
          <c:w val="0.92609705701680911"/>
          <c:h val="0.90066822728240048"/>
        </c:manualLayout>
      </c:layout>
      <c:barChart>
        <c:barDir val="col"/>
        <c:grouping val="clustered"/>
        <c:varyColors val="0"/>
        <c:ser>
          <c:idx val="0"/>
          <c:order val="0"/>
          <c:tx>
            <c:v>Total Net Gain/Loss</c:v>
          </c:tx>
          <c:invertIfNegative val="0"/>
          <c:dLbls>
            <c:dLbl>
              <c:idx val="4"/>
              <c:layout>
                <c:manualLayout>
                  <c:x val="0"/>
                  <c:y val="2.2522522522522501E-2"/>
                </c:manualLayout>
              </c:layout>
              <c:dLblPos val="outEnd"/>
              <c:showLegendKey val="0"/>
              <c:showVal val="1"/>
              <c:showCatName val="0"/>
              <c:showSerName val="0"/>
              <c:showPercent val="0"/>
              <c:showBubbleSize val="0"/>
            </c:dLbl>
            <c:dLbl>
              <c:idx val="5"/>
              <c:layout>
                <c:manualLayout>
                  <c:x val="0"/>
                  <c:y val="3.1531531531531529E-2"/>
                </c:manualLayout>
              </c:layout>
              <c:dLblPos val="outEnd"/>
              <c:showLegendKey val="0"/>
              <c:showVal val="1"/>
              <c:showCatName val="0"/>
              <c:showSerName val="0"/>
              <c:showPercent val="0"/>
              <c:showBubbleSize val="0"/>
            </c:dLbl>
            <c:txPr>
              <a:bodyPr/>
              <a:lstStyle/>
              <a:p>
                <a:pPr>
                  <a:defRPr b="1"/>
                </a:pPr>
                <a:endParaRPr lang="en-US"/>
              </a:p>
            </c:txPr>
            <c:dLblPos val="outEnd"/>
            <c:showLegendKey val="0"/>
            <c:showVal val="1"/>
            <c:showCatName val="0"/>
            <c:showSerName val="0"/>
            <c:showPercent val="0"/>
            <c:showBubbleSize val="0"/>
            <c:showLeaderLines val="0"/>
          </c:dLbls>
          <c:cat>
            <c:strRef>
              <c:f>'TA Summary'!$P$64:$P$69</c:f>
              <c:strCache>
                <c:ptCount val="6"/>
                <c:pt idx="0">
                  <c:v>FY09</c:v>
                </c:pt>
                <c:pt idx="1">
                  <c:v>FY10</c:v>
                </c:pt>
                <c:pt idx="2">
                  <c:v>FY11</c:v>
                </c:pt>
                <c:pt idx="3">
                  <c:v>FY12</c:v>
                </c:pt>
                <c:pt idx="4">
                  <c:v>FY13</c:v>
                </c:pt>
                <c:pt idx="5">
                  <c:v>FY14</c:v>
                </c:pt>
              </c:strCache>
            </c:strRef>
          </c:cat>
          <c:val>
            <c:numRef>
              <c:f>'TA Summary'!$T$64:$T$69</c:f>
              <c:numCache>
                <c:formatCode>General</c:formatCode>
                <c:ptCount val="6"/>
                <c:pt idx="0">
                  <c:v>-46</c:v>
                </c:pt>
                <c:pt idx="1">
                  <c:v>-43</c:v>
                </c:pt>
                <c:pt idx="2">
                  <c:v>-20</c:v>
                </c:pt>
                <c:pt idx="3">
                  <c:v>-11</c:v>
                </c:pt>
                <c:pt idx="4">
                  <c:v>-6</c:v>
                </c:pt>
                <c:pt idx="5">
                  <c:v>5</c:v>
                </c:pt>
              </c:numCache>
            </c:numRef>
          </c:val>
        </c:ser>
        <c:dLbls>
          <c:showLegendKey val="0"/>
          <c:showVal val="0"/>
          <c:showCatName val="0"/>
          <c:showSerName val="0"/>
          <c:showPercent val="0"/>
          <c:showBubbleSize val="0"/>
        </c:dLbls>
        <c:gapWidth val="50"/>
        <c:axId val="239194624"/>
        <c:axId val="237558528"/>
      </c:barChart>
      <c:catAx>
        <c:axId val="239194624"/>
        <c:scaling>
          <c:orientation val="minMax"/>
        </c:scaling>
        <c:delete val="0"/>
        <c:axPos val="b"/>
        <c:majorTickMark val="out"/>
        <c:minorTickMark val="none"/>
        <c:tickLblPos val="high"/>
        <c:txPr>
          <a:bodyPr/>
          <a:lstStyle/>
          <a:p>
            <a:pPr>
              <a:defRPr b="1"/>
            </a:pPr>
            <a:endParaRPr lang="en-US"/>
          </a:p>
        </c:txPr>
        <c:crossAx val="237558528"/>
        <c:crosses val="autoZero"/>
        <c:auto val="1"/>
        <c:lblAlgn val="ctr"/>
        <c:lblOffset val="100"/>
        <c:noMultiLvlLbl val="0"/>
      </c:catAx>
      <c:valAx>
        <c:axId val="237558528"/>
        <c:scaling>
          <c:orientation val="minMax"/>
          <c:max val="6"/>
          <c:min val="-50"/>
        </c:scaling>
        <c:delete val="0"/>
        <c:axPos val="l"/>
        <c:numFmt formatCode="General" sourceLinked="1"/>
        <c:majorTickMark val="none"/>
        <c:minorTickMark val="none"/>
        <c:tickLblPos val="none"/>
        <c:spPr>
          <a:ln>
            <a:noFill/>
          </a:ln>
        </c:spPr>
        <c:crossAx val="239194624"/>
        <c:crosses val="autoZero"/>
        <c:crossBetween val="between"/>
      </c:valAx>
    </c:plotArea>
    <c:legend>
      <c:legendPos val="b"/>
      <c:layout>
        <c:manualLayout>
          <c:xMode val="edge"/>
          <c:yMode val="edge"/>
          <c:x val="0.47685633635418212"/>
          <c:y val="0.63025714691069024"/>
          <c:w val="0.43077056405685138"/>
          <c:h val="0.20758069092714762"/>
        </c:manualLayout>
      </c:layout>
      <c:overlay val="0"/>
      <c:txPr>
        <a:bodyPr/>
        <a:lstStyle/>
        <a:p>
          <a:pPr>
            <a:defRPr b="1"/>
          </a:pPr>
          <a:endParaRPr lang="en-US"/>
        </a:p>
      </c:txPr>
    </c:legend>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0171457387796271E-2"/>
          <c:y val="5.822416302765648E-3"/>
          <c:w val="0.96570852244080474"/>
          <c:h val="0.8167052917512001"/>
        </c:manualLayout>
      </c:layout>
      <c:barChart>
        <c:barDir val="col"/>
        <c:grouping val="clustered"/>
        <c:varyColors val="0"/>
        <c:ser>
          <c:idx val="0"/>
          <c:order val="0"/>
          <c:spPr>
            <a:solidFill>
              <a:schemeClr val="accent1"/>
            </a:solidFill>
            <a:ln w="12700">
              <a:noFill/>
              <a:prstDash val="solid"/>
            </a:ln>
            <a:effectLst>
              <a:outerShdw blurRad="50800" dist="50800" dir="5400000" algn="ctr" rotWithShape="0">
                <a:schemeClr val="accent6">
                  <a:lumMod val="60000"/>
                  <a:lumOff val="40000"/>
                </a:schemeClr>
              </a:outerShdw>
            </a:effectLst>
            <a:scene3d>
              <a:camera prst="orthographicFront"/>
              <a:lightRig rig="threePt" dir="t">
                <a:rot lat="0" lon="0" rev="1200000"/>
              </a:lightRig>
            </a:scene3d>
            <a:sp3d>
              <a:bevelT w="63500" h="38100"/>
            </a:sp3d>
          </c:spPr>
          <c:invertIfNegative val="0"/>
          <c:dLbls>
            <c:txPr>
              <a:bodyPr/>
              <a:lstStyle/>
              <a:p>
                <a:pPr>
                  <a:defRPr sz="1100" b="1">
                    <a:solidFill>
                      <a:schemeClr val="accent1"/>
                    </a:solidFill>
                    <a:latin typeface="+mn-lt"/>
                  </a:defRPr>
                </a:pPr>
                <a:endParaRPr lang="en-US"/>
              </a:p>
            </c:txPr>
            <c:dLblPos val="outEnd"/>
            <c:showLegendKey val="0"/>
            <c:showVal val="1"/>
            <c:showCatName val="0"/>
            <c:showSerName val="0"/>
            <c:showPercent val="0"/>
            <c:showBubbleSize val="0"/>
            <c:showLeaderLines val="0"/>
          </c:dLbls>
          <c:cat>
            <c:numRef>
              <c:f>'Census &amp; ADT'!$C$6:$N$6</c:f>
              <c:numCache>
                <c:formatCode>mmm\-yy</c:formatCode>
                <c:ptCount val="12"/>
                <c:pt idx="0">
                  <c:v>41578</c:v>
                </c:pt>
                <c:pt idx="1">
                  <c:v>41608</c:v>
                </c:pt>
                <c:pt idx="2">
                  <c:v>41639</c:v>
                </c:pt>
                <c:pt idx="3">
                  <c:v>41670</c:v>
                </c:pt>
                <c:pt idx="4">
                  <c:v>41698</c:v>
                </c:pt>
                <c:pt idx="5">
                  <c:v>41729</c:v>
                </c:pt>
                <c:pt idx="6">
                  <c:v>41759</c:v>
                </c:pt>
                <c:pt idx="7">
                  <c:v>41790</c:v>
                </c:pt>
                <c:pt idx="8">
                  <c:v>41820</c:v>
                </c:pt>
                <c:pt idx="9">
                  <c:v>41851</c:v>
                </c:pt>
                <c:pt idx="10">
                  <c:v>41882</c:v>
                </c:pt>
                <c:pt idx="11">
                  <c:v>41912</c:v>
                </c:pt>
              </c:numCache>
            </c:numRef>
          </c:cat>
          <c:val>
            <c:numRef>
              <c:f>'Census &amp; ADT'!$C$29:$N$29</c:f>
              <c:numCache>
                <c:formatCode>General</c:formatCode>
                <c:ptCount val="12"/>
                <c:pt idx="0">
                  <c:v>5</c:v>
                </c:pt>
                <c:pt idx="1">
                  <c:v>5</c:v>
                </c:pt>
                <c:pt idx="2">
                  <c:v>6</c:v>
                </c:pt>
                <c:pt idx="3">
                  <c:v>25</c:v>
                </c:pt>
                <c:pt idx="4">
                  <c:v>7</c:v>
                </c:pt>
                <c:pt idx="5">
                  <c:v>11</c:v>
                </c:pt>
                <c:pt idx="6">
                  <c:v>5</c:v>
                </c:pt>
                <c:pt idx="7">
                  <c:v>10</c:v>
                </c:pt>
                <c:pt idx="8">
                  <c:v>7</c:v>
                </c:pt>
                <c:pt idx="9">
                  <c:v>22</c:v>
                </c:pt>
                <c:pt idx="10">
                  <c:v>11</c:v>
                </c:pt>
                <c:pt idx="11">
                  <c:v>22</c:v>
                </c:pt>
              </c:numCache>
            </c:numRef>
          </c:val>
        </c:ser>
        <c:dLbls>
          <c:showLegendKey val="0"/>
          <c:showVal val="0"/>
          <c:showCatName val="0"/>
          <c:showSerName val="0"/>
          <c:showPercent val="0"/>
          <c:showBubbleSize val="0"/>
        </c:dLbls>
        <c:gapWidth val="50"/>
        <c:overlap val="50"/>
        <c:axId val="239195136"/>
        <c:axId val="276717568"/>
      </c:barChart>
      <c:dateAx>
        <c:axId val="239195136"/>
        <c:scaling>
          <c:orientation val="minMax"/>
        </c:scaling>
        <c:delete val="0"/>
        <c:axPos val="b"/>
        <c:numFmt formatCode="mmm\-yy" sourceLinked="1"/>
        <c:majorTickMark val="out"/>
        <c:minorTickMark val="none"/>
        <c:tickLblPos val="nextTo"/>
        <c:txPr>
          <a:bodyPr/>
          <a:lstStyle/>
          <a:p>
            <a:pPr>
              <a:defRPr sz="1000" b="1">
                <a:solidFill>
                  <a:schemeClr val="accent1"/>
                </a:solidFill>
                <a:latin typeface="+mn-lt"/>
              </a:defRPr>
            </a:pPr>
            <a:endParaRPr lang="en-US"/>
          </a:p>
        </c:txPr>
        <c:crossAx val="276717568"/>
        <c:crossesAt val="0"/>
        <c:auto val="1"/>
        <c:lblOffset val="100"/>
        <c:baseTimeUnit val="months"/>
      </c:dateAx>
      <c:valAx>
        <c:axId val="276717568"/>
        <c:scaling>
          <c:orientation val="minMax"/>
        </c:scaling>
        <c:delete val="0"/>
        <c:axPos val="l"/>
        <c:numFmt formatCode="General" sourceLinked="1"/>
        <c:majorTickMark val="cross"/>
        <c:minorTickMark val="none"/>
        <c:tickLblPos val="none"/>
        <c:spPr>
          <a:ln w="3175">
            <a:solidFill>
              <a:srgbClr val="FFFFFF"/>
            </a:solidFill>
            <a:prstDash val="solid"/>
          </a:ln>
        </c:spPr>
        <c:crossAx val="239195136"/>
        <c:crosses val="autoZero"/>
        <c:crossBetween val="between"/>
      </c:valAx>
      <c:spPr>
        <a:noFill/>
        <a:ln w="25400">
          <a:noFill/>
        </a:ln>
      </c:spPr>
    </c:plotArea>
    <c:plotVisOnly val="1"/>
    <c:dispBlanksAs val="gap"/>
    <c:showDLblsOverMax val="0"/>
  </c:chart>
  <c:spPr>
    <a:noFill/>
    <a:ln w="3175">
      <a:noFill/>
      <a:prstDash val="solid"/>
    </a:ln>
  </c:spPr>
  <c:txPr>
    <a:bodyPr/>
    <a:lstStyle/>
    <a:p>
      <a:pPr>
        <a:defRPr sz="1175" b="0" i="0" u="none" strike="noStrike" baseline="0">
          <a:solidFill>
            <a:srgbClr val="000000"/>
          </a:solidFill>
          <a:latin typeface="Arial Narrow"/>
          <a:ea typeface="Arial Narrow"/>
          <a:cs typeface="Arial Narrow"/>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1.5347423677303495E-2"/>
          <c:y val="0"/>
          <c:w val="0.95874958354663875"/>
          <c:h val="0.8200566431172388"/>
        </c:manualLayout>
      </c:layout>
      <c:barChart>
        <c:barDir val="col"/>
        <c:grouping val="clustered"/>
        <c:varyColors val="0"/>
        <c:ser>
          <c:idx val="0"/>
          <c:order val="0"/>
          <c:tx>
            <c:strRef>
              <c:f>Summary!$B$32</c:f>
              <c:strCache>
                <c:ptCount val="1"/>
                <c:pt idx="0">
                  <c:v>FY11 Total</c:v>
                </c:pt>
              </c:strCache>
            </c:strRef>
          </c:tx>
          <c:invertIfNegative val="0"/>
          <c:dLbls>
            <c:txPr>
              <a:bodyPr/>
              <a:lstStyle/>
              <a:p>
                <a:pPr>
                  <a:defRPr b="1">
                    <a:solidFill>
                      <a:schemeClr val="tx2"/>
                    </a:solidFill>
                  </a:defRPr>
                </a:pPr>
                <a:endParaRPr lang="en-US"/>
              </a:p>
            </c:txPr>
            <c:showLegendKey val="0"/>
            <c:showVal val="1"/>
            <c:showCatName val="0"/>
            <c:showSerName val="0"/>
            <c:showPercent val="0"/>
            <c:showBubbleSize val="0"/>
            <c:showLeaderLines val="0"/>
          </c:dLbls>
          <c:cat>
            <c:strRef>
              <c:f>Summary!$A$33:$A$39</c:f>
              <c:strCache>
                <c:ptCount val="7"/>
                <c:pt idx="0">
                  <c:v>Medical
[Emergency]</c:v>
                </c:pt>
                <c:pt idx="1">
                  <c:v>Medical
[Non-Emergency]</c:v>
                </c:pt>
                <c:pt idx="2">
                  <c:v>Home Visit</c:v>
                </c:pt>
                <c:pt idx="3">
                  <c:v>Pre-discharge Activities</c:v>
                </c:pt>
                <c:pt idx="4">
                  <c:v>Court Order/ Hearing</c:v>
                </c:pt>
                <c:pt idx="5">
                  <c:v>Therapeutic Comm. Activity</c:v>
                </c:pt>
                <c:pt idx="6">
                  <c:v>Unauthorized
Leave</c:v>
                </c:pt>
              </c:strCache>
            </c:strRef>
          </c:cat>
          <c:val>
            <c:numRef>
              <c:f>Summary!$B$33:$B$39</c:f>
              <c:numCache>
                <c:formatCode>General</c:formatCode>
                <c:ptCount val="7"/>
                <c:pt idx="0">
                  <c:v>250</c:v>
                </c:pt>
                <c:pt idx="1">
                  <c:v>217</c:v>
                </c:pt>
                <c:pt idx="2">
                  <c:v>252</c:v>
                </c:pt>
                <c:pt idx="3">
                  <c:v>322</c:v>
                </c:pt>
                <c:pt idx="4">
                  <c:v>304</c:v>
                </c:pt>
                <c:pt idx="6">
                  <c:v>47</c:v>
                </c:pt>
              </c:numCache>
            </c:numRef>
          </c:val>
        </c:ser>
        <c:ser>
          <c:idx val="1"/>
          <c:order val="1"/>
          <c:tx>
            <c:strRef>
              <c:f>Summary!$C$32</c:f>
              <c:strCache>
                <c:ptCount val="1"/>
                <c:pt idx="0">
                  <c:v>FY12 Total</c:v>
                </c:pt>
              </c:strCache>
            </c:strRef>
          </c:tx>
          <c:invertIfNegative val="0"/>
          <c:dLbls>
            <c:spPr>
              <a:noFill/>
            </c:spPr>
            <c:txPr>
              <a:bodyPr/>
              <a:lstStyle/>
              <a:p>
                <a:pPr>
                  <a:defRPr b="1">
                    <a:solidFill>
                      <a:srgbClr val="C00000"/>
                    </a:solidFill>
                  </a:defRPr>
                </a:pPr>
                <a:endParaRPr lang="en-US"/>
              </a:p>
            </c:txPr>
            <c:showLegendKey val="0"/>
            <c:showVal val="1"/>
            <c:showCatName val="0"/>
            <c:showSerName val="0"/>
            <c:showPercent val="0"/>
            <c:showBubbleSize val="0"/>
            <c:showLeaderLines val="0"/>
          </c:dLbls>
          <c:cat>
            <c:strRef>
              <c:f>Summary!$A$33:$A$39</c:f>
              <c:strCache>
                <c:ptCount val="7"/>
                <c:pt idx="0">
                  <c:v>Medical
[Emergency]</c:v>
                </c:pt>
                <c:pt idx="1">
                  <c:v>Medical
[Non-Emergency]</c:v>
                </c:pt>
                <c:pt idx="2">
                  <c:v>Home Visit</c:v>
                </c:pt>
                <c:pt idx="3">
                  <c:v>Pre-discharge Activities</c:v>
                </c:pt>
                <c:pt idx="4">
                  <c:v>Court Order/ Hearing</c:v>
                </c:pt>
                <c:pt idx="5">
                  <c:v>Therapeutic Comm. Activity</c:v>
                </c:pt>
                <c:pt idx="6">
                  <c:v>Unauthorized
Leave</c:v>
                </c:pt>
              </c:strCache>
            </c:strRef>
          </c:cat>
          <c:val>
            <c:numRef>
              <c:f>Summary!$C$33:$C$39</c:f>
              <c:numCache>
                <c:formatCode>General</c:formatCode>
                <c:ptCount val="7"/>
                <c:pt idx="0">
                  <c:v>268</c:v>
                </c:pt>
                <c:pt idx="1">
                  <c:v>296</c:v>
                </c:pt>
                <c:pt idx="2">
                  <c:v>437</c:v>
                </c:pt>
                <c:pt idx="3">
                  <c:v>323</c:v>
                </c:pt>
                <c:pt idx="4">
                  <c:v>433</c:v>
                </c:pt>
                <c:pt idx="6">
                  <c:v>26</c:v>
                </c:pt>
              </c:numCache>
            </c:numRef>
          </c:val>
        </c:ser>
        <c:ser>
          <c:idx val="2"/>
          <c:order val="2"/>
          <c:tx>
            <c:strRef>
              <c:f>Summary!$D$32</c:f>
              <c:strCache>
                <c:ptCount val="1"/>
                <c:pt idx="0">
                  <c:v>FY13 Total</c:v>
                </c:pt>
              </c:strCache>
            </c:strRef>
          </c:tx>
          <c:invertIfNegative val="0"/>
          <c:dLbls>
            <c:txPr>
              <a:bodyPr/>
              <a:lstStyle/>
              <a:p>
                <a:pPr>
                  <a:defRPr b="1" u="sng">
                    <a:solidFill>
                      <a:schemeClr val="accent3">
                        <a:lumMod val="50000"/>
                      </a:schemeClr>
                    </a:solidFill>
                  </a:defRPr>
                </a:pPr>
                <a:endParaRPr lang="en-US"/>
              </a:p>
            </c:txPr>
            <c:showLegendKey val="0"/>
            <c:showVal val="1"/>
            <c:showCatName val="0"/>
            <c:showSerName val="0"/>
            <c:showPercent val="0"/>
            <c:showBubbleSize val="0"/>
            <c:showLeaderLines val="0"/>
          </c:dLbls>
          <c:val>
            <c:numRef>
              <c:f>Summary!$D$33:$D$39</c:f>
              <c:numCache>
                <c:formatCode>General</c:formatCode>
                <c:ptCount val="7"/>
                <c:pt idx="0">
                  <c:v>188</c:v>
                </c:pt>
                <c:pt idx="1">
                  <c:v>291</c:v>
                </c:pt>
                <c:pt idx="2">
                  <c:v>471</c:v>
                </c:pt>
                <c:pt idx="3">
                  <c:v>129</c:v>
                </c:pt>
                <c:pt idx="4">
                  <c:v>449</c:v>
                </c:pt>
                <c:pt idx="5">
                  <c:v>31</c:v>
                </c:pt>
                <c:pt idx="6">
                  <c:v>26</c:v>
                </c:pt>
              </c:numCache>
            </c:numRef>
          </c:val>
        </c:ser>
        <c:ser>
          <c:idx val="3"/>
          <c:order val="3"/>
          <c:tx>
            <c:strRef>
              <c:f>Summary!$E$32</c:f>
              <c:strCache>
                <c:ptCount val="1"/>
                <c:pt idx="0">
                  <c:v>FY14 Total</c:v>
                </c:pt>
              </c:strCache>
            </c:strRef>
          </c:tx>
          <c:spPr>
            <a:gradFill>
              <a:gsLst>
                <a:gs pos="0">
                  <a:schemeClr val="tx1">
                    <a:lumMod val="50000"/>
                    <a:lumOff val="50000"/>
                  </a:schemeClr>
                </a:gs>
                <a:gs pos="50000">
                  <a:schemeClr val="tx1">
                    <a:lumMod val="85000"/>
                    <a:lumOff val="15000"/>
                  </a:schemeClr>
                </a:gs>
                <a:gs pos="100000">
                  <a:schemeClr val="tx1"/>
                </a:gs>
              </a:gsLst>
              <a:lin ang="5400000" scaled="0"/>
            </a:gradFill>
          </c:spPr>
          <c:invertIfNegative val="0"/>
          <c:dLbls>
            <c:txPr>
              <a:bodyPr/>
              <a:lstStyle/>
              <a:p>
                <a:pPr>
                  <a:defRPr b="1" u="sng">
                    <a:solidFill>
                      <a:sysClr val="windowText" lastClr="000000"/>
                    </a:solidFill>
                  </a:defRPr>
                </a:pPr>
                <a:endParaRPr lang="en-US"/>
              </a:p>
            </c:txPr>
            <c:showLegendKey val="0"/>
            <c:showVal val="1"/>
            <c:showCatName val="0"/>
            <c:showSerName val="0"/>
            <c:showPercent val="0"/>
            <c:showBubbleSize val="0"/>
            <c:showLeaderLines val="0"/>
          </c:dLbls>
          <c:val>
            <c:numRef>
              <c:f>Summary!$E$33:$E$39</c:f>
              <c:numCache>
                <c:formatCode>General</c:formatCode>
                <c:ptCount val="7"/>
                <c:pt idx="0">
                  <c:v>190</c:v>
                </c:pt>
                <c:pt idx="1">
                  <c:v>558</c:v>
                </c:pt>
                <c:pt idx="2">
                  <c:v>671</c:v>
                </c:pt>
                <c:pt idx="3">
                  <c:v>320</c:v>
                </c:pt>
                <c:pt idx="4">
                  <c:v>516</c:v>
                </c:pt>
                <c:pt idx="5">
                  <c:v>1378</c:v>
                </c:pt>
                <c:pt idx="6">
                  <c:v>8</c:v>
                </c:pt>
              </c:numCache>
            </c:numRef>
          </c:val>
        </c:ser>
        <c:dLbls>
          <c:showLegendKey val="0"/>
          <c:showVal val="0"/>
          <c:showCatName val="0"/>
          <c:showSerName val="0"/>
          <c:showPercent val="0"/>
          <c:showBubbleSize val="0"/>
        </c:dLbls>
        <c:gapWidth val="62"/>
        <c:axId val="239195648"/>
        <c:axId val="276719296"/>
      </c:barChart>
      <c:catAx>
        <c:axId val="239195648"/>
        <c:scaling>
          <c:orientation val="minMax"/>
        </c:scaling>
        <c:delete val="0"/>
        <c:axPos val="b"/>
        <c:majorTickMark val="out"/>
        <c:minorTickMark val="none"/>
        <c:tickLblPos val="nextTo"/>
        <c:txPr>
          <a:bodyPr rot="0" vert="horz"/>
          <a:lstStyle/>
          <a:p>
            <a:pPr>
              <a:defRPr/>
            </a:pPr>
            <a:endParaRPr lang="en-US"/>
          </a:p>
        </c:txPr>
        <c:crossAx val="276719296"/>
        <c:crosses val="autoZero"/>
        <c:auto val="1"/>
        <c:lblAlgn val="ctr"/>
        <c:lblOffset val="100"/>
        <c:noMultiLvlLbl val="0"/>
      </c:catAx>
      <c:valAx>
        <c:axId val="276719296"/>
        <c:scaling>
          <c:orientation val="minMax"/>
        </c:scaling>
        <c:delete val="0"/>
        <c:axPos val="l"/>
        <c:numFmt formatCode="General" sourceLinked="1"/>
        <c:majorTickMark val="none"/>
        <c:minorTickMark val="none"/>
        <c:tickLblPos val="none"/>
        <c:spPr>
          <a:ln>
            <a:noFill/>
          </a:ln>
        </c:spPr>
        <c:crossAx val="239195648"/>
        <c:crosses val="autoZero"/>
        <c:crossBetween val="between"/>
      </c:valAx>
    </c:plotArea>
    <c:legend>
      <c:legendPos val="t"/>
      <c:legendEntry>
        <c:idx val="0"/>
        <c:txPr>
          <a:bodyPr/>
          <a:lstStyle/>
          <a:p>
            <a:pPr>
              <a:defRPr b="1">
                <a:solidFill>
                  <a:schemeClr val="tx2"/>
                </a:solidFill>
              </a:defRPr>
            </a:pPr>
            <a:endParaRPr lang="en-US"/>
          </a:p>
        </c:txPr>
      </c:legendEntry>
      <c:legendEntry>
        <c:idx val="1"/>
        <c:txPr>
          <a:bodyPr/>
          <a:lstStyle/>
          <a:p>
            <a:pPr>
              <a:defRPr b="1">
                <a:solidFill>
                  <a:srgbClr val="C00000"/>
                </a:solidFill>
              </a:defRPr>
            </a:pPr>
            <a:endParaRPr lang="en-US"/>
          </a:p>
        </c:txPr>
      </c:legendEntry>
      <c:legendEntry>
        <c:idx val="2"/>
        <c:txPr>
          <a:bodyPr/>
          <a:lstStyle/>
          <a:p>
            <a:pPr>
              <a:defRPr b="1" u="none">
                <a:solidFill>
                  <a:schemeClr val="accent3">
                    <a:lumMod val="50000"/>
                  </a:schemeClr>
                </a:solidFill>
              </a:defRPr>
            </a:pPr>
            <a:endParaRPr lang="en-US"/>
          </a:p>
        </c:txPr>
      </c:legendEntry>
      <c:legendEntry>
        <c:idx val="3"/>
        <c:txPr>
          <a:bodyPr/>
          <a:lstStyle/>
          <a:p>
            <a:pPr>
              <a:defRPr b="1" u="sng"/>
            </a:pPr>
            <a:endParaRPr lang="en-US"/>
          </a:p>
        </c:txPr>
      </c:legendEntry>
      <c:layout>
        <c:manualLayout>
          <c:xMode val="edge"/>
          <c:yMode val="edge"/>
          <c:x val="0.58508274623566792"/>
          <c:y val="9.0999103716608257E-2"/>
          <c:w val="0.1693032186766128"/>
          <c:h val="0.27836462411002322"/>
        </c:manualLayout>
      </c:layout>
      <c:overlay val="0"/>
      <c:txPr>
        <a:bodyPr/>
        <a:lstStyle/>
        <a:p>
          <a:pPr>
            <a:defRPr b="1"/>
          </a:pPr>
          <a:endParaRPr lang="en-US"/>
        </a:p>
      </c:txPr>
    </c:legend>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1"/>
    </mc:Choice>
    <mc:Fallback>
      <c:style val="21"/>
    </mc:Fallback>
  </mc:AlternateContent>
  <c:chart>
    <c:autoTitleDeleted val="1"/>
    <c:plotArea>
      <c:layout>
        <c:manualLayout>
          <c:layoutTarget val="inner"/>
          <c:xMode val="edge"/>
          <c:yMode val="edge"/>
          <c:x val="6.8309060312052014E-2"/>
          <c:y val="4.6257818713343168E-2"/>
          <c:w val="0.85585562674230942"/>
          <c:h val="0.90727732674228945"/>
        </c:manualLayout>
      </c:layout>
      <c:pieChart>
        <c:varyColors val="1"/>
        <c:ser>
          <c:idx val="0"/>
          <c:order val="0"/>
          <c:tx>
            <c:strRef>
              <c:f>Summary!$B$59</c:f>
              <c:strCache>
                <c:ptCount val="1"/>
                <c:pt idx="0">
                  <c:v>Count</c:v>
                </c:pt>
              </c:strCache>
            </c:strRef>
          </c:tx>
          <c:explosion val="5"/>
          <c:dPt>
            <c:idx val="0"/>
            <c:bubble3D val="0"/>
            <c:spPr>
              <a:gradFill>
                <a:gsLst>
                  <a:gs pos="0">
                    <a:srgbClr val="39471D"/>
                  </a:gs>
                  <a:gs pos="50000">
                    <a:schemeClr val="accent3">
                      <a:lumMod val="50000"/>
                    </a:schemeClr>
                  </a:gs>
                  <a:gs pos="100000">
                    <a:schemeClr val="accent3">
                      <a:lumMod val="50000"/>
                    </a:schemeClr>
                  </a:gs>
                </a:gsLst>
                <a:lin ang="5400000" scaled="0"/>
              </a:gradFill>
            </c:spPr>
          </c:dPt>
          <c:dPt>
            <c:idx val="1"/>
            <c:bubble3D val="0"/>
            <c:spPr>
              <a:gradFill>
                <a:gsLst>
                  <a:gs pos="0">
                    <a:schemeClr val="accent3">
                      <a:lumMod val="50000"/>
                    </a:schemeClr>
                  </a:gs>
                  <a:gs pos="50000">
                    <a:srgbClr val="678034"/>
                  </a:gs>
                  <a:gs pos="100000">
                    <a:srgbClr val="74913B"/>
                  </a:gs>
                </a:gsLst>
                <a:lin ang="5400000" scaled="0"/>
              </a:gradFill>
            </c:spPr>
          </c:dPt>
          <c:dPt>
            <c:idx val="2"/>
            <c:bubble3D val="0"/>
            <c:spPr>
              <a:gradFill>
                <a:gsLst>
                  <a:gs pos="0">
                    <a:srgbClr val="FFD961"/>
                  </a:gs>
                  <a:gs pos="50000">
                    <a:srgbClr val="FFE9A3"/>
                  </a:gs>
                  <a:gs pos="100000">
                    <a:srgbClr val="FFF1C5"/>
                  </a:gs>
                </a:gsLst>
                <a:lin ang="5400000" scaled="0"/>
              </a:gradFill>
            </c:spPr>
          </c:dPt>
          <c:dPt>
            <c:idx val="3"/>
            <c:bubble3D val="0"/>
            <c:spPr>
              <a:solidFill>
                <a:srgbClr val="FFC000"/>
              </a:solidFill>
            </c:spPr>
          </c:dPt>
          <c:dPt>
            <c:idx val="4"/>
            <c:bubble3D val="0"/>
            <c:spPr>
              <a:solidFill>
                <a:schemeClr val="accent6">
                  <a:lumMod val="75000"/>
                </a:schemeClr>
              </a:solidFill>
            </c:spPr>
          </c:dPt>
          <c:dPt>
            <c:idx val="5"/>
            <c:bubble3D val="0"/>
            <c:spPr>
              <a:gradFill>
                <a:gsLst>
                  <a:gs pos="0">
                    <a:schemeClr val="accent2">
                      <a:lumMod val="75000"/>
                    </a:schemeClr>
                  </a:gs>
                  <a:gs pos="50000">
                    <a:schemeClr val="accent2">
                      <a:lumMod val="75000"/>
                    </a:schemeClr>
                  </a:gs>
                  <a:gs pos="100000">
                    <a:schemeClr val="accent2"/>
                  </a:gs>
                </a:gsLst>
                <a:lin ang="5400000" scaled="0"/>
              </a:gradFill>
            </c:spPr>
          </c:dPt>
          <c:dLbls>
            <c:dLbl>
              <c:idx val="0"/>
              <c:spPr/>
              <c:txPr>
                <a:bodyPr/>
                <a:lstStyle/>
                <a:p>
                  <a:pPr>
                    <a:defRPr b="1">
                      <a:solidFill>
                        <a:schemeClr val="bg1"/>
                      </a:solidFill>
                    </a:defRPr>
                  </a:pPr>
                  <a:endParaRPr lang="en-US"/>
                </a:p>
              </c:txPr>
              <c:dLblPos val="inEnd"/>
              <c:showLegendKey val="0"/>
              <c:showVal val="0"/>
              <c:showCatName val="1"/>
              <c:showSerName val="0"/>
              <c:showPercent val="1"/>
              <c:showBubbleSize val="0"/>
            </c:dLbl>
            <c:dLbl>
              <c:idx val="1"/>
              <c:spPr/>
              <c:txPr>
                <a:bodyPr/>
                <a:lstStyle/>
                <a:p>
                  <a:pPr>
                    <a:defRPr b="1">
                      <a:solidFill>
                        <a:schemeClr val="bg1"/>
                      </a:solidFill>
                    </a:defRPr>
                  </a:pPr>
                  <a:endParaRPr lang="en-US"/>
                </a:p>
              </c:txPr>
              <c:dLblPos val="inEnd"/>
              <c:showLegendKey val="0"/>
              <c:showVal val="0"/>
              <c:showCatName val="1"/>
              <c:showSerName val="0"/>
              <c:showPercent val="1"/>
              <c:showBubbleSize val="0"/>
            </c:dLbl>
            <c:dLbl>
              <c:idx val="4"/>
              <c:layout>
                <c:manualLayout>
                  <c:x val="2.6708726626562984E-2"/>
                  <c:y val="5.6164085746706352E-2"/>
                </c:manualLayout>
              </c:layout>
              <c:dLblPos val="bestFit"/>
              <c:showLegendKey val="0"/>
              <c:showVal val="0"/>
              <c:showCatName val="1"/>
              <c:showSerName val="0"/>
              <c:showPercent val="1"/>
              <c:showBubbleSize val="0"/>
              <c:separator>
</c:separator>
            </c:dLbl>
            <c:dLbl>
              <c:idx val="5"/>
              <c:layout>
                <c:manualLayout>
                  <c:x val="-6.8372012708937613E-2"/>
                  <c:y val="5.8444050127536874E-2"/>
                </c:manualLayout>
              </c:layout>
              <c:spPr/>
              <c:txPr>
                <a:bodyPr/>
                <a:lstStyle/>
                <a:p>
                  <a:pPr>
                    <a:defRPr b="1">
                      <a:solidFill>
                        <a:srgbClr val="C00000"/>
                      </a:solidFill>
                      <a:effectLst>
                        <a:glow rad="88900">
                          <a:schemeClr val="bg1"/>
                        </a:glow>
                      </a:effectLst>
                    </a:defRPr>
                  </a:pPr>
                  <a:endParaRPr lang="en-US"/>
                </a:p>
              </c:txPr>
              <c:dLblPos val="bestFit"/>
              <c:showLegendKey val="0"/>
              <c:showVal val="0"/>
              <c:showCatName val="1"/>
              <c:showSerName val="0"/>
              <c:showPercent val="1"/>
              <c:showBubbleSize val="0"/>
              <c:separator>
</c:separator>
            </c:dLbl>
            <c:txPr>
              <a:bodyPr/>
              <a:lstStyle/>
              <a:p>
                <a:pPr>
                  <a:defRPr b="1"/>
                </a:pPr>
                <a:endParaRPr lang="en-US"/>
              </a:p>
            </c:txPr>
            <c:dLblPos val="inEnd"/>
            <c:showLegendKey val="0"/>
            <c:showVal val="0"/>
            <c:showCatName val="1"/>
            <c:showSerName val="0"/>
            <c:showPercent val="1"/>
            <c:showBubbleSize val="0"/>
            <c:separator>
</c:separator>
            <c:showLeaderLines val="1"/>
          </c:dLbls>
          <c:cat>
            <c:strRef>
              <c:f>Summary!$A$60:$A$65</c:f>
              <c:strCache>
                <c:ptCount val="6"/>
                <c:pt idx="0">
                  <c:v>Same Day</c:v>
                </c:pt>
                <c:pt idx="1">
                  <c:v>Next Day</c:v>
                </c:pt>
                <c:pt idx="2">
                  <c:v>2~5 Days</c:v>
                </c:pt>
                <c:pt idx="3">
                  <c:v>6~10 Days</c:v>
                </c:pt>
                <c:pt idx="4">
                  <c:v>11~30 Days</c:v>
                </c:pt>
                <c:pt idx="5">
                  <c:v>&gt;=31 Days</c:v>
                </c:pt>
              </c:strCache>
            </c:strRef>
          </c:cat>
          <c:val>
            <c:numRef>
              <c:f>Summary!$B$60:$B$65</c:f>
              <c:numCache>
                <c:formatCode>General</c:formatCode>
                <c:ptCount val="6"/>
                <c:pt idx="0">
                  <c:v>61</c:v>
                </c:pt>
                <c:pt idx="1">
                  <c:v>50</c:v>
                </c:pt>
                <c:pt idx="2">
                  <c:v>34</c:v>
                </c:pt>
                <c:pt idx="3">
                  <c:v>21</c:v>
                </c:pt>
                <c:pt idx="4">
                  <c:v>11</c:v>
                </c:pt>
                <c:pt idx="5">
                  <c:v>13</c:v>
                </c:pt>
              </c:numCache>
            </c:numRef>
          </c:val>
        </c:ser>
        <c:dLbls>
          <c:showLegendKey val="0"/>
          <c:showVal val="0"/>
          <c:showCatName val="0"/>
          <c:showSerName val="0"/>
          <c:showPercent val="0"/>
          <c:showBubbleSize val="0"/>
          <c:showLeaderLines val="1"/>
        </c:dLbls>
        <c:firstSliceAng val="30"/>
      </c:pieChart>
    </c:plotArea>
    <c:plotVisOnly val="1"/>
    <c:dispBlanksAs val="gap"/>
    <c:showDLblsOverMax val="0"/>
  </c:chart>
  <c:spPr>
    <a:noFill/>
    <a:ln>
      <a:noFill/>
    </a:ln>
    <a:scene3d>
      <a:camera prst="orthographicFront"/>
      <a:lightRig rig="threePt" dir="t"/>
    </a:scene3d>
    <a:sp3d>
      <a:bevelT w="31750"/>
      <a:bevelB w="31750"/>
    </a:sp3d>
  </c:sp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2"/>
    </mc:Choice>
    <mc:Fallback>
      <c:style val="12"/>
    </mc:Fallback>
  </mc:AlternateContent>
  <c:chart>
    <c:autoTitleDeleted val="0"/>
    <c:plotArea>
      <c:layout>
        <c:manualLayout>
          <c:layoutTarget val="inner"/>
          <c:xMode val="edge"/>
          <c:yMode val="edge"/>
          <c:x val="8.5456677683181284E-2"/>
          <c:y val="3.6733008876403336E-2"/>
          <c:w val="0.70501794625768488"/>
          <c:h val="0.82907123204773669"/>
        </c:manualLayout>
      </c:layout>
      <c:barChart>
        <c:barDir val="col"/>
        <c:grouping val="percentStacked"/>
        <c:varyColors val="0"/>
        <c:ser>
          <c:idx val="6"/>
          <c:order val="0"/>
          <c:tx>
            <c:strRef>
              <c:f>'Summary Demographics'!$A$39</c:f>
              <c:strCache>
                <c:ptCount val="1"/>
                <c:pt idx="0">
                  <c:v>&gt;=70yrs</c:v>
                </c:pt>
              </c:strCache>
            </c:strRef>
          </c:tx>
          <c:spPr>
            <a:solidFill>
              <a:schemeClr val="accent2">
                <a:lumMod val="50000"/>
              </a:schemeClr>
            </a:solidFill>
          </c:spPr>
          <c:invertIfNegative val="0"/>
          <c:dLbls>
            <c:txPr>
              <a:bodyPr/>
              <a:lstStyle/>
              <a:p>
                <a:pPr>
                  <a:defRPr b="1">
                    <a:solidFill>
                      <a:schemeClr val="bg1"/>
                    </a:solidFill>
                  </a:defRPr>
                </a:pPr>
                <a:endParaRPr lang="en-US"/>
              </a:p>
            </c:txPr>
            <c:showLegendKey val="0"/>
            <c:showVal val="1"/>
            <c:showCatName val="0"/>
            <c:showSerName val="0"/>
            <c:showPercent val="0"/>
            <c:showBubbleSize val="0"/>
            <c:showLeaderLines val="0"/>
          </c:dLbls>
          <c:cat>
            <c:strRef>
              <c:f>'Summary Demographics'!$C$32:$I$32</c:f>
              <c:strCache>
                <c:ptCount val="7"/>
                <c:pt idx="0">
                  <c:v>10/31/08 (n=403)</c:v>
                </c:pt>
                <c:pt idx="1">
                  <c:v>9/30/09
(n=344)</c:v>
                </c:pt>
                <c:pt idx="2">
                  <c:v>9/30/10
(n=311)</c:v>
                </c:pt>
                <c:pt idx="3">
                  <c:v>9/30/11
(n=290)</c:v>
                </c:pt>
                <c:pt idx="4">
                  <c:v>9/30/12
(n=279)</c:v>
                </c:pt>
                <c:pt idx="5">
                  <c:v>9/30/13
(n=273)</c:v>
                </c:pt>
                <c:pt idx="6">
                  <c:v>9/30/14
(n=278)</c:v>
                </c:pt>
              </c:strCache>
            </c:strRef>
          </c:cat>
          <c:val>
            <c:numRef>
              <c:f>'Summary Demographics'!$C$39:$I$39</c:f>
              <c:numCache>
                <c:formatCode>0%</c:formatCode>
                <c:ptCount val="7"/>
                <c:pt idx="0">
                  <c:v>7.9404466501240695E-2</c:v>
                </c:pt>
                <c:pt idx="1">
                  <c:v>6.9767441860465115E-2</c:v>
                </c:pt>
                <c:pt idx="2">
                  <c:v>8.0385852090032156E-2</c:v>
                </c:pt>
                <c:pt idx="3">
                  <c:v>6.8965517241379309E-2</c:v>
                </c:pt>
                <c:pt idx="4">
                  <c:v>7.1684587813620068E-2</c:v>
                </c:pt>
                <c:pt idx="5">
                  <c:v>8.7912087912087919E-2</c:v>
                </c:pt>
                <c:pt idx="6">
                  <c:v>0.10071942446043167</c:v>
                </c:pt>
              </c:numCache>
            </c:numRef>
          </c:val>
        </c:ser>
        <c:ser>
          <c:idx val="4"/>
          <c:order val="1"/>
          <c:tx>
            <c:strRef>
              <c:f>'Summary Demographics'!$A$26</c:f>
              <c:strCache>
                <c:ptCount val="1"/>
                <c:pt idx="0">
                  <c:v>60~69yrs</c:v>
                </c:pt>
              </c:strCache>
            </c:strRef>
          </c:tx>
          <c:invertIfNegative val="0"/>
          <c:dLbls>
            <c:txPr>
              <a:bodyPr/>
              <a:lstStyle/>
              <a:p>
                <a:pPr>
                  <a:defRPr b="1"/>
                </a:pPr>
                <a:endParaRPr lang="en-US"/>
              </a:p>
            </c:txPr>
            <c:showLegendKey val="0"/>
            <c:showVal val="1"/>
            <c:showCatName val="0"/>
            <c:showSerName val="0"/>
            <c:showPercent val="0"/>
            <c:showBubbleSize val="0"/>
            <c:showLeaderLines val="0"/>
          </c:dLbls>
          <c:cat>
            <c:strRef>
              <c:f>'Summary Demographics'!$C$32:$I$32</c:f>
              <c:strCache>
                <c:ptCount val="7"/>
                <c:pt idx="0">
                  <c:v>10/31/08 (n=403)</c:v>
                </c:pt>
                <c:pt idx="1">
                  <c:v>9/30/09
(n=344)</c:v>
                </c:pt>
                <c:pt idx="2">
                  <c:v>9/30/10
(n=311)</c:v>
                </c:pt>
                <c:pt idx="3">
                  <c:v>9/30/11
(n=290)</c:v>
                </c:pt>
                <c:pt idx="4">
                  <c:v>9/30/12
(n=279)</c:v>
                </c:pt>
                <c:pt idx="5">
                  <c:v>9/30/13
(n=273)</c:v>
                </c:pt>
                <c:pt idx="6">
                  <c:v>9/30/14
(n=278)</c:v>
                </c:pt>
              </c:strCache>
            </c:strRef>
          </c:cat>
          <c:val>
            <c:numRef>
              <c:f>'Summary Demographics'!$C$26:$I$26</c:f>
              <c:numCache>
                <c:formatCode>0%</c:formatCode>
                <c:ptCount val="7"/>
                <c:pt idx="0">
                  <c:v>0.16377171215880892</c:v>
                </c:pt>
                <c:pt idx="1">
                  <c:v>0.18604651162790697</c:v>
                </c:pt>
                <c:pt idx="2">
                  <c:v>0.20578778135048231</c:v>
                </c:pt>
                <c:pt idx="3">
                  <c:v>0.22758620689655173</c:v>
                </c:pt>
                <c:pt idx="4">
                  <c:v>0.25806451612903225</c:v>
                </c:pt>
                <c:pt idx="5">
                  <c:v>0.26007326007326009</c:v>
                </c:pt>
                <c:pt idx="6">
                  <c:v>0.24820143884892087</c:v>
                </c:pt>
              </c:numCache>
            </c:numRef>
          </c:val>
        </c:ser>
        <c:ser>
          <c:idx val="3"/>
          <c:order val="2"/>
          <c:tx>
            <c:strRef>
              <c:f>'Summary Demographics'!$A$25</c:f>
              <c:strCache>
                <c:ptCount val="1"/>
                <c:pt idx="0">
                  <c:v>50~59yrs</c:v>
                </c:pt>
              </c:strCache>
            </c:strRef>
          </c:tx>
          <c:spPr>
            <a:solidFill>
              <a:schemeClr val="accent2">
                <a:lumMod val="40000"/>
                <a:lumOff val="60000"/>
              </a:schemeClr>
            </a:solidFill>
          </c:spPr>
          <c:invertIfNegative val="0"/>
          <c:dLbls>
            <c:txPr>
              <a:bodyPr/>
              <a:lstStyle/>
              <a:p>
                <a:pPr>
                  <a:defRPr b="1"/>
                </a:pPr>
                <a:endParaRPr lang="en-US"/>
              </a:p>
            </c:txPr>
            <c:showLegendKey val="0"/>
            <c:showVal val="1"/>
            <c:showCatName val="0"/>
            <c:showSerName val="0"/>
            <c:showPercent val="0"/>
            <c:showBubbleSize val="0"/>
            <c:showLeaderLines val="0"/>
          </c:dLbls>
          <c:cat>
            <c:strRef>
              <c:f>'Summary Demographics'!$C$32:$I$32</c:f>
              <c:strCache>
                <c:ptCount val="7"/>
                <c:pt idx="0">
                  <c:v>10/31/08 (n=403)</c:v>
                </c:pt>
                <c:pt idx="1">
                  <c:v>9/30/09
(n=344)</c:v>
                </c:pt>
                <c:pt idx="2">
                  <c:v>9/30/10
(n=311)</c:v>
                </c:pt>
                <c:pt idx="3">
                  <c:v>9/30/11
(n=290)</c:v>
                </c:pt>
                <c:pt idx="4">
                  <c:v>9/30/12
(n=279)</c:v>
                </c:pt>
                <c:pt idx="5">
                  <c:v>9/30/13
(n=273)</c:v>
                </c:pt>
                <c:pt idx="6">
                  <c:v>9/30/14
(n=278)</c:v>
                </c:pt>
              </c:strCache>
            </c:strRef>
          </c:cat>
          <c:val>
            <c:numRef>
              <c:f>'Summary Demographics'!$C$25:$I$25</c:f>
              <c:numCache>
                <c:formatCode>0%</c:formatCode>
                <c:ptCount val="7"/>
                <c:pt idx="0">
                  <c:v>0.39950372208436724</c:v>
                </c:pt>
                <c:pt idx="1">
                  <c:v>0.40116279069767441</c:v>
                </c:pt>
                <c:pt idx="2">
                  <c:v>0.38263665594855306</c:v>
                </c:pt>
                <c:pt idx="3">
                  <c:v>0.36896551724137933</c:v>
                </c:pt>
                <c:pt idx="4">
                  <c:v>0.32616487455197135</c:v>
                </c:pt>
                <c:pt idx="5">
                  <c:v>0.30769230769230771</c:v>
                </c:pt>
                <c:pt idx="6">
                  <c:v>0.30215827338129497</c:v>
                </c:pt>
              </c:numCache>
            </c:numRef>
          </c:val>
        </c:ser>
        <c:ser>
          <c:idx val="2"/>
          <c:order val="3"/>
          <c:tx>
            <c:strRef>
              <c:f>'Summary Demographics'!$A$24</c:f>
              <c:strCache>
                <c:ptCount val="1"/>
                <c:pt idx="0">
                  <c:v>40~49yrs</c:v>
                </c:pt>
              </c:strCache>
            </c:strRef>
          </c:tx>
          <c:spPr>
            <a:solidFill>
              <a:schemeClr val="accent4">
                <a:lumMod val="40000"/>
                <a:lumOff val="60000"/>
              </a:schemeClr>
            </a:solidFill>
          </c:spPr>
          <c:invertIfNegative val="0"/>
          <c:dLbls>
            <c:txPr>
              <a:bodyPr/>
              <a:lstStyle/>
              <a:p>
                <a:pPr>
                  <a:defRPr b="1"/>
                </a:pPr>
                <a:endParaRPr lang="en-US"/>
              </a:p>
            </c:txPr>
            <c:showLegendKey val="0"/>
            <c:showVal val="1"/>
            <c:showCatName val="0"/>
            <c:showSerName val="0"/>
            <c:showPercent val="0"/>
            <c:showBubbleSize val="0"/>
            <c:showLeaderLines val="0"/>
          </c:dLbls>
          <c:cat>
            <c:strRef>
              <c:f>'Summary Demographics'!$C$32:$I$32</c:f>
              <c:strCache>
                <c:ptCount val="7"/>
                <c:pt idx="0">
                  <c:v>10/31/08 (n=403)</c:v>
                </c:pt>
                <c:pt idx="1">
                  <c:v>9/30/09
(n=344)</c:v>
                </c:pt>
                <c:pt idx="2">
                  <c:v>9/30/10
(n=311)</c:v>
                </c:pt>
                <c:pt idx="3">
                  <c:v>9/30/11
(n=290)</c:v>
                </c:pt>
                <c:pt idx="4">
                  <c:v>9/30/12
(n=279)</c:v>
                </c:pt>
                <c:pt idx="5">
                  <c:v>9/30/13
(n=273)</c:v>
                </c:pt>
                <c:pt idx="6">
                  <c:v>9/30/14
(n=278)</c:v>
                </c:pt>
              </c:strCache>
            </c:strRef>
          </c:cat>
          <c:val>
            <c:numRef>
              <c:f>'Summary Demographics'!$C$24:$I$24</c:f>
              <c:numCache>
                <c:formatCode>0%</c:formatCode>
                <c:ptCount val="7"/>
                <c:pt idx="0">
                  <c:v>0.18858560794044665</c:v>
                </c:pt>
                <c:pt idx="1">
                  <c:v>0.18313953488372092</c:v>
                </c:pt>
                <c:pt idx="2">
                  <c:v>0.18971061093247588</c:v>
                </c:pt>
                <c:pt idx="3">
                  <c:v>0.1793103448275862</c:v>
                </c:pt>
                <c:pt idx="4">
                  <c:v>0.15412186379928317</c:v>
                </c:pt>
                <c:pt idx="5">
                  <c:v>0.14652014652014653</c:v>
                </c:pt>
                <c:pt idx="6">
                  <c:v>0.1223021582733813</c:v>
                </c:pt>
              </c:numCache>
            </c:numRef>
          </c:val>
        </c:ser>
        <c:ser>
          <c:idx val="1"/>
          <c:order val="4"/>
          <c:tx>
            <c:strRef>
              <c:f>'Summary Demographics'!$A$23</c:f>
              <c:strCache>
                <c:ptCount val="1"/>
                <c:pt idx="0">
                  <c:v>30~39yrs</c:v>
                </c:pt>
              </c:strCache>
            </c:strRef>
          </c:tx>
          <c:spPr>
            <a:solidFill>
              <a:schemeClr val="tx2">
                <a:lumMod val="40000"/>
                <a:lumOff val="60000"/>
              </a:schemeClr>
            </a:solidFill>
          </c:spPr>
          <c:invertIfNegative val="0"/>
          <c:dLbls>
            <c:txPr>
              <a:bodyPr/>
              <a:lstStyle/>
              <a:p>
                <a:pPr>
                  <a:defRPr b="1"/>
                </a:pPr>
                <a:endParaRPr lang="en-US"/>
              </a:p>
            </c:txPr>
            <c:showLegendKey val="0"/>
            <c:showVal val="1"/>
            <c:showCatName val="0"/>
            <c:showSerName val="0"/>
            <c:showPercent val="0"/>
            <c:showBubbleSize val="0"/>
            <c:showLeaderLines val="0"/>
          </c:dLbls>
          <c:cat>
            <c:strRef>
              <c:f>'Summary Demographics'!$C$32:$I$32</c:f>
              <c:strCache>
                <c:ptCount val="7"/>
                <c:pt idx="0">
                  <c:v>10/31/08 (n=403)</c:v>
                </c:pt>
                <c:pt idx="1">
                  <c:v>9/30/09
(n=344)</c:v>
                </c:pt>
                <c:pt idx="2">
                  <c:v>9/30/10
(n=311)</c:v>
                </c:pt>
                <c:pt idx="3">
                  <c:v>9/30/11
(n=290)</c:v>
                </c:pt>
                <c:pt idx="4">
                  <c:v>9/30/12
(n=279)</c:v>
                </c:pt>
                <c:pt idx="5">
                  <c:v>9/30/13
(n=273)</c:v>
                </c:pt>
                <c:pt idx="6">
                  <c:v>9/30/14
(n=278)</c:v>
                </c:pt>
              </c:strCache>
            </c:strRef>
          </c:cat>
          <c:val>
            <c:numRef>
              <c:f>'Summary Demographics'!$C$23:$I$23</c:f>
              <c:numCache>
                <c:formatCode>0%</c:formatCode>
                <c:ptCount val="7"/>
                <c:pt idx="0">
                  <c:v>9.6774193548387094E-2</c:v>
                </c:pt>
                <c:pt idx="1">
                  <c:v>0.10465116279069768</c:v>
                </c:pt>
                <c:pt idx="2">
                  <c:v>6.7524115755627015E-2</c:v>
                </c:pt>
                <c:pt idx="3">
                  <c:v>7.2413793103448282E-2</c:v>
                </c:pt>
                <c:pt idx="4">
                  <c:v>0.1003584229390681</c:v>
                </c:pt>
                <c:pt idx="5">
                  <c:v>9.5238095238095233E-2</c:v>
                </c:pt>
                <c:pt idx="6">
                  <c:v>0.1223021582733813</c:v>
                </c:pt>
              </c:numCache>
            </c:numRef>
          </c:val>
        </c:ser>
        <c:ser>
          <c:idx val="0"/>
          <c:order val="5"/>
          <c:tx>
            <c:strRef>
              <c:f>'Summary Demographics'!$A$22</c:f>
              <c:strCache>
                <c:ptCount val="1"/>
                <c:pt idx="0">
                  <c:v>&lt;=29yrs</c:v>
                </c:pt>
              </c:strCache>
            </c:strRef>
          </c:tx>
          <c:spPr>
            <a:solidFill>
              <a:schemeClr val="tx2"/>
            </a:solidFill>
          </c:spPr>
          <c:invertIfNegative val="0"/>
          <c:dLbls>
            <c:txPr>
              <a:bodyPr/>
              <a:lstStyle/>
              <a:p>
                <a:pPr>
                  <a:defRPr b="1">
                    <a:solidFill>
                      <a:schemeClr val="bg1"/>
                    </a:solidFill>
                  </a:defRPr>
                </a:pPr>
                <a:endParaRPr lang="en-US"/>
              </a:p>
            </c:txPr>
            <c:showLegendKey val="0"/>
            <c:showVal val="1"/>
            <c:showCatName val="0"/>
            <c:showSerName val="0"/>
            <c:showPercent val="0"/>
            <c:showBubbleSize val="0"/>
            <c:showLeaderLines val="0"/>
          </c:dLbls>
          <c:cat>
            <c:strRef>
              <c:f>'Summary Demographics'!$C$32:$I$32</c:f>
              <c:strCache>
                <c:ptCount val="7"/>
                <c:pt idx="0">
                  <c:v>10/31/08 (n=403)</c:v>
                </c:pt>
                <c:pt idx="1">
                  <c:v>9/30/09
(n=344)</c:v>
                </c:pt>
                <c:pt idx="2">
                  <c:v>9/30/10
(n=311)</c:v>
                </c:pt>
                <c:pt idx="3">
                  <c:v>9/30/11
(n=290)</c:v>
                </c:pt>
                <c:pt idx="4">
                  <c:v>9/30/12
(n=279)</c:v>
                </c:pt>
                <c:pt idx="5">
                  <c:v>9/30/13
(n=273)</c:v>
                </c:pt>
                <c:pt idx="6">
                  <c:v>9/30/14
(n=278)</c:v>
                </c:pt>
              </c:strCache>
            </c:strRef>
          </c:cat>
          <c:val>
            <c:numRef>
              <c:f>'Summary Demographics'!$C$22:$I$22</c:f>
              <c:numCache>
                <c:formatCode>0%</c:formatCode>
                <c:ptCount val="7"/>
                <c:pt idx="0">
                  <c:v>7.1960297766749379E-2</c:v>
                </c:pt>
                <c:pt idx="1">
                  <c:v>5.5232558139534885E-2</c:v>
                </c:pt>
                <c:pt idx="2">
                  <c:v>7.3954983922829579E-2</c:v>
                </c:pt>
                <c:pt idx="3">
                  <c:v>8.2758620689655171E-2</c:v>
                </c:pt>
                <c:pt idx="4">
                  <c:v>8.9605734767025089E-2</c:v>
                </c:pt>
                <c:pt idx="5">
                  <c:v>0.10256410256410256</c:v>
                </c:pt>
                <c:pt idx="6">
                  <c:v>0.10431654676258993</c:v>
                </c:pt>
              </c:numCache>
            </c:numRef>
          </c:val>
        </c:ser>
        <c:dLbls>
          <c:showLegendKey val="0"/>
          <c:showVal val="1"/>
          <c:showCatName val="0"/>
          <c:showSerName val="0"/>
          <c:showPercent val="0"/>
          <c:showBubbleSize val="0"/>
        </c:dLbls>
        <c:gapWidth val="25"/>
        <c:overlap val="100"/>
        <c:axId val="239785472"/>
        <c:axId val="276721600"/>
      </c:barChart>
      <c:catAx>
        <c:axId val="239785472"/>
        <c:scaling>
          <c:orientation val="minMax"/>
        </c:scaling>
        <c:delete val="0"/>
        <c:axPos val="b"/>
        <c:numFmt formatCode="mm/dd/yy;@" sourceLinked="1"/>
        <c:majorTickMark val="none"/>
        <c:minorTickMark val="none"/>
        <c:tickLblPos val="nextTo"/>
        <c:txPr>
          <a:bodyPr rot="0" vert="horz"/>
          <a:lstStyle/>
          <a:p>
            <a:pPr>
              <a:defRPr/>
            </a:pPr>
            <a:endParaRPr lang="en-US"/>
          </a:p>
        </c:txPr>
        <c:crossAx val="276721600"/>
        <c:crosses val="autoZero"/>
        <c:auto val="0"/>
        <c:lblAlgn val="ctr"/>
        <c:lblOffset val="100"/>
        <c:noMultiLvlLbl val="0"/>
      </c:catAx>
      <c:valAx>
        <c:axId val="276721600"/>
        <c:scaling>
          <c:orientation val="minMax"/>
        </c:scaling>
        <c:delete val="0"/>
        <c:axPos val="l"/>
        <c:majorGridlines/>
        <c:numFmt formatCode="0%" sourceLinked="1"/>
        <c:majorTickMark val="none"/>
        <c:minorTickMark val="none"/>
        <c:tickLblPos val="nextTo"/>
        <c:crossAx val="239785472"/>
        <c:crossesAt val="1"/>
        <c:crossBetween val="between"/>
      </c:valAx>
    </c:plotArea>
    <c:legend>
      <c:legendPos val="r"/>
      <c:legendEntry>
        <c:idx val="5"/>
        <c:txPr>
          <a:bodyPr/>
          <a:lstStyle/>
          <a:p>
            <a:pPr>
              <a:defRPr b="1">
                <a:solidFill>
                  <a:schemeClr val="accent2">
                    <a:lumMod val="50000"/>
                  </a:schemeClr>
                </a:solidFill>
              </a:defRPr>
            </a:pPr>
            <a:endParaRPr lang="en-US"/>
          </a:p>
        </c:txPr>
      </c:legendEntry>
      <c:layout>
        <c:manualLayout>
          <c:xMode val="edge"/>
          <c:yMode val="edge"/>
          <c:x val="0.80128928758179896"/>
          <c:y val="4.1384250561173154E-2"/>
          <c:w val="0.14579428055052113"/>
          <c:h val="0.82951594857613309"/>
        </c:manualLayout>
      </c:layout>
      <c:overlay val="0"/>
      <c:txPr>
        <a:bodyPr/>
        <a:lstStyle/>
        <a:p>
          <a:pPr>
            <a:defRPr b="1"/>
          </a:pPr>
          <a:endParaRPr lang="en-US"/>
        </a:p>
      </c:txPr>
    </c:legend>
    <c:plotVisOnly val="1"/>
    <c:dispBlanksAs val="gap"/>
    <c:showDLblsOverMax val="0"/>
  </c:chart>
  <c:spPr>
    <a:ln>
      <a:noFill/>
    </a:ln>
  </c:spPr>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manualLayout>
          <c:layoutTarget val="inner"/>
          <c:xMode val="edge"/>
          <c:yMode val="edge"/>
          <c:x val="0.37960437872095254"/>
          <c:y val="1.3143064809206541E-2"/>
          <c:w val="0.65189168427117339"/>
          <c:h val="0.93311431455683425"/>
        </c:manualLayout>
      </c:layout>
      <c:barChart>
        <c:barDir val="bar"/>
        <c:grouping val="clustered"/>
        <c:varyColors val="0"/>
        <c:ser>
          <c:idx val="2"/>
          <c:order val="0"/>
          <c:tx>
            <c:v>Total</c:v>
          </c:tx>
          <c:spPr>
            <a:solidFill>
              <a:schemeClr val="accent1">
                <a:lumMod val="75000"/>
              </a:schemeClr>
            </a:solidFill>
          </c:spPr>
          <c:invertIfNegative val="0"/>
          <c:dLbls>
            <c:txPr>
              <a:bodyPr/>
              <a:lstStyle/>
              <a:p>
                <a:pPr>
                  <a:defRPr sz="1000" b="1" u="sng">
                    <a:solidFill>
                      <a:schemeClr val="bg1"/>
                    </a:solidFill>
                  </a:defRPr>
                </a:pPr>
                <a:endParaRPr lang="en-US"/>
              </a:p>
            </c:txPr>
            <c:dLblPos val="inEnd"/>
            <c:showLegendKey val="0"/>
            <c:showVal val="1"/>
            <c:showCatName val="0"/>
            <c:showSerName val="0"/>
            <c:showPercent val="0"/>
            <c:showBubbleSize val="0"/>
            <c:showLeaderLines val="0"/>
          </c:dLbls>
          <c:cat>
            <c:strRef>
              <c:f>'Summary Demographics'!$D$32:$I$32</c:f>
              <c:strCache>
                <c:ptCount val="6"/>
                <c:pt idx="0">
                  <c:v>9/30/09
(n=344)</c:v>
                </c:pt>
                <c:pt idx="1">
                  <c:v>9/30/10
(n=311)</c:v>
                </c:pt>
                <c:pt idx="2">
                  <c:v>9/30/11
(n=290)</c:v>
                </c:pt>
                <c:pt idx="3">
                  <c:v>9/30/12
(n=279)</c:v>
                </c:pt>
                <c:pt idx="4">
                  <c:v>9/30/13
(n=273)</c:v>
                </c:pt>
                <c:pt idx="5">
                  <c:v>9/30/14
(n=278)</c:v>
                </c:pt>
              </c:strCache>
            </c:strRef>
          </c:cat>
          <c:val>
            <c:numRef>
              <c:f>'Summary Demographics'!$D$30:$I$30</c:f>
              <c:numCache>
                <c:formatCode>0\ "yrs"</c:formatCode>
                <c:ptCount val="6"/>
                <c:pt idx="0">
                  <c:v>54</c:v>
                </c:pt>
                <c:pt idx="1">
                  <c:v>55</c:v>
                </c:pt>
                <c:pt idx="2">
                  <c:v>56</c:v>
                </c:pt>
                <c:pt idx="3">
                  <c:v>55</c:v>
                </c:pt>
                <c:pt idx="4">
                  <c:v>56</c:v>
                </c:pt>
                <c:pt idx="5">
                  <c:v>55</c:v>
                </c:pt>
              </c:numCache>
            </c:numRef>
          </c:val>
        </c:ser>
        <c:dLbls>
          <c:showLegendKey val="0"/>
          <c:showVal val="0"/>
          <c:showCatName val="0"/>
          <c:showSerName val="0"/>
          <c:showPercent val="0"/>
          <c:showBubbleSize val="0"/>
        </c:dLbls>
        <c:gapWidth val="50"/>
        <c:axId val="239784960"/>
        <c:axId val="276723328"/>
      </c:barChart>
      <c:catAx>
        <c:axId val="239784960"/>
        <c:scaling>
          <c:orientation val="maxMin"/>
        </c:scaling>
        <c:delete val="0"/>
        <c:axPos val="l"/>
        <c:numFmt formatCode="@" sourceLinked="1"/>
        <c:majorTickMark val="none"/>
        <c:minorTickMark val="none"/>
        <c:tickLblPos val="nextTo"/>
        <c:txPr>
          <a:bodyPr rot="0" vert="horz"/>
          <a:lstStyle/>
          <a:p>
            <a:pPr>
              <a:defRPr b="1"/>
            </a:pPr>
            <a:endParaRPr lang="en-US"/>
          </a:p>
        </c:txPr>
        <c:crossAx val="276723328"/>
        <c:crossesAt val="0"/>
        <c:auto val="1"/>
        <c:lblAlgn val="ctr"/>
        <c:lblOffset val="100"/>
        <c:noMultiLvlLbl val="0"/>
      </c:catAx>
      <c:valAx>
        <c:axId val="276723328"/>
        <c:scaling>
          <c:orientation val="minMax"/>
          <c:max val="57"/>
          <c:min val="45"/>
        </c:scaling>
        <c:delete val="0"/>
        <c:axPos val="t"/>
        <c:majorGridlines>
          <c:spPr>
            <a:ln>
              <a:solidFill>
                <a:schemeClr val="bg1"/>
              </a:solidFill>
            </a:ln>
          </c:spPr>
        </c:majorGridlines>
        <c:numFmt formatCode="0" sourceLinked="0"/>
        <c:majorTickMark val="none"/>
        <c:minorTickMark val="none"/>
        <c:tickLblPos val="none"/>
        <c:spPr>
          <a:ln>
            <a:noFill/>
          </a:ln>
        </c:spPr>
        <c:txPr>
          <a:bodyPr rot="0" vert="horz"/>
          <a:lstStyle/>
          <a:p>
            <a:pPr>
              <a:defRPr/>
            </a:pPr>
            <a:endParaRPr lang="en-US"/>
          </a:p>
        </c:txPr>
        <c:crossAx val="239784960"/>
        <c:crosses val="autoZero"/>
        <c:crossBetween val="between"/>
        <c:majorUnit val="1"/>
      </c:valAx>
    </c:plotArea>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2"/>
    </mc:Choice>
    <mc:Fallback>
      <c:style val="12"/>
    </mc:Fallback>
  </mc:AlternateContent>
  <c:chart>
    <c:autoTitleDeleted val="0"/>
    <c:plotArea>
      <c:layout>
        <c:manualLayout>
          <c:layoutTarget val="inner"/>
          <c:xMode val="edge"/>
          <c:yMode val="edge"/>
          <c:x val="0.13594185342216838"/>
          <c:y val="3.6733008876403336E-2"/>
          <c:w val="0.66695223097112866"/>
          <c:h val="0.79332503008169553"/>
        </c:manualLayout>
      </c:layout>
      <c:barChart>
        <c:barDir val="col"/>
        <c:grouping val="percentStacked"/>
        <c:varyColors val="0"/>
        <c:ser>
          <c:idx val="6"/>
          <c:order val="0"/>
          <c:tx>
            <c:strRef>
              <c:f>'Summary Demographics'!$A$39</c:f>
              <c:strCache>
                <c:ptCount val="1"/>
                <c:pt idx="0">
                  <c:v>&gt;=70yrs</c:v>
                </c:pt>
              </c:strCache>
            </c:strRef>
          </c:tx>
          <c:spPr>
            <a:solidFill>
              <a:schemeClr val="accent2">
                <a:lumMod val="50000"/>
              </a:schemeClr>
            </a:solidFill>
          </c:spPr>
          <c:invertIfNegative val="0"/>
          <c:dLbls>
            <c:txPr>
              <a:bodyPr/>
              <a:lstStyle/>
              <a:p>
                <a:pPr>
                  <a:defRPr b="1">
                    <a:solidFill>
                      <a:schemeClr val="bg1"/>
                    </a:solidFill>
                    <a:effectLst>
                      <a:glow rad="88900">
                        <a:srgbClr val="C0504D">
                          <a:lumMod val="50000"/>
                        </a:srgbClr>
                      </a:glow>
                    </a:effectLst>
                  </a:defRPr>
                </a:pPr>
                <a:endParaRPr lang="en-US"/>
              </a:p>
            </c:txPr>
            <c:showLegendKey val="0"/>
            <c:showVal val="1"/>
            <c:showCatName val="0"/>
            <c:showSerName val="0"/>
            <c:showPercent val="0"/>
            <c:showBubbleSize val="0"/>
            <c:showLeaderLines val="0"/>
          </c:dLbls>
          <c:cat>
            <c:strRef>
              <c:f>'Summary Demographics'!$D$82:$G$82</c:f>
              <c:strCache>
                <c:ptCount val="4"/>
                <c:pt idx="0">
                  <c:v>FY11
(n=423)
47 years</c:v>
                </c:pt>
                <c:pt idx="1">
                  <c:v>FY12
(n=401)
47 years</c:v>
                </c:pt>
                <c:pt idx="2">
                  <c:v>FY13
(n=423)
47 years</c:v>
                </c:pt>
                <c:pt idx="3">
                  <c:v>FY14
(n=434)
47 years</c:v>
                </c:pt>
              </c:strCache>
            </c:strRef>
          </c:cat>
          <c:val>
            <c:numRef>
              <c:f>'Summary Demographics'!$D$81:$G$81</c:f>
              <c:numCache>
                <c:formatCode>0%</c:formatCode>
                <c:ptCount val="4"/>
                <c:pt idx="0">
                  <c:v>2.8301886792452831E-2</c:v>
                </c:pt>
                <c:pt idx="1">
                  <c:v>3.7499999999999999E-2</c:v>
                </c:pt>
                <c:pt idx="2">
                  <c:v>1.1820330969267139E-2</c:v>
                </c:pt>
                <c:pt idx="3">
                  <c:v>2.7649769585253458E-2</c:v>
                </c:pt>
              </c:numCache>
            </c:numRef>
          </c:val>
        </c:ser>
        <c:ser>
          <c:idx val="4"/>
          <c:order val="1"/>
          <c:tx>
            <c:strRef>
              <c:f>'Summary Demographics'!$A$26</c:f>
              <c:strCache>
                <c:ptCount val="1"/>
                <c:pt idx="0">
                  <c:v>60~69yrs</c:v>
                </c:pt>
              </c:strCache>
            </c:strRef>
          </c:tx>
          <c:invertIfNegative val="0"/>
          <c:dLbls>
            <c:txPr>
              <a:bodyPr/>
              <a:lstStyle/>
              <a:p>
                <a:pPr>
                  <a:defRPr b="1"/>
                </a:pPr>
                <a:endParaRPr lang="en-US"/>
              </a:p>
            </c:txPr>
            <c:showLegendKey val="0"/>
            <c:showVal val="1"/>
            <c:showCatName val="0"/>
            <c:showSerName val="0"/>
            <c:showPercent val="0"/>
            <c:showBubbleSize val="0"/>
            <c:showLeaderLines val="0"/>
          </c:dLbls>
          <c:cat>
            <c:strRef>
              <c:f>'Summary Demographics'!$D$82:$G$82</c:f>
              <c:strCache>
                <c:ptCount val="4"/>
                <c:pt idx="0">
                  <c:v>FY11
(n=423)
47 years</c:v>
                </c:pt>
                <c:pt idx="1">
                  <c:v>FY12
(n=401)
47 years</c:v>
                </c:pt>
                <c:pt idx="2">
                  <c:v>FY13
(n=423)
47 years</c:v>
                </c:pt>
                <c:pt idx="3">
                  <c:v>FY14
(n=434)
47 years</c:v>
                </c:pt>
              </c:strCache>
            </c:strRef>
          </c:cat>
          <c:val>
            <c:numRef>
              <c:f>'Summary Demographics'!$D$80:$G$80</c:f>
              <c:numCache>
                <c:formatCode>0%</c:formatCode>
                <c:ptCount val="4"/>
                <c:pt idx="0">
                  <c:v>0.10613207547169812</c:v>
                </c:pt>
                <c:pt idx="1">
                  <c:v>0.1075</c:v>
                </c:pt>
                <c:pt idx="2">
                  <c:v>0.13238770685579196</c:v>
                </c:pt>
                <c:pt idx="3">
                  <c:v>0.15898617511520738</c:v>
                </c:pt>
              </c:numCache>
            </c:numRef>
          </c:val>
        </c:ser>
        <c:ser>
          <c:idx val="3"/>
          <c:order val="2"/>
          <c:tx>
            <c:strRef>
              <c:f>'Summary Demographics'!$A$25</c:f>
              <c:strCache>
                <c:ptCount val="1"/>
                <c:pt idx="0">
                  <c:v>50~59yrs</c:v>
                </c:pt>
              </c:strCache>
            </c:strRef>
          </c:tx>
          <c:spPr>
            <a:solidFill>
              <a:schemeClr val="accent2">
                <a:lumMod val="40000"/>
                <a:lumOff val="60000"/>
              </a:schemeClr>
            </a:solidFill>
          </c:spPr>
          <c:invertIfNegative val="0"/>
          <c:dLbls>
            <c:txPr>
              <a:bodyPr/>
              <a:lstStyle/>
              <a:p>
                <a:pPr>
                  <a:defRPr b="1"/>
                </a:pPr>
                <a:endParaRPr lang="en-US"/>
              </a:p>
            </c:txPr>
            <c:showLegendKey val="0"/>
            <c:showVal val="1"/>
            <c:showCatName val="0"/>
            <c:showSerName val="0"/>
            <c:showPercent val="0"/>
            <c:showBubbleSize val="0"/>
            <c:showLeaderLines val="0"/>
          </c:dLbls>
          <c:cat>
            <c:strRef>
              <c:f>'Summary Demographics'!$D$82:$G$82</c:f>
              <c:strCache>
                <c:ptCount val="4"/>
                <c:pt idx="0">
                  <c:v>FY11
(n=423)
47 years</c:v>
                </c:pt>
                <c:pt idx="1">
                  <c:v>FY12
(n=401)
47 years</c:v>
                </c:pt>
                <c:pt idx="2">
                  <c:v>FY13
(n=423)
47 years</c:v>
                </c:pt>
                <c:pt idx="3">
                  <c:v>FY14
(n=434)
47 years</c:v>
                </c:pt>
              </c:strCache>
            </c:strRef>
          </c:cat>
          <c:val>
            <c:numRef>
              <c:f>'Summary Demographics'!$D$79:$G$79</c:f>
              <c:numCache>
                <c:formatCode>0%</c:formatCode>
                <c:ptCount val="4"/>
                <c:pt idx="0">
                  <c:v>0.27830188679245282</c:v>
                </c:pt>
                <c:pt idx="1">
                  <c:v>0.27750000000000002</c:v>
                </c:pt>
                <c:pt idx="2">
                  <c:v>0.30260047281323876</c:v>
                </c:pt>
                <c:pt idx="3">
                  <c:v>0.25806451612903225</c:v>
                </c:pt>
              </c:numCache>
            </c:numRef>
          </c:val>
        </c:ser>
        <c:ser>
          <c:idx val="2"/>
          <c:order val="3"/>
          <c:tx>
            <c:strRef>
              <c:f>'Summary Demographics'!$A$24</c:f>
              <c:strCache>
                <c:ptCount val="1"/>
                <c:pt idx="0">
                  <c:v>40~49yrs</c:v>
                </c:pt>
              </c:strCache>
            </c:strRef>
          </c:tx>
          <c:spPr>
            <a:solidFill>
              <a:schemeClr val="accent4">
                <a:lumMod val="40000"/>
                <a:lumOff val="60000"/>
              </a:schemeClr>
            </a:solidFill>
          </c:spPr>
          <c:invertIfNegative val="0"/>
          <c:dLbls>
            <c:txPr>
              <a:bodyPr/>
              <a:lstStyle/>
              <a:p>
                <a:pPr>
                  <a:defRPr b="1"/>
                </a:pPr>
                <a:endParaRPr lang="en-US"/>
              </a:p>
            </c:txPr>
            <c:showLegendKey val="0"/>
            <c:showVal val="1"/>
            <c:showCatName val="0"/>
            <c:showSerName val="0"/>
            <c:showPercent val="0"/>
            <c:showBubbleSize val="0"/>
            <c:showLeaderLines val="0"/>
          </c:dLbls>
          <c:cat>
            <c:strRef>
              <c:f>'Summary Demographics'!$D$82:$G$82</c:f>
              <c:strCache>
                <c:ptCount val="4"/>
                <c:pt idx="0">
                  <c:v>FY11
(n=423)
47 years</c:v>
                </c:pt>
                <c:pt idx="1">
                  <c:v>FY12
(n=401)
47 years</c:v>
                </c:pt>
                <c:pt idx="2">
                  <c:v>FY13
(n=423)
47 years</c:v>
                </c:pt>
                <c:pt idx="3">
                  <c:v>FY14
(n=434)
47 years</c:v>
                </c:pt>
              </c:strCache>
            </c:strRef>
          </c:cat>
          <c:val>
            <c:numRef>
              <c:f>'Summary Demographics'!$D$67:$G$67</c:f>
              <c:numCache>
                <c:formatCode>0%</c:formatCode>
                <c:ptCount val="4"/>
                <c:pt idx="0">
                  <c:v>0.2099056603773585</c:v>
                </c:pt>
                <c:pt idx="1">
                  <c:v>0.19</c:v>
                </c:pt>
                <c:pt idx="2">
                  <c:v>0.19621749408983452</c:v>
                </c:pt>
                <c:pt idx="3">
                  <c:v>0.16589861751152074</c:v>
                </c:pt>
              </c:numCache>
            </c:numRef>
          </c:val>
        </c:ser>
        <c:ser>
          <c:idx val="1"/>
          <c:order val="4"/>
          <c:tx>
            <c:strRef>
              <c:f>'Summary Demographics'!$A$23</c:f>
              <c:strCache>
                <c:ptCount val="1"/>
                <c:pt idx="0">
                  <c:v>30~39yrs</c:v>
                </c:pt>
              </c:strCache>
            </c:strRef>
          </c:tx>
          <c:spPr>
            <a:solidFill>
              <a:schemeClr val="tx2">
                <a:lumMod val="40000"/>
                <a:lumOff val="60000"/>
              </a:schemeClr>
            </a:solidFill>
          </c:spPr>
          <c:invertIfNegative val="0"/>
          <c:dLbls>
            <c:txPr>
              <a:bodyPr/>
              <a:lstStyle/>
              <a:p>
                <a:pPr>
                  <a:defRPr b="1"/>
                </a:pPr>
                <a:endParaRPr lang="en-US"/>
              </a:p>
            </c:txPr>
            <c:showLegendKey val="0"/>
            <c:showVal val="1"/>
            <c:showCatName val="0"/>
            <c:showSerName val="0"/>
            <c:showPercent val="0"/>
            <c:showBubbleSize val="0"/>
            <c:showLeaderLines val="0"/>
          </c:dLbls>
          <c:cat>
            <c:strRef>
              <c:f>'Summary Demographics'!$D$82:$G$82</c:f>
              <c:strCache>
                <c:ptCount val="4"/>
                <c:pt idx="0">
                  <c:v>FY11
(n=423)
47 years</c:v>
                </c:pt>
                <c:pt idx="1">
                  <c:v>FY12
(n=401)
47 years</c:v>
                </c:pt>
                <c:pt idx="2">
                  <c:v>FY13
(n=423)
47 years</c:v>
                </c:pt>
                <c:pt idx="3">
                  <c:v>FY14
(n=434)
47 years</c:v>
                </c:pt>
              </c:strCache>
            </c:strRef>
          </c:cat>
          <c:val>
            <c:numRef>
              <c:f>'Summary Demographics'!$D$77:$G$77</c:f>
              <c:numCache>
                <c:formatCode>0%</c:formatCode>
                <c:ptCount val="4"/>
                <c:pt idx="0">
                  <c:v>0.17452830188679244</c:v>
                </c:pt>
                <c:pt idx="1">
                  <c:v>0.20499999999999999</c:v>
                </c:pt>
                <c:pt idx="2">
                  <c:v>0.17966903073286053</c:v>
                </c:pt>
                <c:pt idx="3">
                  <c:v>0.20967741935483872</c:v>
                </c:pt>
              </c:numCache>
            </c:numRef>
          </c:val>
        </c:ser>
        <c:ser>
          <c:idx val="0"/>
          <c:order val="5"/>
          <c:tx>
            <c:strRef>
              <c:f>'Summary Demographics'!$A$22</c:f>
              <c:strCache>
                <c:ptCount val="1"/>
                <c:pt idx="0">
                  <c:v>&lt;=29yrs</c:v>
                </c:pt>
              </c:strCache>
            </c:strRef>
          </c:tx>
          <c:spPr>
            <a:solidFill>
              <a:schemeClr val="tx2"/>
            </a:solidFill>
          </c:spPr>
          <c:invertIfNegative val="0"/>
          <c:dLbls>
            <c:txPr>
              <a:bodyPr/>
              <a:lstStyle/>
              <a:p>
                <a:pPr>
                  <a:defRPr b="1">
                    <a:solidFill>
                      <a:schemeClr val="bg1"/>
                    </a:solidFill>
                  </a:defRPr>
                </a:pPr>
                <a:endParaRPr lang="en-US"/>
              </a:p>
            </c:txPr>
            <c:showLegendKey val="0"/>
            <c:showVal val="1"/>
            <c:showCatName val="0"/>
            <c:showSerName val="0"/>
            <c:showPercent val="0"/>
            <c:showBubbleSize val="0"/>
            <c:showLeaderLines val="0"/>
          </c:dLbls>
          <c:cat>
            <c:strRef>
              <c:f>'Summary Demographics'!$D$82:$G$82</c:f>
              <c:strCache>
                <c:ptCount val="4"/>
                <c:pt idx="0">
                  <c:v>FY11
(n=423)
47 years</c:v>
                </c:pt>
                <c:pt idx="1">
                  <c:v>FY12
(n=401)
47 years</c:v>
                </c:pt>
                <c:pt idx="2">
                  <c:v>FY13
(n=423)
47 years</c:v>
                </c:pt>
                <c:pt idx="3">
                  <c:v>FY14
(n=434)
47 years</c:v>
                </c:pt>
              </c:strCache>
            </c:strRef>
          </c:cat>
          <c:val>
            <c:numRef>
              <c:f>'Summary Demographics'!$D$76:$G$76</c:f>
              <c:numCache>
                <c:formatCode>0%</c:formatCode>
                <c:ptCount val="4"/>
                <c:pt idx="0">
                  <c:v>0.20047169811320756</c:v>
                </c:pt>
                <c:pt idx="1">
                  <c:v>0.185</c:v>
                </c:pt>
                <c:pt idx="2">
                  <c:v>0.1773049645390071</c:v>
                </c:pt>
                <c:pt idx="3">
                  <c:v>0.17972350230414746</c:v>
                </c:pt>
              </c:numCache>
            </c:numRef>
          </c:val>
        </c:ser>
        <c:dLbls>
          <c:showLegendKey val="0"/>
          <c:showVal val="1"/>
          <c:showCatName val="0"/>
          <c:showSerName val="0"/>
          <c:showPercent val="0"/>
          <c:showBubbleSize val="0"/>
        </c:dLbls>
        <c:gapWidth val="25"/>
        <c:overlap val="100"/>
        <c:axId val="240838144"/>
        <c:axId val="276725056"/>
      </c:barChart>
      <c:catAx>
        <c:axId val="240838144"/>
        <c:scaling>
          <c:orientation val="minMax"/>
        </c:scaling>
        <c:delete val="0"/>
        <c:axPos val="b"/>
        <c:numFmt formatCode="0\ &quot;years&quot;" sourceLinked="1"/>
        <c:majorTickMark val="none"/>
        <c:minorTickMark val="none"/>
        <c:tickLblPos val="nextTo"/>
        <c:txPr>
          <a:bodyPr rot="0" vert="horz"/>
          <a:lstStyle/>
          <a:p>
            <a:pPr>
              <a:defRPr/>
            </a:pPr>
            <a:endParaRPr lang="en-US"/>
          </a:p>
        </c:txPr>
        <c:crossAx val="276725056"/>
        <c:crosses val="autoZero"/>
        <c:auto val="0"/>
        <c:lblAlgn val="ctr"/>
        <c:lblOffset val="100"/>
        <c:noMultiLvlLbl val="0"/>
      </c:catAx>
      <c:valAx>
        <c:axId val="276725056"/>
        <c:scaling>
          <c:orientation val="minMax"/>
        </c:scaling>
        <c:delete val="0"/>
        <c:axPos val="l"/>
        <c:majorGridlines/>
        <c:numFmt formatCode="0%" sourceLinked="1"/>
        <c:majorTickMark val="none"/>
        <c:minorTickMark val="none"/>
        <c:tickLblPos val="nextTo"/>
        <c:crossAx val="240838144"/>
        <c:crossesAt val="1"/>
        <c:crossBetween val="between"/>
      </c:valAx>
    </c:plotArea>
    <c:legend>
      <c:legendPos val="r"/>
      <c:legendEntry>
        <c:idx val="0"/>
        <c:txPr>
          <a:bodyPr/>
          <a:lstStyle/>
          <a:p>
            <a:pPr>
              <a:defRPr b="1">
                <a:solidFill>
                  <a:schemeClr val="tx2"/>
                </a:solidFill>
              </a:defRPr>
            </a:pPr>
            <a:endParaRPr lang="en-US"/>
          </a:p>
        </c:txPr>
      </c:legendEntry>
      <c:legendEntry>
        <c:idx val="1"/>
        <c:txPr>
          <a:bodyPr/>
          <a:lstStyle/>
          <a:p>
            <a:pPr>
              <a:defRPr b="1">
                <a:solidFill>
                  <a:schemeClr val="accent1"/>
                </a:solidFill>
              </a:defRPr>
            </a:pPr>
            <a:endParaRPr lang="en-US"/>
          </a:p>
        </c:txPr>
      </c:legendEntry>
      <c:legendEntry>
        <c:idx val="2"/>
        <c:txPr>
          <a:bodyPr/>
          <a:lstStyle/>
          <a:p>
            <a:pPr>
              <a:defRPr b="1">
                <a:solidFill>
                  <a:schemeClr val="accent4">
                    <a:lumMod val="50000"/>
                  </a:schemeClr>
                </a:solidFill>
              </a:defRPr>
            </a:pPr>
            <a:endParaRPr lang="en-US"/>
          </a:p>
        </c:txPr>
      </c:legendEntry>
      <c:legendEntry>
        <c:idx val="3"/>
        <c:txPr>
          <a:bodyPr/>
          <a:lstStyle/>
          <a:p>
            <a:pPr>
              <a:defRPr b="1">
                <a:solidFill>
                  <a:schemeClr val="accent2"/>
                </a:solidFill>
              </a:defRPr>
            </a:pPr>
            <a:endParaRPr lang="en-US"/>
          </a:p>
        </c:txPr>
      </c:legendEntry>
      <c:legendEntry>
        <c:idx val="4"/>
        <c:txPr>
          <a:bodyPr/>
          <a:lstStyle/>
          <a:p>
            <a:pPr>
              <a:defRPr b="1">
                <a:solidFill>
                  <a:schemeClr val="accent2">
                    <a:lumMod val="75000"/>
                  </a:schemeClr>
                </a:solidFill>
              </a:defRPr>
            </a:pPr>
            <a:endParaRPr lang="en-US"/>
          </a:p>
        </c:txPr>
      </c:legendEntry>
      <c:legendEntry>
        <c:idx val="5"/>
        <c:txPr>
          <a:bodyPr/>
          <a:lstStyle/>
          <a:p>
            <a:pPr>
              <a:defRPr b="1">
                <a:solidFill>
                  <a:schemeClr val="accent2">
                    <a:lumMod val="50000"/>
                  </a:schemeClr>
                </a:solidFill>
              </a:defRPr>
            </a:pPr>
            <a:endParaRPr lang="en-US"/>
          </a:p>
        </c:txPr>
      </c:legendEntry>
      <c:layout>
        <c:manualLayout>
          <c:xMode val="edge"/>
          <c:yMode val="edge"/>
          <c:x val="0.78617242075509797"/>
          <c:y val="4.1384250561173154E-2"/>
          <c:w val="0.20733260650111043"/>
          <c:h val="0.82951594857613309"/>
        </c:manualLayout>
      </c:layout>
      <c:overlay val="0"/>
      <c:txPr>
        <a:bodyPr/>
        <a:lstStyle/>
        <a:p>
          <a:pPr>
            <a:defRPr b="1"/>
          </a:pPr>
          <a:endParaRPr lang="en-US"/>
        </a:p>
      </c:txPr>
    </c:legend>
    <c:plotVisOnly val="1"/>
    <c:dispBlanksAs val="gap"/>
    <c:showDLblsOverMax val="0"/>
  </c:chart>
  <c:spPr>
    <a:ln>
      <a:noFill/>
    </a:ln>
  </c:spPr>
  <c:externalData r:id="rId1">
    <c:autoUpdate val="0"/>
  </c:externalData>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2"/>
    </mc:Choice>
    <mc:Fallback>
      <c:style val="12"/>
    </mc:Fallback>
  </mc:AlternateContent>
  <c:chart>
    <c:autoTitleDeleted val="0"/>
    <c:plotArea>
      <c:layout>
        <c:manualLayout>
          <c:layoutTarget val="inner"/>
          <c:xMode val="edge"/>
          <c:yMode val="edge"/>
          <c:x val="7.9656608509267798E-2"/>
          <c:y val="3.6733008876403336E-2"/>
          <c:w val="0.65054197456087226"/>
          <c:h val="0.82907123204773669"/>
        </c:manualLayout>
      </c:layout>
      <c:barChart>
        <c:barDir val="col"/>
        <c:grouping val="percentStacked"/>
        <c:varyColors val="0"/>
        <c:ser>
          <c:idx val="6"/>
          <c:order val="0"/>
          <c:tx>
            <c:strRef>
              <c:f>'Summary Demographics'!$A$39</c:f>
              <c:strCache>
                <c:ptCount val="1"/>
                <c:pt idx="0">
                  <c:v>&gt;=70yrs</c:v>
                </c:pt>
              </c:strCache>
            </c:strRef>
          </c:tx>
          <c:spPr>
            <a:solidFill>
              <a:schemeClr val="accent2">
                <a:lumMod val="50000"/>
              </a:schemeClr>
            </a:solidFill>
          </c:spPr>
          <c:invertIfNegative val="0"/>
          <c:dLbls>
            <c:txPr>
              <a:bodyPr/>
              <a:lstStyle/>
              <a:p>
                <a:pPr>
                  <a:defRPr b="1">
                    <a:solidFill>
                      <a:schemeClr val="bg1"/>
                    </a:solidFill>
                    <a:effectLst>
                      <a:glow rad="88900">
                        <a:srgbClr val="C0504D">
                          <a:lumMod val="50000"/>
                        </a:srgbClr>
                      </a:glow>
                    </a:effectLst>
                  </a:defRPr>
                </a:pPr>
                <a:endParaRPr lang="en-US"/>
              </a:p>
            </c:txPr>
            <c:showLegendKey val="0"/>
            <c:showVal val="1"/>
            <c:showCatName val="0"/>
            <c:showSerName val="0"/>
            <c:showPercent val="0"/>
            <c:showBubbleSize val="0"/>
            <c:showLeaderLines val="0"/>
          </c:dLbls>
          <c:cat>
            <c:strRef>
              <c:f>'Summary Demographics'!$L$82:$O$82</c:f>
              <c:strCache>
                <c:ptCount val="4"/>
                <c:pt idx="0">
                  <c:v>FY11
(n=445)
46 years</c:v>
                </c:pt>
                <c:pt idx="1">
                  <c:v>FY12
(n=411)
48 years</c:v>
                </c:pt>
                <c:pt idx="2">
                  <c:v>FY13
(n=429)
47 years</c:v>
                </c:pt>
                <c:pt idx="3">
                  <c:v>FY14
(n=429)
48 years</c:v>
                </c:pt>
              </c:strCache>
            </c:strRef>
          </c:cat>
          <c:val>
            <c:numRef>
              <c:f>'Summary Demographics'!$L$81:$O$81</c:f>
              <c:numCache>
                <c:formatCode>0%</c:formatCode>
                <c:ptCount val="4"/>
                <c:pt idx="0">
                  <c:v>4.0540540540540543E-2</c:v>
                </c:pt>
                <c:pt idx="1">
                  <c:v>3.8929440389294405E-2</c:v>
                </c:pt>
                <c:pt idx="2">
                  <c:v>0</c:v>
                </c:pt>
                <c:pt idx="3">
                  <c:v>3.0303030303030304E-2</c:v>
                </c:pt>
              </c:numCache>
            </c:numRef>
          </c:val>
        </c:ser>
        <c:ser>
          <c:idx val="4"/>
          <c:order val="1"/>
          <c:tx>
            <c:strRef>
              <c:f>'Summary Demographics'!$A$26</c:f>
              <c:strCache>
                <c:ptCount val="1"/>
                <c:pt idx="0">
                  <c:v>60~69yrs</c:v>
                </c:pt>
              </c:strCache>
            </c:strRef>
          </c:tx>
          <c:invertIfNegative val="0"/>
          <c:dLbls>
            <c:txPr>
              <a:bodyPr/>
              <a:lstStyle/>
              <a:p>
                <a:pPr>
                  <a:defRPr b="1"/>
                </a:pPr>
                <a:endParaRPr lang="en-US"/>
              </a:p>
            </c:txPr>
            <c:showLegendKey val="0"/>
            <c:showVal val="1"/>
            <c:showCatName val="0"/>
            <c:showSerName val="0"/>
            <c:showPercent val="0"/>
            <c:showBubbleSize val="0"/>
            <c:showLeaderLines val="0"/>
          </c:dLbls>
          <c:cat>
            <c:strRef>
              <c:f>'Summary Demographics'!$L$82:$O$82</c:f>
              <c:strCache>
                <c:ptCount val="4"/>
                <c:pt idx="0">
                  <c:v>FY11
(n=445)
46 years</c:v>
                </c:pt>
                <c:pt idx="1">
                  <c:v>FY12
(n=411)
48 years</c:v>
                </c:pt>
                <c:pt idx="2">
                  <c:v>FY13
(n=429)
47 years</c:v>
                </c:pt>
                <c:pt idx="3">
                  <c:v>FY14
(n=429)
48 years</c:v>
                </c:pt>
              </c:strCache>
            </c:strRef>
          </c:cat>
          <c:val>
            <c:numRef>
              <c:f>'Summary Demographics'!$L$80:$O$80</c:f>
              <c:numCache>
                <c:formatCode>0%</c:formatCode>
                <c:ptCount val="4"/>
                <c:pt idx="0">
                  <c:v>0.1036036036036036</c:v>
                </c:pt>
                <c:pt idx="1">
                  <c:v>0.11678832116788321</c:v>
                </c:pt>
                <c:pt idx="2">
                  <c:v>0.15</c:v>
                </c:pt>
                <c:pt idx="3">
                  <c:v>0.17715617715617715</c:v>
                </c:pt>
              </c:numCache>
            </c:numRef>
          </c:val>
        </c:ser>
        <c:ser>
          <c:idx val="3"/>
          <c:order val="2"/>
          <c:tx>
            <c:strRef>
              <c:f>'Summary Demographics'!$A$25</c:f>
              <c:strCache>
                <c:ptCount val="1"/>
                <c:pt idx="0">
                  <c:v>50~59yrs</c:v>
                </c:pt>
              </c:strCache>
            </c:strRef>
          </c:tx>
          <c:spPr>
            <a:solidFill>
              <a:schemeClr val="accent2">
                <a:lumMod val="40000"/>
                <a:lumOff val="60000"/>
              </a:schemeClr>
            </a:solidFill>
          </c:spPr>
          <c:invertIfNegative val="0"/>
          <c:dLbls>
            <c:txPr>
              <a:bodyPr/>
              <a:lstStyle/>
              <a:p>
                <a:pPr>
                  <a:defRPr b="1"/>
                </a:pPr>
                <a:endParaRPr lang="en-US"/>
              </a:p>
            </c:txPr>
            <c:showLegendKey val="0"/>
            <c:showVal val="1"/>
            <c:showCatName val="0"/>
            <c:showSerName val="0"/>
            <c:showPercent val="0"/>
            <c:showBubbleSize val="0"/>
            <c:showLeaderLines val="0"/>
          </c:dLbls>
          <c:cat>
            <c:strRef>
              <c:f>'Summary Demographics'!$L$82:$O$82</c:f>
              <c:strCache>
                <c:ptCount val="4"/>
                <c:pt idx="0">
                  <c:v>FY11
(n=445)
46 years</c:v>
                </c:pt>
                <c:pt idx="1">
                  <c:v>FY12
(n=411)
48 years</c:v>
                </c:pt>
                <c:pt idx="2">
                  <c:v>FY13
(n=429)
47 years</c:v>
                </c:pt>
                <c:pt idx="3">
                  <c:v>FY14
(n=429)
48 years</c:v>
                </c:pt>
              </c:strCache>
            </c:strRef>
          </c:cat>
          <c:val>
            <c:numRef>
              <c:f>'Summary Demographics'!$L$79:$O$79</c:f>
              <c:numCache>
                <c:formatCode>0%</c:formatCode>
                <c:ptCount val="4"/>
                <c:pt idx="0">
                  <c:v>0.268018018018018</c:v>
                </c:pt>
                <c:pt idx="1">
                  <c:v>0.28467153284671531</c:v>
                </c:pt>
                <c:pt idx="2">
                  <c:v>0.28000000000000003</c:v>
                </c:pt>
                <c:pt idx="3">
                  <c:v>0.25174825174825177</c:v>
                </c:pt>
              </c:numCache>
            </c:numRef>
          </c:val>
        </c:ser>
        <c:ser>
          <c:idx val="2"/>
          <c:order val="3"/>
          <c:tx>
            <c:strRef>
              <c:f>'Summary Demographics'!$A$24</c:f>
              <c:strCache>
                <c:ptCount val="1"/>
                <c:pt idx="0">
                  <c:v>40~49yrs</c:v>
                </c:pt>
              </c:strCache>
            </c:strRef>
          </c:tx>
          <c:spPr>
            <a:solidFill>
              <a:schemeClr val="accent4">
                <a:lumMod val="40000"/>
                <a:lumOff val="60000"/>
              </a:schemeClr>
            </a:solidFill>
          </c:spPr>
          <c:invertIfNegative val="0"/>
          <c:dLbls>
            <c:txPr>
              <a:bodyPr/>
              <a:lstStyle/>
              <a:p>
                <a:pPr>
                  <a:defRPr b="1"/>
                </a:pPr>
                <a:endParaRPr lang="en-US"/>
              </a:p>
            </c:txPr>
            <c:showLegendKey val="0"/>
            <c:showVal val="1"/>
            <c:showCatName val="0"/>
            <c:showSerName val="0"/>
            <c:showPercent val="0"/>
            <c:showBubbleSize val="0"/>
            <c:showLeaderLines val="0"/>
          </c:dLbls>
          <c:cat>
            <c:strRef>
              <c:f>'Summary Demographics'!$L$82:$O$82</c:f>
              <c:strCache>
                <c:ptCount val="4"/>
                <c:pt idx="0">
                  <c:v>FY11
(n=445)
46 years</c:v>
                </c:pt>
                <c:pt idx="1">
                  <c:v>FY12
(n=411)
48 years</c:v>
                </c:pt>
                <c:pt idx="2">
                  <c:v>FY13
(n=429)
47 years</c:v>
                </c:pt>
                <c:pt idx="3">
                  <c:v>FY14
(n=429)
48 years</c:v>
                </c:pt>
              </c:strCache>
            </c:strRef>
          </c:cat>
          <c:val>
            <c:numRef>
              <c:f>'Summary Demographics'!$L$78:$O$78</c:f>
              <c:numCache>
                <c:formatCode>0%</c:formatCode>
                <c:ptCount val="4"/>
                <c:pt idx="0">
                  <c:v>0.23423423423423423</c:v>
                </c:pt>
                <c:pt idx="1">
                  <c:v>0.19464720194647203</c:v>
                </c:pt>
                <c:pt idx="2">
                  <c:v>0.2</c:v>
                </c:pt>
                <c:pt idx="3">
                  <c:v>0.17249417249417248</c:v>
                </c:pt>
              </c:numCache>
            </c:numRef>
          </c:val>
        </c:ser>
        <c:ser>
          <c:idx val="1"/>
          <c:order val="4"/>
          <c:tx>
            <c:strRef>
              <c:f>'Summary Demographics'!$A$23</c:f>
              <c:strCache>
                <c:ptCount val="1"/>
                <c:pt idx="0">
                  <c:v>30~39yrs</c:v>
                </c:pt>
              </c:strCache>
            </c:strRef>
          </c:tx>
          <c:spPr>
            <a:solidFill>
              <a:schemeClr val="tx2">
                <a:lumMod val="40000"/>
                <a:lumOff val="60000"/>
              </a:schemeClr>
            </a:solidFill>
          </c:spPr>
          <c:invertIfNegative val="0"/>
          <c:dLbls>
            <c:txPr>
              <a:bodyPr/>
              <a:lstStyle/>
              <a:p>
                <a:pPr>
                  <a:defRPr b="1"/>
                </a:pPr>
                <a:endParaRPr lang="en-US"/>
              </a:p>
            </c:txPr>
            <c:showLegendKey val="0"/>
            <c:showVal val="1"/>
            <c:showCatName val="0"/>
            <c:showSerName val="0"/>
            <c:showPercent val="0"/>
            <c:showBubbleSize val="0"/>
            <c:showLeaderLines val="0"/>
          </c:dLbls>
          <c:cat>
            <c:strRef>
              <c:f>'Summary Demographics'!$L$82:$O$82</c:f>
              <c:strCache>
                <c:ptCount val="4"/>
                <c:pt idx="0">
                  <c:v>FY11
(n=445)
46 years</c:v>
                </c:pt>
                <c:pt idx="1">
                  <c:v>FY12
(n=411)
48 years</c:v>
                </c:pt>
                <c:pt idx="2">
                  <c:v>FY13
(n=429)
47 years</c:v>
                </c:pt>
                <c:pt idx="3">
                  <c:v>FY14
(n=429)
48 years</c:v>
                </c:pt>
              </c:strCache>
            </c:strRef>
          </c:cat>
          <c:val>
            <c:numRef>
              <c:f>'Summary Demographics'!$L$77:$O$77</c:f>
              <c:numCache>
                <c:formatCode>0%</c:formatCode>
                <c:ptCount val="4"/>
                <c:pt idx="0">
                  <c:v>0.16666666666666666</c:v>
                </c:pt>
                <c:pt idx="1">
                  <c:v>0.18491484184914841</c:v>
                </c:pt>
                <c:pt idx="2">
                  <c:v>0.19</c:v>
                </c:pt>
                <c:pt idx="3">
                  <c:v>0.19347319347319347</c:v>
                </c:pt>
              </c:numCache>
            </c:numRef>
          </c:val>
        </c:ser>
        <c:ser>
          <c:idx val="0"/>
          <c:order val="5"/>
          <c:tx>
            <c:strRef>
              <c:f>'Summary Demographics'!$A$22</c:f>
              <c:strCache>
                <c:ptCount val="1"/>
                <c:pt idx="0">
                  <c:v>&lt;=29yrs</c:v>
                </c:pt>
              </c:strCache>
            </c:strRef>
          </c:tx>
          <c:spPr>
            <a:solidFill>
              <a:schemeClr val="tx2"/>
            </a:solidFill>
          </c:spPr>
          <c:invertIfNegative val="0"/>
          <c:dLbls>
            <c:txPr>
              <a:bodyPr/>
              <a:lstStyle/>
              <a:p>
                <a:pPr>
                  <a:defRPr b="1">
                    <a:solidFill>
                      <a:schemeClr val="bg1"/>
                    </a:solidFill>
                  </a:defRPr>
                </a:pPr>
                <a:endParaRPr lang="en-US"/>
              </a:p>
            </c:txPr>
            <c:showLegendKey val="0"/>
            <c:showVal val="1"/>
            <c:showCatName val="0"/>
            <c:showSerName val="0"/>
            <c:showPercent val="0"/>
            <c:showBubbleSize val="0"/>
            <c:showLeaderLines val="0"/>
          </c:dLbls>
          <c:cat>
            <c:strRef>
              <c:f>'Summary Demographics'!$L$82:$O$82</c:f>
              <c:strCache>
                <c:ptCount val="4"/>
                <c:pt idx="0">
                  <c:v>FY11
(n=445)
46 years</c:v>
                </c:pt>
                <c:pt idx="1">
                  <c:v>FY12
(n=411)
48 years</c:v>
                </c:pt>
                <c:pt idx="2">
                  <c:v>FY13
(n=429)
47 years</c:v>
                </c:pt>
                <c:pt idx="3">
                  <c:v>FY14
(n=429)
48 years</c:v>
                </c:pt>
              </c:strCache>
            </c:strRef>
          </c:cat>
          <c:val>
            <c:numRef>
              <c:f>'Summary Demographics'!$L$76:$O$76</c:f>
              <c:numCache>
                <c:formatCode>0%</c:formatCode>
                <c:ptCount val="4"/>
                <c:pt idx="0">
                  <c:v>0.1891891891891892</c:v>
                </c:pt>
                <c:pt idx="1">
                  <c:v>0.18004866180048662</c:v>
                </c:pt>
                <c:pt idx="2">
                  <c:v>0.17</c:v>
                </c:pt>
                <c:pt idx="3">
                  <c:v>0.17482517482517482</c:v>
                </c:pt>
              </c:numCache>
            </c:numRef>
          </c:val>
        </c:ser>
        <c:dLbls>
          <c:showLegendKey val="0"/>
          <c:showVal val="1"/>
          <c:showCatName val="0"/>
          <c:showSerName val="0"/>
          <c:showPercent val="0"/>
          <c:showBubbleSize val="0"/>
        </c:dLbls>
        <c:gapWidth val="25"/>
        <c:overlap val="100"/>
        <c:axId val="242721280"/>
        <c:axId val="285500544"/>
      </c:barChart>
      <c:catAx>
        <c:axId val="242721280"/>
        <c:scaling>
          <c:orientation val="minMax"/>
        </c:scaling>
        <c:delete val="0"/>
        <c:axPos val="b"/>
        <c:numFmt formatCode="0\ &quot;years&quot;" sourceLinked="1"/>
        <c:majorTickMark val="none"/>
        <c:minorTickMark val="none"/>
        <c:tickLblPos val="nextTo"/>
        <c:txPr>
          <a:bodyPr rot="0" vert="horz"/>
          <a:lstStyle/>
          <a:p>
            <a:pPr>
              <a:defRPr/>
            </a:pPr>
            <a:endParaRPr lang="en-US"/>
          </a:p>
        </c:txPr>
        <c:crossAx val="285500544"/>
        <c:crosses val="autoZero"/>
        <c:auto val="0"/>
        <c:lblAlgn val="ctr"/>
        <c:lblOffset val="100"/>
        <c:noMultiLvlLbl val="0"/>
      </c:catAx>
      <c:valAx>
        <c:axId val="285500544"/>
        <c:scaling>
          <c:orientation val="minMax"/>
        </c:scaling>
        <c:delete val="0"/>
        <c:axPos val="l"/>
        <c:majorGridlines/>
        <c:numFmt formatCode="0%" sourceLinked="1"/>
        <c:majorTickMark val="none"/>
        <c:minorTickMark val="none"/>
        <c:tickLblPos val="nextTo"/>
        <c:crossAx val="242721280"/>
        <c:crossesAt val="1"/>
        <c:crossBetween val="between"/>
      </c:valAx>
    </c:plotArea>
    <c:legend>
      <c:legendPos val="r"/>
      <c:legendEntry>
        <c:idx val="0"/>
        <c:txPr>
          <a:bodyPr/>
          <a:lstStyle/>
          <a:p>
            <a:pPr>
              <a:defRPr b="1">
                <a:solidFill>
                  <a:schemeClr val="tx2"/>
                </a:solidFill>
              </a:defRPr>
            </a:pPr>
            <a:endParaRPr lang="en-US"/>
          </a:p>
        </c:txPr>
      </c:legendEntry>
      <c:legendEntry>
        <c:idx val="1"/>
        <c:txPr>
          <a:bodyPr/>
          <a:lstStyle/>
          <a:p>
            <a:pPr>
              <a:defRPr b="1">
                <a:solidFill>
                  <a:schemeClr val="accent1"/>
                </a:solidFill>
              </a:defRPr>
            </a:pPr>
            <a:endParaRPr lang="en-US"/>
          </a:p>
        </c:txPr>
      </c:legendEntry>
      <c:legendEntry>
        <c:idx val="2"/>
        <c:txPr>
          <a:bodyPr/>
          <a:lstStyle/>
          <a:p>
            <a:pPr>
              <a:defRPr b="1">
                <a:solidFill>
                  <a:schemeClr val="accent4">
                    <a:lumMod val="50000"/>
                  </a:schemeClr>
                </a:solidFill>
              </a:defRPr>
            </a:pPr>
            <a:endParaRPr lang="en-US"/>
          </a:p>
        </c:txPr>
      </c:legendEntry>
      <c:legendEntry>
        <c:idx val="3"/>
        <c:txPr>
          <a:bodyPr/>
          <a:lstStyle/>
          <a:p>
            <a:pPr>
              <a:defRPr b="1">
                <a:solidFill>
                  <a:schemeClr val="accent2"/>
                </a:solidFill>
              </a:defRPr>
            </a:pPr>
            <a:endParaRPr lang="en-US"/>
          </a:p>
        </c:txPr>
      </c:legendEntry>
      <c:legendEntry>
        <c:idx val="4"/>
        <c:txPr>
          <a:bodyPr/>
          <a:lstStyle/>
          <a:p>
            <a:pPr>
              <a:defRPr b="1">
                <a:solidFill>
                  <a:schemeClr val="accent2">
                    <a:lumMod val="75000"/>
                  </a:schemeClr>
                </a:solidFill>
              </a:defRPr>
            </a:pPr>
            <a:endParaRPr lang="en-US"/>
          </a:p>
        </c:txPr>
      </c:legendEntry>
      <c:legendEntry>
        <c:idx val="5"/>
        <c:txPr>
          <a:bodyPr/>
          <a:lstStyle/>
          <a:p>
            <a:pPr>
              <a:defRPr b="1">
                <a:solidFill>
                  <a:schemeClr val="accent2">
                    <a:lumMod val="50000"/>
                  </a:schemeClr>
                </a:solidFill>
              </a:defRPr>
            </a:pPr>
            <a:endParaRPr lang="en-US"/>
          </a:p>
        </c:txPr>
      </c:legendEntry>
      <c:layout>
        <c:manualLayout>
          <c:xMode val="edge"/>
          <c:yMode val="edge"/>
          <c:x val="0.77386472844740561"/>
          <c:y val="4.1384250561173154E-2"/>
          <c:w val="0.21964029880880276"/>
          <c:h val="0.82951594857613309"/>
        </c:manualLayout>
      </c:layout>
      <c:overlay val="0"/>
      <c:txPr>
        <a:bodyPr/>
        <a:lstStyle/>
        <a:p>
          <a:pPr>
            <a:defRPr b="1"/>
          </a:pPr>
          <a:endParaRPr lang="en-US"/>
        </a:p>
      </c:txPr>
    </c:legend>
    <c:plotVisOnly val="1"/>
    <c:dispBlanksAs val="gap"/>
    <c:showDLblsOverMax val="0"/>
  </c:chart>
  <c:spPr>
    <a:ln>
      <a:noFill/>
    </a:ln>
  </c:spPr>
  <c:externalData r:id="rId1">
    <c:autoUpdate val="0"/>
  </c:externalData>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11162147227407079"/>
          <c:y val="0.10520920179095269"/>
          <c:w val="0.86731667846906635"/>
          <c:h val="0.75415881838300147"/>
        </c:manualLayout>
      </c:layout>
      <c:barChart>
        <c:barDir val="bar"/>
        <c:grouping val="clustered"/>
        <c:varyColors val="0"/>
        <c:ser>
          <c:idx val="0"/>
          <c:order val="0"/>
          <c:tx>
            <c:strRef>
              <c:f>'Summary Demographics'!$E$9</c:f>
              <c:strCache>
                <c:ptCount val="1"/>
                <c:pt idx="0">
                  <c:v>Female (33%)</c:v>
                </c:pt>
              </c:strCache>
            </c:strRef>
          </c:tx>
          <c:spPr>
            <a:blipFill>
              <a:blip xmlns:r="http://schemas.openxmlformats.org/officeDocument/2006/relationships" r:embed="rId1"/>
              <a:stretch>
                <a:fillRect/>
              </a:stretch>
            </a:blipFill>
            <a:ln>
              <a:solidFill>
                <a:srgbClr val="C0504D">
                  <a:lumMod val="75000"/>
                </a:srgbClr>
              </a:solidFill>
            </a:ln>
            <a:effectLst>
              <a:outerShdw blurRad="40000" dist="23000" dir="5400000" rotWithShape="0">
                <a:srgbClr val="460000">
                  <a:alpha val="34902"/>
                </a:srgbClr>
              </a:outerShdw>
            </a:effectLst>
            <a:scene3d>
              <a:camera prst="orthographicFront"/>
              <a:lightRig rig="threePt" dir="t">
                <a:rot lat="0" lon="0" rev="3000000"/>
              </a:lightRig>
            </a:scene3d>
            <a:sp3d>
              <a:bevelT w="63500" h="25400"/>
            </a:sp3d>
          </c:spPr>
          <c:invertIfNegative val="1"/>
          <c:pictureOptions>
            <c:pictureFormat val="stack"/>
          </c:pictureOptions>
          <c:cat>
            <c:strRef>
              <c:f>'Summary Demographics'!$A$10:$A$16</c:f>
              <c:strCache>
                <c:ptCount val="7"/>
                <c:pt idx="0">
                  <c:v>&lt;=29yrs</c:v>
                </c:pt>
                <c:pt idx="1">
                  <c:v>30~39yrs</c:v>
                </c:pt>
                <c:pt idx="2">
                  <c:v>40~49yrs</c:v>
                </c:pt>
                <c:pt idx="3">
                  <c:v>50~59yrs</c:v>
                </c:pt>
                <c:pt idx="4">
                  <c:v>60~69yrs</c:v>
                </c:pt>
                <c:pt idx="5">
                  <c:v>70~79yrs</c:v>
                </c:pt>
                <c:pt idx="6">
                  <c:v>&gt;=80yrs</c:v>
                </c:pt>
              </c:strCache>
            </c:strRef>
          </c:cat>
          <c:val>
            <c:numRef>
              <c:f>'Summary Demographics'!$E$10:$E$16</c:f>
              <c:numCache>
                <c:formatCode>0.00</c:formatCode>
                <c:ptCount val="7"/>
                <c:pt idx="0">
                  <c:v>-5.0359712230215825</c:v>
                </c:pt>
                <c:pt idx="1">
                  <c:v>-4.3165467625899279</c:v>
                </c:pt>
                <c:pt idx="2">
                  <c:v>-2.8776978417266186</c:v>
                </c:pt>
                <c:pt idx="3">
                  <c:v>-11.151079136690647</c:v>
                </c:pt>
                <c:pt idx="4">
                  <c:v>-6.4748201438848918</c:v>
                </c:pt>
                <c:pt idx="5">
                  <c:v>-2.1582733812949639</c:v>
                </c:pt>
                <c:pt idx="6">
                  <c:v>-1.079136690647482</c:v>
                </c:pt>
              </c:numCache>
            </c:numRef>
          </c:val>
        </c:ser>
        <c:ser>
          <c:idx val="1"/>
          <c:order val="1"/>
          <c:tx>
            <c:strRef>
              <c:f>'Summary Demographics'!$F$9</c:f>
              <c:strCache>
                <c:ptCount val="1"/>
                <c:pt idx="0">
                  <c:v>Male (67%)</c:v>
                </c:pt>
              </c:strCache>
            </c:strRef>
          </c:tx>
          <c:spPr>
            <a:blipFill>
              <a:blip xmlns:r="http://schemas.openxmlformats.org/officeDocument/2006/relationships" r:embed="rId2"/>
              <a:stretch>
                <a:fillRect/>
              </a:stretch>
            </a:blipFill>
            <a:effectLst>
              <a:outerShdw blurRad="40000" dist="23000" dir="5400000" rotWithShape="0">
                <a:schemeClr val="tx2">
                  <a:alpha val="35000"/>
                </a:schemeClr>
              </a:outerShdw>
            </a:effectLst>
          </c:spPr>
          <c:invertIfNegative val="0"/>
          <c:pictureOptions>
            <c:pictureFormat val="stack"/>
          </c:pictureOptions>
          <c:cat>
            <c:strRef>
              <c:f>'Summary Demographics'!$A$10:$A$16</c:f>
              <c:strCache>
                <c:ptCount val="7"/>
                <c:pt idx="0">
                  <c:v>&lt;=29yrs</c:v>
                </c:pt>
                <c:pt idx="1">
                  <c:v>30~39yrs</c:v>
                </c:pt>
                <c:pt idx="2">
                  <c:v>40~49yrs</c:v>
                </c:pt>
                <c:pt idx="3">
                  <c:v>50~59yrs</c:v>
                </c:pt>
                <c:pt idx="4">
                  <c:v>60~69yrs</c:v>
                </c:pt>
                <c:pt idx="5">
                  <c:v>70~79yrs</c:v>
                </c:pt>
                <c:pt idx="6">
                  <c:v>&gt;=80yrs</c:v>
                </c:pt>
              </c:strCache>
            </c:strRef>
          </c:cat>
          <c:val>
            <c:numRef>
              <c:f>'Summary Demographics'!$F$10:$F$16</c:f>
              <c:numCache>
                <c:formatCode>0.00</c:formatCode>
                <c:ptCount val="7"/>
                <c:pt idx="0">
                  <c:v>5.3956834532374103</c:v>
                </c:pt>
                <c:pt idx="1">
                  <c:v>7.9136690647482011</c:v>
                </c:pt>
                <c:pt idx="2">
                  <c:v>9.3525179856115113</c:v>
                </c:pt>
                <c:pt idx="3">
                  <c:v>19.064748201438849</c:v>
                </c:pt>
                <c:pt idx="4">
                  <c:v>18.345323741007196</c:v>
                </c:pt>
                <c:pt idx="5">
                  <c:v>6.4748201438848918</c:v>
                </c:pt>
                <c:pt idx="6">
                  <c:v>0.35971223021582732</c:v>
                </c:pt>
              </c:numCache>
            </c:numRef>
          </c:val>
        </c:ser>
        <c:dLbls>
          <c:showLegendKey val="0"/>
          <c:showVal val="0"/>
          <c:showCatName val="0"/>
          <c:showSerName val="0"/>
          <c:showPercent val="0"/>
          <c:showBubbleSize val="0"/>
        </c:dLbls>
        <c:gapWidth val="0"/>
        <c:overlap val="100"/>
        <c:axId val="242723840"/>
        <c:axId val="285502272"/>
      </c:barChart>
      <c:catAx>
        <c:axId val="242723840"/>
        <c:scaling>
          <c:orientation val="maxMin"/>
        </c:scaling>
        <c:delete val="0"/>
        <c:axPos val="l"/>
        <c:numFmt formatCode="General" sourceLinked="1"/>
        <c:majorTickMark val="none"/>
        <c:minorTickMark val="none"/>
        <c:tickLblPos val="low"/>
        <c:spPr>
          <a:ln w="25400">
            <a:solidFill>
              <a:schemeClr val="tx1"/>
            </a:solidFill>
          </a:ln>
        </c:spPr>
        <c:txPr>
          <a:bodyPr rot="0" vert="horz"/>
          <a:lstStyle/>
          <a:p>
            <a:pPr>
              <a:defRPr/>
            </a:pPr>
            <a:endParaRPr lang="en-US"/>
          </a:p>
        </c:txPr>
        <c:crossAx val="285502272"/>
        <c:crossesAt val="0"/>
        <c:auto val="1"/>
        <c:lblAlgn val="ctr"/>
        <c:lblOffset val="100"/>
        <c:tickLblSkip val="1"/>
        <c:tickMarkSkip val="1"/>
        <c:noMultiLvlLbl val="0"/>
      </c:catAx>
      <c:valAx>
        <c:axId val="285502272"/>
        <c:scaling>
          <c:orientation val="minMax"/>
          <c:max val="40"/>
          <c:min val="-20"/>
        </c:scaling>
        <c:delete val="0"/>
        <c:axPos val="b"/>
        <c:majorGridlines/>
        <c:title>
          <c:tx>
            <c:rich>
              <a:bodyPr/>
              <a:lstStyle/>
              <a:p>
                <a:pPr>
                  <a:defRPr/>
                </a:pPr>
                <a:r>
                  <a:rPr lang="en-US"/>
                  <a:t>Percent</a:t>
                </a:r>
              </a:p>
            </c:rich>
          </c:tx>
          <c:layout>
            <c:manualLayout>
              <c:xMode val="edge"/>
              <c:yMode val="edge"/>
              <c:x val="0.37148428841585329"/>
              <c:y val="0.92953322011219186"/>
            </c:manualLayout>
          </c:layout>
          <c:overlay val="0"/>
        </c:title>
        <c:numFmt formatCode="0;0" sourceLinked="0"/>
        <c:majorTickMark val="out"/>
        <c:minorTickMark val="none"/>
        <c:tickLblPos val="nextTo"/>
        <c:txPr>
          <a:bodyPr rot="0" vert="horz"/>
          <a:lstStyle/>
          <a:p>
            <a:pPr>
              <a:defRPr/>
            </a:pPr>
            <a:endParaRPr lang="en-US"/>
          </a:p>
        </c:txPr>
        <c:crossAx val="242723840"/>
        <c:crosses val="max"/>
        <c:crossBetween val="between"/>
        <c:majorUnit val="10"/>
        <c:minorUnit val="5"/>
      </c:valAx>
    </c:plotArea>
    <c:legend>
      <c:legendPos val="t"/>
      <c:legendEntry>
        <c:idx val="0"/>
        <c:txPr>
          <a:bodyPr/>
          <a:lstStyle/>
          <a:p>
            <a:pPr>
              <a:defRPr b="1">
                <a:solidFill>
                  <a:srgbClr val="C00000"/>
                </a:solidFill>
                <a:latin typeface="+mn-lt"/>
                <a:ea typeface="+mn-ea"/>
                <a:cs typeface="+mn-cs"/>
              </a:defRPr>
            </a:pPr>
            <a:endParaRPr lang="en-US"/>
          </a:p>
        </c:txPr>
      </c:legendEntry>
      <c:legendEntry>
        <c:idx val="1"/>
        <c:txPr>
          <a:bodyPr/>
          <a:lstStyle/>
          <a:p>
            <a:pPr>
              <a:defRPr b="1">
                <a:solidFill>
                  <a:schemeClr val="tx2"/>
                </a:solidFill>
                <a:latin typeface="+mn-lt"/>
                <a:ea typeface="+mn-ea"/>
                <a:cs typeface="+mn-cs"/>
              </a:defRPr>
            </a:pPr>
            <a:endParaRPr lang="en-US"/>
          </a:p>
        </c:txPr>
      </c:legendEntry>
      <c:layout>
        <c:manualLayout>
          <c:xMode val="edge"/>
          <c:yMode val="edge"/>
          <c:x val="0.23504509778494026"/>
          <c:y val="1.2615923009623799E-2"/>
          <c:w val="0.32511364831077005"/>
          <c:h val="7.4521812224452325E-2"/>
        </c:manualLayout>
      </c:layout>
      <c:overlay val="0"/>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legend>
    <c:plotVisOnly val="1"/>
    <c:dispBlanksAs val="gap"/>
    <c:showDLblsOverMax val="0"/>
  </c:chart>
  <c:spPr>
    <a:noFill/>
    <a:ln>
      <a:noFill/>
    </a:ln>
  </c:sp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598095395143669"/>
          <c:y val="5.3153884344065865E-2"/>
          <c:w val="0.68253083687603666"/>
          <c:h val="0.77281070360796666"/>
        </c:manualLayout>
      </c:layout>
      <c:barChart>
        <c:barDir val="col"/>
        <c:grouping val="percentStacked"/>
        <c:varyColors val="0"/>
        <c:ser>
          <c:idx val="0"/>
          <c:order val="0"/>
          <c:tx>
            <c:strRef>
              <c:f>'TA Summary'!$V$20</c:f>
              <c:strCache>
                <c:ptCount val="1"/>
                <c:pt idx="0">
                  <c:v>Civil</c:v>
                </c:pt>
              </c:strCache>
            </c:strRef>
          </c:tx>
          <c:invertIfNegative val="0"/>
          <c:dLbls>
            <c:txPr>
              <a:bodyPr/>
              <a:lstStyle/>
              <a:p>
                <a:pPr>
                  <a:defRPr b="1">
                    <a:solidFill>
                      <a:schemeClr val="bg1"/>
                    </a:solidFill>
                  </a:defRPr>
                </a:pPr>
                <a:endParaRPr lang="en-US"/>
              </a:p>
            </c:txPr>
            <c:showLegendKey val="0"/>
            <c:showVal val="1"/>
            <c:showCatName val="0"/>
            <c:showSerName val="0"/>
            <c:showPercent val="0"/>
            <c:showBubbleSize val="0"/>
            <c:showLeaderLines val="0"/>
          </c:dLbls>
          <c:cat>
            <c:strRef>
              <c:f>'TA Summary'!$AA$41:$AA$45</c:f>
              <c:strCache>
                <c:ptCount val="5"/>
                <c:pt idx="0">
                  <c:v>9/30/10
(n=311)</c:v>
                </c:pt>
                <c:pt idx="1">
                  <c:v>9/30/11
(n=290)</c:v>
                </c:pt>
                <c:pt idx="2">
                  <c:v>9/30/12
(n=279)</c:v>
                </c:pt>
                <c:pt idx="3">
                  <c:v>9/30/13
(n=273)</c:v>
                </c:pt>
                <c:pt idx="4">
                  <c:v>9/30/14
(n=278)</c:v>
                </c:pt>
              </c:strCache>
            </c:strRef>
          </c:cat>
          <c:val>
            <c:numRef>
              <c:f>'TA Summary'!$AB$41:$AB$45</c:f>
              <c:numCache>
                <c:formatCode>0%</c:formatCode>
                <c:ptCount val="5"/>
                <c:pt idx="0">
                  <c:v>0.46945337620578781</c:v>
                </c:pt>
                <c:pt idx="1">
                  <c:v>0.39655172413793105</c:v>
                </c:pt>
                <c:pt idx="2">
                  <c:v>0.3942652329749104</c:v>
                </c:pt>
                <c:pt idx="3">
                  <c:v>0.41025641025641024</c:v>
                </c:pt>
                <c:pt idx="4">
                  <c:v>0.43525179856115109</c:v>
                </c:pt>
              </c:numCache>
            </c:numRef>
          </c:val>
        </c:ser>
        <c:ser>
          <c:idx val="1"/>
          <c:order val="1"/>
          <c:tx>
            <c:strRef>
              <c:f>'TA Summary'!$W$20</c:f>
              <c:strCache>
                <c:ptCount val="1"/>
                <c:pt idx="0">
                  <c:v>Pre-trial</c:v>
                </c:pt>
              </c:strCache>
            </c:strRef>
          </c:tx>
          <c:invertIfNegative val="0"/>
          <c:dLbls>
            <c:txPr>
              <a:bodyPr/>
              <a:lstStyle/>
              <a:p>
                <a:pPr>
                  <a:defRPr b="1">
                    <a:solidFill>
                      <a:schemeClr val="bg1"/>
                    </a:solidFill>
                  </a:defRPr>
                </a:pPr>
                <a:endParaRPr lang="en-US"/>
              </a:p>
            </c:txPr>
            <c:showLegendKey val="0"/>
            <c:showVal val="1"/>
            <c:showCatName val="0"/>
            <c:showSerName val="0"/>
            <c:showPercent val="0"/>
            <c:showBubbleSize val="0"/>
            <c:showLeaderLines val="0"/>
          </c:dLbls>
          <c:cat>
            <c:strRef>
              <c:f>'TA Summary'!$AA$41:$AA$45</c:f>
              <c:strCache>
                <c:ptCount val="5"/>
                <c:pt idx="0">
                  <c:v>9/30/10
(n=311)</c:v>
                </c:pt>
                <c:pt idx="1">
                  <c:v>9/30/11
(n=290)</c:v>
                </c:pt>
                <c:pt idx="2">
                  <c:v>9/30/12
(n=279)</c:v>
                </c:pt>
                <c:pt idx="3">
                  <c:v>9/30/13
(n=273)</c:v>
                </c:pt>
                <c:pt idx="4">
                  <c:v>9/30/14
(n=278)</c:v>
                </c:pt>
              </c:strCache>
            </c:strRef>
          </c:cat>
          <c:val>
            <c:numRef>
              <c:f>'TA Summary'!$AC$41:$AC$45</c:f>
              <c:numCache>
                <c:formatCode>0%</c:formatCode>
                <c:ptCount val="5"/>
                <c:pt idx="0">
                  <c:v>0.18327974276527331</c:v>
                </c:pt>
                <c:pt idx="1">
                  <c:v>0.22068965517241379</c:v>
                </c:pt>
                <c:pt idx="2">
                  <c:v>0.22939068100358423</c:v>
                </c:pt>
                <c:pt idx="3">
                  <c:v>0.2087912087912088</c:v>
                </c:pt>
                <c:pt idx="4">
                  <c:v>0.24100719424460432</c:v>
                </c:pt>
              </c:numCache>
            </c:numRef>
          </c:val>
        </c:ser>
        <c:ser>
          <c:idx val="2"/>
          <c:order val="2"/>
          <c:tx>
            <c:strRef>
              <c:f>'TA Summary'!$X$20</c:f>
              <c:strCache>
                <c:ptCount val="1"/>
                <c:pt idx="0">
                  <c:v>Post-trial</c:v>
                </c:pt>
              </c:strCache>
            </c:strRef>
          </c:tx>
          <c:invertIfNegative val="0"/>
          <c:dLbls>
            <c:txPr>
              <a:bodyPr/>
              <a:lstStyle/>
              <a:p>
                <a:pPr>
                  <a:defRPr b="1"/>
                </a:pPr>
                <a:endParaRPr lang="en-US"/>
              </a:p>
            </c:txPr>
            <c:showLegendKey val="0"/>
            <c:showVal val="1"/>
            <c:showCatName val="0"/>
            <c:showSerName val="0"/>
            <c:showPercent val="0"/>
            <c:showBubbleSize val="0"/>
            <c:showLeaderLines val="0"/>
          </c:dLbls>
          <c:cat>
            <c:strRef>
              <c:f>'TA Summary'!$AA$41:$AA$45</c:f>
              <c:strCache>
                <c:ptCount val="5"/>
                <c:pt idx="0">
                  <c:v>9/30/10
(n=311)</c:v>
                </c:pt>
                <c:pt idx="1">
                  <c:v>9/30/11
(n=290)</c:v>
                </c:pt>
                <c:pt idx="2">
                  <c:v>9/30/12
(n=279)</c:v>
                </c:pt>
                <c:pt idx="3">
                  <c:v>9/30/13
(n=273)</c:v>
                </c:pt>
                <c:pt idx="4">
                  <c:v>9/30/14
(n=278)</c:v>
                </c:pt>
              </c:strCache>
            </c:strRef>
          </c:cat>
          <c:val>
            <c:numRef>
              <c:f>'TA Summary'!$AD$41:$AD$45</c:f>
              <c:numCache>
                <c:formatCode>0%</c:formatCode>
                <c:ptCount val="5"/>
                <c:pt idx="0">
                  <c:v>0.34726688102893893</c:v>
                </c:pt>
                <c:pt idx="1">
                  <c:v>0.38275862068965516</c:v>
                </c:pt>
                <c:pt idx="2">
                  <c:v>0.37634408602150538</c:v>
                </c:pt>
                <c:pt idx="3">
                  <c:v>0.38095238095238093</c:v>
                </c:pt>
                <c:pt idx="4">
                  <c:v>0.32374100719424459</c:v>
                </c:pt>
              </c:numCache>
            </c:numRef>
          </c:val>
        </c:ser>
        <c:dLbls>
          <c:showLegendKey val="0"/>
          <c:showVal val="0"/>
          <c:showCatName val="0"/>
          <c:showSerName val="0"/>
          <c:showPercent val="0"/>
          <c:showBubbleSize val="0"/>
        </c:dLbls>
        <c:gapWidth val="30"/>
        <c:overlap val="100"/>
        <c:axId val="236481536"/>
        <c:axId val="168150720"/>
      </c:barChart>
      <c:catAx>
        <c:axId val="236481536"/>
        <c:scaling>
          <c:orientation val="minMax"/>
        </c:scaling>
        <c:delete val="0"/>
        <c:axPos val="b"/>
        <c:majorTickMark val="out"/>
        <c:minorTickMark val="none"/>
        <c:tickLblPos val="nextTo"/>
        <c:txPr>
          <a:bodyPr rot="0" vert="horz"/>
          <a:lstStyle/>
          <a:p>
            <a:pPr>
              <a:defRPr sz="900" b="1"/>
            </a:pPr>
            <a:endParaRPr lang="en-US"/>
          </a:p>
        </c:txPr>
        <c:crossAx val="168150720"/>
        <c:crosses val="autoZero"/>
        <c:auto val="1"/>
        <c:lblAlgn val="ctr"/>
        <c:lblOffset val="100"/>
        <c:noMultiLvlLbl val="0"/>
      </c:catAx>
      <c:valAx>
        <c:axId val="168150720"/>
        <c:scaling>
          <c:orientation val="minMax"/>
        </c:scaling>
        <c:delete val="0"/>
        <c:axPos val="l"/>
        <c:majorGridlines/>
        <c:numFmt formatCode="0%" sourceLinked="1"/>
        <c:majorTickMark val="out"/>
        <c:minorTickMark val="none"/>
        <c:tickLblPos val="nextTo"/>
        <c:crossAx val="236481536"/>
        <c:crosses val="autoZero"/>
        <c:crossBetween val="between"/>
      </c:valAx>
    </c:plotArea>
    <c:legend>
      <c:legendPos val="r"/>
      <c:legendEntry>
        <c:idx val="0"/>
        <c:txPr>
          <a:bodyPr/>
          <a:lstStyle/>
          <a:p>
            <a:pPr>
              <a:defRPr sz="900" b="1">
                <a:solidFill>
                  <a:schemeClr val="accent3">
                    <a:lumMod val="50000"/>
                  </a:schemeClr>
                </a:solidFill>
              </a:defRPr>
            </a:pPr>
            <a:endParaRPr lang="en-US"/>
          </a:p>
        </c:txPr>
      </c:legendEntry>
      <c:legendEntry>
        <c:idx val="1"/>
        <c:txPr>
          <a:bodyPr/>
          <a:lstStyle/>
          <a:p>
            <a:pPr>
              <a:defRPr sz="900" b="1">
                <a:solidFill>
                  <a:srgbClr val="C00000"/>
                </a:solidFill>
              </a:defRPr>
            </a:pPr>
            <a:endParaRPr lang="en-US"/>
          </a:p>
        </c:txPr>
      </c:legendEntry>
      <c:legendEntry>
        <c:idx val="2"/>
        <c:txPr>
          <a:bodyPr/>
          <a:lstStyle/>
          <a:p>
            <a:pPr>
              <a:defRPr sz="900" b="1">
                <a:solidFill>
                  <a:schemeClr val="tx2"/>
                </a:solidFill>
              </a:defRPr>
            </a:pPr>
            <a:endParaRPr lang="en-US"/>
          </a:p>
        </c:txPr>
      </c:legendEntry>
      <c:layout>
        <c:manualLayout>
          <c:xMode val="edge"/>
          <c:yMode val="edge"/>
          <c:x val="0.83456281807542609"/>
          <c:y val="0.17154595078849946"/>
          <c:w val="0.16146278446417586"/>
          <c:h val="0.64088447522650005"/>
        </c:manualLayout>
      </c:layout>
      <c:overlay val="0"/>
      <c:txPr>
        <a:bodyPr/>
        <a:lstStyle/>
        <a:p>
          <a:pPr>
            <a:defRPr sz="900" b="1"/>
          </a:pPr>
          <a:endParaRPr lang="en-US"/>
        </a:p>
      </c:txPr>
    </c:legend>
    <c:plotVisOnly val="1"/>
    <c:dispBlanksAs val="gap"/>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manualLayout>
          <c:layoutTarget val="inner"/>
          <c:xMode val="edge"/>
          <c:yMode val="edge"/>
          <c:x val="1.8154289246989405E-2"/>
          <c:y val="3.5622208762366242E-2"/>
          <c:w val="0.96798951612007578"/>
          <c:h val="0.84609537653947098"/>
        </c:manualLayout>
      </c:layout>
      <c:lineChart>
        <c:grouping val="standard"/>
        <c:varyColors val="0"/>
        <c:ser>
          <c:idx val="2"/>
          <c:order val="0"/>
          <c:tx>
            <c:v>Median LOS</c:v>
          </c:tx>
          <c:spPr>
            <a:ln w="41275">
              <a:solidFill>
                <a:schemeClr val="accent2"/>
              </a:solidFill>
            </a:ln>
          </c:spPr>
          <c:marker>
            <c:symbol val="none"/>
          </c:marker>
          <c:dLbls>
            <c:dLbl>
              <c:idx val="7"/>
              <c:layout>
                <c:manualLayout>
                  <c:x val="-2.7872312857930841E-2"/>
                  <c:y val="-3.734367050272562E-2"/>
                </c:manualLayout>
              </c:layout>
              <c:dLblPos val="r"/>
              <c:showLegendKey val="0"/>
              <c:showVal val="1"/>
              <c:showCatName val="0"/>
              <c:showSerName val="0"/>
              <c:showPercent val="0"/>
              <c:showBubbleSize val="0"/>
            </c:dLbl>
            <c:txPr>
              <a:bodyPr/>
              <a:lstStyle/>
              <a:p>
                <a:pPr>
                  <a:defRPr sz="1000" b="1" u="none">
                    <a:solidFill>
                      <a:srgbClr val="C00000"/>
                    </a:solidFill>
                    <a:effectLst>
                      <a:glow rad="127000">
                        <a:schemeClr val="accent2">
                          <a:lumMod val="20000"/>
                          <a:lumOff val="80000"/>
                        </a:schemeClr>
                      </a:glow>
                    </a:effectLst>
                  </a:defRPr>
                </a:pPr>
                <a:endParaRPr lang="en-US"/>
              </a:p>
            </c:txPr>
            <c:dLblPos val="t"/>
            <c:showLegendKey val="0"/>
            <c:showVal val="1"/>
            <c:showCatName val="0"/>
            <c:showSerName val="0"/>
            <c:showPercent val="0"/>
            <c:showBubbleSize val="0"/>
            <c:showLeaderLines val="0"/>
          </c:dLbls>
          <c:cat>
            <c:strRef>
              <c:f>'Summary LOS'!$B$62:$I$62</c:f>
              <c:strCache>
                <c:ptCount val="8"/>
                <c:pt idx="0">
                  <c:v>11/07/07</c:v>
                </c:pt>
                <c:pt idx="1">
                  <c:v>10/31/08</c:v>
                </c:pt>
                <c:pt idx="2">
                  <c:v>09/30/09</c:v>
                </c:pt>
                <c:pt idx="3">
                  <c:v>09/30/10</c:v>
                </c:pt>
                <c:pt idx="4">
                  <c:v>09/30/11</c:v>
                </c:pt>
                <c:pt idx="5">
                  <c:v>09/30/12</c:v>
                </c:pt>
                <c:pt idx="6">
                  <c:v>09/30/13</c:v>
                </c:pt>
                <c:pt idx="7">
                  <c:v>09/30/14</c:v>
                </c:pt>
              </c:strCache>
            </c:strRef>
          </c:cat>
          <c:val>
            <c:numRef>
              <c:f>'Summary LOS'!$B$65:$I$65</c:f>
              <c:numCache>
                <c:formatCode>0\ "Days"</c:formatCode>
                <c:ptCount val="8"/>
                <c:pt idx="0">
                  <c:v>486.5</c:v>
                </c:pt>
                <c:pt idx="1">
                  <c:v>498</c:v>
                </c:pt>
                <c:pt idx="2">
                  <c:v>688</c:v>
                </c:pt>
                <c:pt idx="3">
                  <c:v>811</c:v>
                </c:pt>
                <c:pt idx="4">
                  <c:v>844</c:v>
                </c:pt>
                <c:pt idx="5">
                  <c:v>946</c:v>
                </c:pt>
                <c:pt idx="6">
                  <c:v>857</c:v>
                </c:pt>
                <c:pt idx="7">
                  <c:v>394</c:v>
                </c:pt>
              </c:numCache>
            </c:numRef>
          </c:val>
          <c:smooth val="1"/>
        </c:ser>
        <c:ser>
          <c:idx val="0"/>
          <c:order val="1"/>
          <c:tx>
            <c:v>Average LOS</c:v>
          </c:tx>
          <c:spPr>
            <a:ln w="34925">
              <a:solidFill>
                <a:schemeClr val="tx2"/>
              </a:solidFill>
            </a:ln>
          </c:spPr>
          <c:marker>
            <c:symbol val="none"/>
          </c:marker>
          <c:dLbls>
            <c:dLbl>
              <c:idx val="7"/>
              <c:layout>
                <c:manualLayout>
                  <c:x val="-2.686612692454346E-2"/>
                  <c:y val="3.734367050272562E-2"/>
                </c:manualLayout>
              </c:layout>
              <c:dLblPos val="r"/>
              <c:showLegendKey val="0"/>
              <c:showVal val="1"/>
              <c:showCatName val="0"/>
              <c:showSerName val="0"/>
              <c:showPercent val="0"/>
              <c:showBubbleSize val="0"/>
            </c:dLbl>
            <c:txPr>
              <a:bodyPr/>
              <a:lstStyle/>
              <a:p>
                <a:pPr>
                  <a:defRPr b="1">
                    <a:solidFill>
                      <a:schemeClr val="tx2"/>
                    </a:solidFill>
                    <a:effectLst>
                      <a:glow rad="127000">
                        <a:schemeClr val="tx2">
                          <a:lumMod val="20000"/>
                          <a:lumOff val="80000"/>
                        </a:schemeClr>
                      </a:glow>
                    </a:effectLst>
                  </a:defRPr>
                </a:pPr>
                <a:endParaRPr lang="en-US"/>
              </a:p>
            </c:txPr>
            <c:dLblPos val="b"/>
            <c:showLegendKey val="0"/>
            <c:showVal val="1"/>
            <c:showCatName val="0"/>
            <c:showSerName val="0"/>
            <c:showPercent val="0"/>
            <c:showBubbleSize val="0"/>
            <c:showLeaderLines val="0"/>
          </c:dLbls>
          <c:cat>
            <c:strRef>
              <c:f>'Summary LOS'!$B$62:$I$62</c:f>
              <c:strCache>
                <c:ptCount val="8"/>
                <c:pt idx="0">
                  <c:v>11/07/07</c:v>
                </c:pt>
                <c:pt idx="1">
                  <c:v>10/31/08</c:v>
                </c:pt>
                <c:pt idx="2">
                  <c:v>09/30/09</c:v>
                </c:pt>
                <c:pt idx="3">
                  <c:v>09/30/10</c:v>
                </c:pt>
                <c:pt idx="4">
                  <c:v>09/30/11</c:v>
                </c:pt>
                <c:pt idx="5">
                  <c:v>09/30/12</c:v>
                </c:pt>
                <c:pt idx="6">
                  <c:v>09/30/13</c:v>
                </c:pt>
                <c:pt idx="7">
                  <c:v>09/30/14</c:v>
                </c:pt>
              </c:strCache>
            </c:strRef>
          </c:cat>
          <c:val>
            <c:numRef>
              <c:f>'Summary LOS'!$B$66:$I$66</c:f>
              <c:numCache>
                <c:formatCode>0\ "Days"</c:formatCode>
                <c:ptCount val="8"/>
                <c:pt idx="0">
                  <c:v>1697.1064814814815</c:v>
                </c:pt>
                <c:pt idx="1">
                  <c:v>2487.6699751861042</c:v>
                </c:pt>
                <c:pt idx="2">
                  <c:v>2759.2819767441861</c:v>
                </c:pt>
                <c:pt idx="3">
                  <c:v>2967.2926045016079</c:v>
                </c:pt>
                <c:pt idx="4">
                  <c:v>2978.0103448275863</c:v>
                </c:pt>
                <c:pt idx="5">
                  <c:v>3030.0179211469535</c:v>
                </c:pt>
                <c:pt idx="6">
                  <c:v>2962.7069597069599</c:v>
                </c:pt>
                <c:pt idx="7">
                  <c:v>2515.5539568345325</c:v>
                </c:pt>
              </c:numCache>
            </c:numRef>
          </c:val>
          <c:smooth val="1"/>
        </c:ser>
        <c:dLbls>
          <c:showLegendKey val="0"/>
          <c:showVal val="0"/>
          <c:showCatName val="0"/>
          <c:showSerName val="0"/>
          <c:showPercent val="0"/>
          <c:showBubbleSize val="0"/>
        </c:dLbls>
        <c:marker val="1"/>
        <c:smooth val="0"/>
        <c:axId val="242923520"/>
        <c:axId val="285504576"/>
      </c:lineChart>
      <c:catAx>
        <c:axId val="242923520"/>
        <c:scaling>
          <c:orientation val="minMax"/>
        </c:scaling>
        <c:delete val="0"/>
        <c:axPos val="b"/>
        <c:numFmt formatCode="General" sourceLinked="1"/>
        <c:majorTickMark val="none"/>
        <c:minorTickMark val="none"/>
        <c:tickLblPos val="nextTo"/>
        <c:txPr>
          <a:bodyPr rot="0" vert="horz"/>
          <a:lstStyle/>
          <a:p>
            <a:pPr>
              <a:defRPr b="1">
                <a:solidFill>
                  <a:schemeClr val="tx2"/>
                </a:solidFill>
              </a:defRPr>
            </a:pPr>
            <a:endParaRPr lang="en-US"/>
          </a:p>
        </c:txPr>
        <c:crossAx val="285504576"/>
        <c:crossesAt val="0"/>
        <c:auto val="1"/>
        <c:lblAlgn val="ctr"/>
        <c:lblOffset val="100"/>
        <c:tickMarkSkip val="1"/>
        <c:noMultiLvlLbl val="0"/>
      </c:catAx>
      <c:valAx>
        <c:axId val="285504576"/>
        <c:scaling>
          <c:orientation val="minMax"/>
          <c:max val="3100"/>
          <c:min val="300"/>
        </c:scaling>
        <c:delete val="0"/>
        <c:axPos val="l"/>
        <c:majorGridlines>
          <c:spPr>
            <a:ln>
              <a:solidFill>
                <a:schemeClr val="bg1"/>
              </a:solidFill>
            </a:ln>
          </c:spPr>
        </c:majorGridlines>
        <c:numFmt formatCode="0" sourceLinked="0"/>
        <c:majorTickMark val="none"/>
        <c:minorTickMark val="none"/>
        <c:tickLblPos val="none"/>
        <c:spPr>
          <a:ln>
            <a:noFill/>
          </a:ln>
        </c:spPr>
        <c:txPr>
          <a:bodyPr rot="0" vert="horz"/>
          <a:lstStyle/>
          <a:p>
            <a:pPr>
              <a:defRPr/>
            </a:pPr>
            <a:endParaRPr lang="en-US"/>
          </a:p>
        </c:txPr>
        <c:crossAx val="242923520"/>
        <c:crosses val="autoZero"/>
        <c:crossBetween val="between"/>
        <c:majorUnit val="200"/>
      </c:valAx>
    </c:plotArea>
    <c:plotVisOnly val="1"/>
    <c:dispBlanksAs val="gap"/>
    <c:showDLblsOverMax val="0"/>
  </c:chart>
  <c:spPr>
    <a:ln>
      <a:noFill/>
    </a:ln>
  </c:spPr>
  <c:externalData r:id="rId1">
    <c:autoUpdate val="0"/>
  </c:externalData>
  <c:userShapes r:id="rId2"/>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1"/>
    <c:plotArea>
      <c:layout>
        <c:manualLayout>
          <c:layoutTarget val="inner"/>
          <c:xMode val="edge"/>
          <c:yMode val="edge"/>
          <c:x val="0.10131058882390079"/>
          <c:y val="3.108742176458712E-2"/>
          <c:w val="0.64863433674421556"/>
          <c:h val="0.81269339794064199"/>
        </c:manualLayout>
      </c:layout>
      <c:barChart>
        <c:barDir val="col"/>
        <c:grouping val="percentStacked"/>
        <c:varyColors val="0"/>
        <c:ser>
          <c:idx val="9"/>
          <c:order val="0"/>
          <c:tx>
            <c:strRef>
              <c:f>'Summary LOS'!$A$150</c:f>
              <c:strCache>
                <c:ptCount val="1"/>
                <c:pt idx="0">
                  <c:v>&lt;30 days</c:v>
                </c:pt>
              </c:strCache>
            </c:strRef>
          </c:tx>
          <c:spPr>
            <a:solidFill>
              <a:schemeClr val="tx2">
                <a:lumMod val="75000"/>
              </a:schemeClr>
            </a:solidFill>
          </c:spPr>
          <c:invertIfNegative val="0"/>
          <c:dLbls>
            <c:numFmt formatCode="0.0%" sourceLinked="0"/>
            <c:spPr>
              <a:noFill/>
            </c:spPr>
            <c:txPr>
              <a:bodyPr/>
              <a:lstStyle/>
              <a:p>
                <a:pPr>
                  <a:defRPr b="1">
                    <a:solidFill>
                      <a:schemeClr val="bg1"/>
                    </a:solidFill>
                  </a:defRPr>
                </a:pPr>
                <a:endParaRPr lang="en-US"/>
              </a:p>
            </c:txPr>
            <c:showLegendKey val="0"/>
            <c:showVal val="1"/>
            <c:showCatName val="0"/>
            <c:showSerName val="0"/>
            <c:showPercent val="0"/>
            <c:showBubbleSize val="0"/>
            <c:showLeaderLines val="0"/>
          </c:dLbls>
          <c:cat>
            <c:strRef>
              <c:f>('Summary LOS'!$D$140,'Summary LOS'!$F$140,'Summary LOS'!$H$140,'Summary LOS'!$J$140,'Summary LOS'!$L$140)</c:f>
              <c:strCache>
                <c:ptCount val="5"/>
                <c:pt idx="0">
                  <c:v>9/30/10
(n=311)</c:v>
                </c:pt>
                <c:pt idx="1">
                  <c:v>9/30/11
(n=290)</c:v>
                </c:pt>
                <c:pt idx="2">
                  <c:v>9/30/12
(n=279)</c:v>
                </c:pt>
                <c:pt idx="3">
                  <c:v>9/30/13
(n=273)</c:v>
                </c:pt>
                <c:pt idx="4">
                  <c:v>9/30/14
(n=278)</c:v>
                </c:pt>
              </c:strCache>
            </c:strRef>
          </c:cat>
          <c:val>
            <c:numRef>
              <c:f>('Summary LOS'!$D$150,'Summary LOS'!$F$150,'Summary LOS'!$H$150,'Summary LOS'!$J$150,'Summary LOS'!$L$150)</c:f>
              <c:numCache>
                <c:formatCode>0%</c:formatCode>
                <c:ptCount val="5"/>
                <c:pt idx="0">
                  <c:v>9.0032154340836015E-2</c:v>
                </c:pt>
                <c:pt idx="1">
                  <c:v>0.13448275862068965</c:v>
                </c:pt>
                <c:pt idx="2">
                  <c:v>0.11469534050179211</c:v>
                </c:pt>
                <c:pt idx="3">
                  <c:v>0.15384615384615385</c:v>
                </c:pt>
                <c:pt idx="4">
                  <c:v>0.12589928057553956</c:v>
                </c:pt>
              </c:numCache>
            </c:numRef>
          </c:val>
        </c:ser>
        <c:ser>
          <c:idx val="8"/>
          <c:order val="1"/>
          <c:tx>
            <c:strRef>
              <c:f>'Summary LOS'!$A$149</c:f>
              <c:strCache>
                <c:ptCount val="1"/>
                <c:pt idx="0">
                  <c:v>30~59 days</c:v>
                </c:pt>
              </c:strCache>
            </c:strRef>
          </c:tx>
          <c:spPr>
            <a:solidFill>
              <a:schemeClr val="accent1">
                <a:lumMod val="75000"/>
              </a:schemeClr>
            </a:solidFill>
          </c:spPr>
          <c:invertIfNegative val="0"/>
          <c:dLbls>
            <c:numFmt formatCode="0.0%" sourceLinked="0"/>
            <c:txPr>
              <a:bodyPr/>
              <a:lstStyle/>
              <a:p>
                <a:pPr>
                  <a:defRPr>
                    <a:solidFill>
                      <a:schemeClr val="bg1"/>
                    </a:solidFill>
                  </a:defRPr>
                </a:pPr>
                <a:endParaRPr lang="en-US"/>
              </a:p>
            </c:txPr>
            <c:showLegendKey val="0"/>
            <c:showVal val="1"/>
            <c:showCatName val="0"/>
            <c:showSerName val="0"/>
            <c:showPercent val="0"/>
            <c:showBubbleSize val="0"/>
            <c:showLeaderLines val="0"/>
          </c:dLbls>
          <c:cat>
            <c:strRef>
              <c:f>('Summary LOS'!$D$140,'Summary LOS'!$F$140,'Summary LOS'!$H$140,'Summary LOS'!$J$140,'Summary LOS'!$L$140)</c:f>
              <c:strCache>
                <c:ptCount val="5"/>
                <c:pt idx="0">
                  <c:v>9/30/10
(n=311)</c:v>
                </c:pt>
                <c:pt idx="1">
                  <c:v>9/30/11
(n=290)</c:v>
                </c:pt>
                <c:pt idx="2">
                  <c:v>9/30/12
(n=279)</c:v>
                </c:pt>
                <c:pt idx="3">
                  <c:v>9/30/13
(n=273)</c:v>
                </c:pt>
                <c:pt idx="4">
                  <c:v>9/30/14
(n=278)</c:v>
                </c:pt>
              </c:strCache>
            </c:strRef>
          </c:cat>
          <c:val>
            <c:numRef>
              <c:f>('Summary LOS'!$D$149,'Summary LOS'!$F$149,'Summary LOS'!$H$149,'Summary LOS'!$J$149,'Summary LOS'!$L$149)</c:f>
              <c:numCache>
                <c:formatCode>0%</c:formatCode>
                <c:ptCount val="5"/>
                <c:pt idx="0">
                  <c:v>7.7170418006430874E-2</c:v>
                </c:pt>
                <c:pt idx="1">
                  <c:v>8.9655172413793102E-2</c:v>
                </c:pt>
                <c:pt idx="2">
                  <c:v>5.0179211469534052E-2</c:v>
                </c:pt>
                <c:pt idx="3">
                  <c:v>8.4249084249084255E-2</c:v>
                </c:pt>
                <c:pt idx="4">
                  <c:v>9.7122302158273388E-2</c:v>
                </c:pt>
              </c:numCache>
            </c:numRef>
          </c:val>
        </c:ser>
        <c:ser>
          <c:idx val="7"/>
          <c:order val="2"/>
          <c:tx>
            <c:strRef>
              <c:f>'Summary LOS'!$A$148</c:f>
              <c:strCache>
                <c:ptCount val="1"/>
                <c:pt idx="0">
                  <c:v>60~89 days</c:v>
                </c:pt>
              </c:strCache>
            </c:strRef>
          </c:tx>
          <c:spPr>
            <a:solidFill>
              <a:schemeClr val="tx2">
                <a:lumMod val="60000"/>
                <a:lumOff val="40000"/>
              </a:schemeClr>
            </a:solidFill>
          </c:spPr>
          <c:invertIfNegative val="0"/>
          <c:dLbls>
            <c:numFmt formatCode="0.0%" sourceLinked="0"/>
            <c:showLegendKey val="0"/>
            <c:showVal val="1"/>
            <c:showCatName val="0"/>
            <c:showSerName val="0"/>
            <c:showPercent val="0"/>
            <c:showBubbleSize val="0"/>
            <c:showLeaderLines val="0"/>
          </c:dLbls>
          <c:cat>
            <c:strRef>
              <c:f>('Summary LOS'!$D$140,'Summary LOS'!$F$140,'Summary LOS'!$H$140,'Summary LOS'!$J$140,'Summary LOS'!$L$140)</c:f>
              <c:strCache>
                <c:ptCount val="5"/>
                <c:pt idx="0">
                  <c:v>9/30/10
(n=311)</c:v>
                </c:pt>
                <c:pt idx="1">
                  <c:v>9/30/11
(n=290)</c:v>
                </c:pt>
                <c:pt idx="2">
                  <c:v>9/30/12
(n=279)</c:v>
                </c:pt>
                <c:pt idx="3">
                  <c:v>9/30/13
(n=273)</c:v>
                </c:pt>
                <c:pt idx="4">
                  <c:v>9/30/14
(n=278)</c:v>
                </c:pt>
              </c:strCache>
            </c:strRef>
          </c:cat>
          <c:val>
            <c:numRef>
              <c:f>('Summary LOS'!$D$148,'Summary LOS'!$F$148,'Summary LOS'!$H$148,'Summary LOS'!$J$148,'Summary LOS'!$L$148)</c:f>
              <c:numCache>
                <c:formatCode>0%</c:formatCode>
                <c:ptCount val="5"/>
                <c:pt idx="0">
                  <c:v>6.1093247588424437E-2</c:v>
                </c:pt>
                <c:pt idx="1">
                  <c:v>4.4827586206896551E-2</c:v>
                </c:pt>
                <c:pt idx="2">
                  <c:v>5.0179211469534052E-2</c:v>
                </c:pt>
                <c:pt idx="3">
                  <c:v>5.4945054945054944E-2</c:v>
                </c:pt>
                <c:pt idx="4">
                  <c:v>6.1151079136690649E-2</c:v>
                </c:pt>
              </c:numCache>
            </c:numRef>
          </c:val>
        </c:ser>
        <c:ser>
          <c:idx val="6"/>
          <c:order val="3"/>
          <c:tx>
            <c:strRef>
              <c:f>'Summary LOS'!$A$147</c:f>
              <c:strCache>
                <c:ptCount val="1"/>
                <c:pt idx="0">
                  <c:v>90~179 days</c:v>
                </c:pt>
              </c:strCache>
            </c:strRef>
          </c:tx>
          <c:spPr>
            <a:solidFill>
              <a:schemeClr val="tx2">
                <a:lumMod val="40000"/>
                <a:lumOff val="60000"/>
              </a:schemeClr>
            </a:solidFill>
          </c:spPr>
          <c:invertIfNegative val="0"/>
          <c:dPt>
            <c:idx val="3"/>
            <c:invertIfNegative val="0"/>
            <c:bubble3D val="0"/>
            <c:spPr>
              <a:solidFill>
                <a:schemeClr val="tx2">
                  <a:lumMod val="40000"/>
                  <a:lumOff val="60000"/>
                </a:schemeClr>
              </a:solidFill>
              <a:ln w="28575">
                <a:solidFill>
                  <a:schemeClr val="accent5">
                    <a:lumMod val="50000"/>
                  </a:schemeClr>
                </a:solidFill>
              </a:ln>
            </c:spPr>
          </c:dPt>
          <c:dPt>
            <c:idx val="4"/>
            <c:invertIfNegative val="0"/>
            <c:bubble3D val="0"/>
            <c:spPr>
              <a:solidFill>
                <a:schemeClr val="tx2">
                  <a:lumMod val="40000"/>
                  <a:lumOff val="60000"/>
                </a:schemeClr>
              </a:solidFill>
              <a:ln w="28575">
                <a:solidFill>
                  <a:schemeClr val="accent5">
                    <a:lumMod val="50000"/>
                  </a:schemeClr>
                </a:solidFill>
              </a:ln>
            </c:spPr>
          </c:dPt>
          <c:dLbls>
            <c:dLbl>
              <c:idx val="3"/>
              <c:numFmt formatCode="0.0%" sourceLinked="0"/>
              <c:spPr/>
              <c:txPr>
                <a:bodyPr/>
                <a:lstStyle/>
                <a:p>
                  <a:pPr>
                    <a:defRPr b="1">
                      <a:effectLst>
                        <a:glow rad="127000">
                          <a:srgbClr val="5BD4FF"/>
                        </a:glow>
                      </a:effectLst>
                    </a:defRPr>
                  </a:pPr>
                  <a:endParaRPr lang="en-US"/>
                </a:p>
              </c:txPr>
              <c:showLegendKey val="0"/>
              <c:showVal val="1"/>
              <c:showCatName val="0"/>
              <c:showSerName val="0"/>
              <c:showPercent val="0"/>
              <c:showBubbleSize val="0"/>
            </c:dLbl>
            <c:dLbl>
              <c:idx val="4"/>
              <c:numFmt formatCode="0.0%" sourceLinked="0"/>
              <c:spPr/>
              <c:txPr>
                <a:bodyPr/>
                <a:lstStyle/>
                <a:p>
                  <a:pPr>
                    <a:defRPr b="1">
                      <a:effectLst>
                        <a:glow rad="127000">
                          <a:srgbClr val="5BD4FF"/>
                        </a:glow>
                      </a:effectLst>
                    </a:defRPr>
                  </a:pPr>
                  <a:endParaRPr lang="en-US"/>
                </a:p>
              </c:txPr>
              <c:showLegendKey val="0"/>
              <c:showVal val="1"/>
              <c:showCatName val="0"/>
              <c:showSerName val="0"/>
              <c:showPercent val="0"/>
              <c:showBubbleSize val="0"/>
            </c:dLbl>
            <c:numFmt formatCode="0.0%" sourceLinked="0"/>
            <c:showLegendKey val="0"/>
            <c:showVal val="1"/>
            <c:showCatName val="0"/>
            <c:showSerName val="0"/>
            <c:showPercent val="0"/>
            <c:showBubbleSize val="0"/>
            <c:showLeaderLines val="0"/>
          </c:dLbls>
          <c:cat>
            <c:strRef>
              <c:f>('Summary LOS'!$D$140,'Summary LOS'!$F$140,'Summary LOS'!$H$140,'Summary LOS'!$J$140,'Summary LOS'!$L$140)</c:f>
              <c:strCache>
                <c:ptCount val="5"/>
                <c:pt idx="0">
                  <c:v>9/30/10
(n=311)</c:v>
                </c:pt>
                <c:pt idx="1">
                  <c:v>9/30/11
(n=290)</c:v>
                </c:pt>
                <c:pt idx="2">
                  <c:v>9/30/12
(n=279)</c:v>
                </c:pt>
                <c:pt idx="3">
                  <c:v>9/30/13
(n=273)</c:v>
                </c:pt>
                <c:pt idx="4">
                  <c:v>9/30/14
(n=278)</c:v>
                </c:pt>
              </c:strCache>
            </c:strRef>
          </c:cat>
          <c:val>
            <c:numRef>
              <c:f>('Summary LOS'!$D$147,'Summary LOS'!$F$147,'Summary LOS'!$H$147,'Summary LOS'!$J$147,'Summary LOS'!$L$147)</c:f>
              <c:numCache>
                <c:formatCode>0%</c:formatCode>
                <c:ptCount val="5"/>
                <c:pt idx="0">
                  <c:v>6.7524115755627015E-2</c:v>
                </c:pt>
                <c:pt idx="1">
                  <c:v>4.4827586206896551E-2</c:v>
                </c:pt>
                <c:pt idx="2">
                  <c:v>0.1111111111111111</c:v>
                </c:pt>
                <c:pt idx="3">
                  <c:v>6.2271062271062272E-2</c:v>
                </c:pt>
                <c:pt idx="4">
                  <c:v>0.11870503597122302</c:v>
                </c:pt>
              </c:numCache>
            </c:numRef>
          </c:val>
        </c:ser>
        <c:ser>
          <c:idx val="5"/>
          <c:order val="4"/>
          <c:tx>
            <c:strRef>
              <c:f>'Summary LOS'!$A$146</c:f>
              <c:strCache>
                <c:ptCount val="1"/>
                <c:pt idx="0">
                  <c:v>180~364 days</c:v>
                </c:pt>
              </c:strCache>
            </c:strRef>
          </c:tx>
          <c:spPr>
            <a:solidFill>
              <a:schemeClr val="tx2">
                <a:lumMod val="20000"/>
                <a:lumOff val="80000"/>
              </a:schemeClr>
            </a:solidFill>
          </c:spPr>
          <c:invertIfNegative val="0"/>
          <c:dLbls>
            <c:numFmt formatCode="0.0%" sourceLinked="0"/>
            <c:showLegendKey val="0"/>
            <c:showVal val="1"/>
            <c:showCatName val="0"/>
            <c:showSerName val="0"/>
            <c:showPercent val="0"/>
            <c:showBubbleSize val="0"/>
            <c:showLeaderLines val="0"/>
          </c:dLbls>
          <c:cat>
            <c:strRef>
              <c:f>('Summary LOS'!$D$140,'Summary LOS'!$F$140,'Summary LOS'!$H$140,'Summary LOS'!$J$140,'Summary LOS'!$L$140)</c:f>
              <c:strCache>
                <c:ptCount val="5"/>
                <c:pt idx="0">
                  <c:v>9/30/10
(n=311)</c:v>
                </c:pt>
                <c:pt idx="1">
                  <c:v>9/30/11
(n=290)</c:v>
                </c:pt>
                <c:pt idx="2">
                  <c:v>9/30/12
(n=279)</c:v>
                </c:pt>
                <c:pt idx="3">
                  <c:v>9/30/13
(n=273)</c:v>
                </c:pt>
                <c:pt idx="4">
                  <c:v>9/30/14
(n=278)</c:v>
                </c:pt>
              </c:strCache>
            </c:strRef>
          </c:cat>
          <c:val>
            <c:numRef>
              <c:f>('Summary LOS'!$D$146,'Summary LOS'!$F$146,'Summary LOS'!$H$146,'Summary LOS'!$J$146,'Summary LOS'!$L$146)</c:f>
              <c:numCache>
                <c:formatCode>0%</c:formatCode>
                <c:ptCount val="5"/>
                <c:pt idx="0">
                  <c:v>5.7877813504823149E-2</c:v>
                </c:pt>
                <c:pt idx="1">
                  <c:v>6.8965517241379309E-2</c:v>
                </c:pt>
                <c:pt idx="2">
                  <c:v>5.3763440860215055E-2</c:v>
                </c:pt>
                <c:pt idx="3">
                  <c:v>8.4249084249084255E-2</c:v>
                </c:pt>
                <c:pt idx="4">
                  <c:v>8.2733812949640287E-2</c:v>
                </c:pt>
              </c:numCache>
            </c:numRef>
          </c:val>
        </c:ser>
        <c:ser>
          <c:idx val="4"/>
          <c:order val="5"/>
          <c:tx>
            <c:strRef>
              <c:f>'Summary LOS'!$A$145</c:f>
              <c:strCache>
                <c:ptCount val="1"/>
                <c:pt idx="0">
                  <c:v>1 yr</c:v>
                </c:pt>
              </c:strCache>
            </c:strRef>
          </c:tx>
          <c:spPr>
            <a:solidFill>
              <a:schemeClr val="accent2">
                <a:lumMod val="20000"/>
                <a:lumOff val="80000"/>
              </a:schemeClr>
            </a:solidFill>
          </c:spPr>
          <c:invertIfNegative val="0"/>
          <c:dPt>
            <c:idx val="3"/>
            <c:invertIfNegative val="0"/>
            <c:bubble3D val="0"/>
            <c:spPr>
              <a:solidFill>
                <a:schemeClr val="accent2">
                  <a:lumMod val="20000"/>
                  <a:lumOff val="80000"/>
                </a:schemeClr>
              </a:solidFill>
              <a:ln w="28575">
                <a:solidFill>
                  <a:schemeClr val="accent6">
                    <a:lumMod val="50000"/>
                  </a:schemeClr>
                </a:solidFill>
              </a:ln>
            </c:spPr>
          </c:dPt>
          <c:dPt>
            <c:idx val="4"/>
            <c:invertIfNegative val="0"/>
            <c:bubble3D val="0"/>
            <c:spPr>
              <a:solidFill>
                <a:schemeClr val="accent2">
                  <a:lumMod val="20000"/>
                  <a:lumOff val="80000"/>
                </a:schemeClr>
              </a:solidFill>
              <a:ln w="28575">
                <a:solidFill>
                  <a:schemeClr val="accent6">
                    <a:lumMod val="50000"/>
                  </a:schemeClr>
                </a:solidFill>
              </a:ln>
            </c:spPr>
          </c:dPt>
          <c:dLbls>
            <c:dLbl>
              <c:idx val="3"/>
              <c:numFmt formatCode="0.0%" sourceLinked="0"/>
              <c:spPr/>
              <c:txPr>
                <a:bodyPr/>
                <a:lstStyle/>
                <a:p>
                  <a:pPr>
                    <a:defRPr b="1">
                      <a:effectLst>
                        <a:glow rad="127000">
                          <a:schemeClr val="accent6"/>
                        </a:glow>
                      </a:effectLst>
                    </a:defRPr>
                  </a:pPr>
                  <a:endParaRPr lang="en-US"/>
                </a:p>
              </c:txPr>
              <c:showLegendKey val="0"/>
              <c:showVal val="1"/>
              <c:showCatName val="0"/>
              <c:showSerName val="0"/>
              <c:showPercent val="0"/>
              <c:showBubbleSize val="0"/>
            </c:dLbl>
            <c:dLbl>
              <c:idx val="4"/>
              <c:numFmt formatCode="0.0%" sourceLinked="0"/>
              <c:spPr/>
              <c:txPr>
                <a:bodyPr/>
                <a:lstStyle/>
                <a:p>
                  <a:pPr>
                    <a:defRPr b="1">
                      <a:effectLst>
                        <a:glow rad="127000">
                          <a:schemeClr val="accent6"/>
                        </a:glow>
                      </a:effectLst>
                    </a:defRPr>
                  </a:pPr>
                  <a:endParaRPr lang="en-US"/>
                </a:p>
              </c:txPr>
              <c:showLegendKey val="0"/>
              <c:showVal val="1"/>
              <c:showCatName val="0"/>
              <c:showSerName val="0"/>
              <c:showPercent val="0"/>
              <c:showBubbleSize val="0"/>
            </c:dLbl>
            <c:numFmt formatCode="0.0%" sourceLinked="0"/>
            <c:showLegendKey val="0"/>
            <c:showVal val="1"/>
            <c:showCatName val="0"/>
            <c:showSerName val="0"/>
            <c:showPercent val="0"/>
            <c:showBubbleSize val="0"/>
            <c:showLeaderLines val="0"/>
          </c:dLbls>
          <c:cat>
            <c:strRef>
              <c:f>('Summary LOS'!$D$140,'Summary LOS'!$F$140,'Summary LOS'!$H$140,'Summary LOS'!$J$140,'Summary LOS'!$L$140)</c:f>
              <c:strCache>
                <c:ptCount val="5"/>
                <c:pt idx="0">
                  <c:v>9/30/10
(n=311)</c:v>
                </c:pt>
                <c:pt idx="1">
                  <c:v>9/30/11
(n=290)</c:v>
                </c:pt>
                <c:pt idx="2">
                  <c:v>9/30/12
(n=279)</c:v>
                </c:pt>
                <c:pt idx="3">
                  <c:v>9/30/13
(n=273)</c:v>
                </c:pt>
                <c:pt idx="4">
                  <c:v>9/30/14
(n=278)</c:v>
                </c:pt>
              </c:strCache>
            </c:strRef>
          </c:cat>
          <c:val>
            <c:numRef>
              <c:f>('Summary LOS'!$D$145,'Summary LOS'!$F$145,'Summary LOS'!$H$145,'Summary LOS'!$J$145,'Summary LOS'!$L$145)</c:f>
              <c:numCache>
                <c:formatCode>0%</c:formatCode>
                <c:ptCount val="5"/>
                <c:pt idx="0">
                  <c:v>0.12218649517684887</c:v>
                </c:pt>
                <c:pt idx="1">
                  <c:v>8.2758620689655171E-2</c:v>
                </c:pt>
                <c:pt idx="2">
                  <c:v>7.5268817204301078E-2</c:v>
                </c:pt>
                <c:pt idx="3">
                  <c:v>4.7619047619047616E-2</c:v>
                </c:pt>
                <c:pt idx="4">
                  <c:v>9.7122302158273388E-2</c:v>
                </c:pt>
              </c:numCache>
            </c:numRef>
          </c:val>
        </c:ser>
        <c:ser>
          <c:idx val="3"/>
          <c:order val="6"/>
          <c:tx>
            <c:strRef>
              <c:f>'Summary LOS'!$A$144</c:f>
              <c:strCache>
                <c:ptCount val="1"/>
                <c:pt idx="0">
                  <c:v>2~4 yrs</c:v>
                </c:pt>
              </c:strCache>
            </c:strRef>
          </c:tx>
          <c:spPr>
            <a:solidFill>
              <a:srgbClr val="E2ADAC"/>
            </a:solidFill>
          </c:spPr>
          <c:invertIfNegative val="0"/>
          <c:dPt>
            <c:idx val="3"/>
            <c:invertIfNegative val="0"/>
            <c:bubble3D val="0"/>
            <c:spPr>
              <a:solidFill>
                <a:srgbClr val="E2ADAC"/>
              </a:solidFill>
              <a:ln w="28575">
                <a:solidFill>
                  <a:srgbClr val="C00000"/>
                </a:solidFill>
              </a:ln>
            </c:spPr>
          </c:dPt>
          <c:dPt>
            <c:idx val="4"/>
            <c:invertIfNegative val="0"/>
            <c:bubble3D val="0"/>
            <c:spPr>
              <a:solidFill>
                <a:srgbClr val="E2ADAC"/>
              </a:solidFill>
              <a:ln w="28575">
                <a:solidFill>
                  <a:srgbClr val="C00000"/>
                </a:solidFill>
              </a:ln>
            </c:spPr>
          </c:dPt>
          <c:dLbls>
            <c:dLbl>
              <c:idx val="3"/>
              <c:numFmt formatCode="0.0%" sourceLinked="0"/>
              <c:spPr>
                <a:effectLst>
                  <a:glow rad="127000">
                    <a:srgbClr val="FFFF00"/>
                  </a:glow>
                </a:effectLst>
              </c:spPr>
              <c:txPr>
                <a:bodyPr/>
                <a:lstStyle/>
                <a:p>
                  <a:pPr>
                    <a:defRPr b="1">
                      <a:effectLst>
                        <a:glow rad="101600">
                          <a:srgbClr val="FFFF00">
                            <a:alpha val="40000"/>
                          </a:srgbClr>
                        </a:glow>
                      </a:effectLst>
                    </a:defRPr>
                  </a:pPr>
                  <a:endParaRPr lang="en-US"/>
                </a:p>
              </c:txPr>
              <c:showLegendKey val="0"/>
              <c:showVal val="1"/>
              <c:showCatName val="0"/>
              <c:showSerName val="0"/>
              <c:showPercent val="0"/>
              <c:showBubbleSize val="0"/>
            </c:dLbl>
            <c:dLbl>
              <c:idx val="4"/>
              <c:numFmt formatCode="0.0%" sourceLinked="0"/>
              <c:spPr>
                <a:effectLst>
                  <a:glow rad="127000">
                    <a:srgbClr val="FFFF00"/>
                  </a:glow>
                </a:effectLst>
              </c:spPr>
              <c:txPr>
                <a:bodyPr/>
                <a:lstStyle/>
                <a:p>
                  <a:pPr>
                    <a:defRPr b="1">
                      <a:effectLst>
                        <a:glow rad="101600">
                          <a:srgbClr val="FFFF00">
                            <a:alpha val="40000"/>
                          </a:srgbClr>
                        </a:glow>
                      </a:effectLst>
                    </a:defRPr>
                  </a:pPr>
                  <a:endParaRPr lang="en-US"/>
                </a:p>
              </c:txPr>
              <c:showLegendKey val="0"/>
              <c:showVal val="1"/>
              <c:showCatName val="0"/>
              <c:showSerName val="0"/>
              <c:showPercent val="0"/>
              <c:showBubbleSize val="0"/>
            </c:dLbl>
            <c:numFmt formatCode="0.0%" sourceLinked="0"/>
            <c:showLegendKey val="0"/>
            <c:showVal val="1"/>
            <c:showCatName val="0"/>
            <c:showSerName val="0"/>
            <c:showPercent val="0"/>
            <c:showBubbleSize val="0"/>
            <c:showLeaderLines val="0"/>
          </c:dLbls>
          <c:cat>
            <c:strRef>
              <c:f>('Summary LOS'!$D$140,'Summary LOS'!$F$140,'Summary LOS'!$H$140,'Summary LOS'!$J$140,'Summary LOS'!$L$140)</c:f>
              <c:strCache>
                <c:ptCount val="5"/>
                <c:pt idx="0">
                  <c:v>9/30/10
(n=311)</c:v>
                </c:pt>
                <c:pt idx="1">
                  <c:v>9/30/11
(n=290)</c:v>
                </c:pt>
                <c:pt idx="2">
                  <c:v>9/30/12
(n=279)</c:v>
                </c:pt>
                <c:pt idx="3">
                  <c:v>9/30/13
(n=273)</c:v>
                </c:pt>
                <c:pt idx="4">
                  <c:v>9/30/14
(n=278)</c:v>
                </c:pt>
              </c:strCache>
            </c:strRef>
          </c:cat>
          <c:val>
            <c:numRef>
              <c:f>('Summary LOS'!$D$144,'Summary LOS'!$F$144,'Summary LOS'!$H$144,'Summary LOS'!$J$144,'Summary LOS'!$L$144)</c:f>
              <c:numCache>
                <c:formatCode>0%</c:formatCode>
                <c:ptCount val="5"/>
                <c:pt idx="0">
                  <c:v>0.14147909967845659</c:v>
                </c:pt>
                <c:pt idx="1">
                  <c:v>0.15862068965517243</c:v>
                </c:pt>
                <c:pt idx="2">
                  <c:v>0.16487455197132617</c:v>
                </c:pt>
                <c:pt idx="3">
                  <c:v>0.14285714285714285</c:v>
                </c:pt>
                <c:pt idx="4">
                  <c:v>9.7122302158273388E-2</c:v>
                </c:pt>
              </c:numCache>
            </c:numRef>
          </c:val>
        </c:ser>
        <c:ser>
          <c:idx val="1"/>
          <c:order val="7"/>
          <c:tx>
            <c:strRef>
              <c:f>'Summary LOS'!$A$143</c:f>
              <c:strCache>
                <c:ptCount val="1"/>
                <c:pt idx="0">
                  <c:v>5~9 yrs</c:v>
                </c:pt>
              </c:strCache>
            </c:strRef>
          </c:tx>
          <c:spPr>
            <a:solidFill>
              <a:srgbClr val="C96765"/>
            </a:solidFill>
          </c:spPr>
          <c:invertIfNegative val="0"/>
          <c:dLbls>
            <c:numFmt formatCode="0.0%" sourceLinked="0"/>
            <c:showLegendKey val="0"/>
            <c:showVal val="1"/>
            <c:showCatName val="0"/>
            <c:showSerName val="0"/>
            <c:showPercent val="0"/>
            <c:showBubbleSize val="0"/>
            <c:showLeaderLines val="0"/>
          </c:dLbls>
          <c:cat>
            <c:strRef>
              <c:f>('Summary LOS'!$D$140,'Summary LOS'!$F$140,'Summary LOS'!$H$140,'Summary LOS'!$J$140,'Summary LOS'!$L$140)</c:f>
              <c:strCache>
                <c:ptCount val="5"/>
                <c:pt idx="0">
                  <c:v>9/30/10
(n=311)</c:v>
                </c:pt>
                <c:pt idx="1">
                  <c:v>9/30/11
(n=290)</c:v>
                </c:pt>
                <c:pt idx="2">
                  <c:v>9/30/12
(n=279)</c:v>
                </c:pt>
                <c:pt idx="3">
                  <c:v>9/30/13
(n=273)</c:v>
                </c:pt>
                <c:pt idx="4">
                  <c:v>9/30/14
(n=278)</c:v>
                </c:pt>
              </c:strCache>
            </c:strRef>
          </c:cat>
          <c:val>
            <c:numRef>
              <c:f>('Summary LOS'!$D$143,'Summary LOS'!$F$143,'Summary LOS'!$H$143,'Summary LOS'!$J$143,'Summary LOS'!$L$143)</c:f>
              <c:numCache>
                <c:formatCode>0%</c:formatCode>
                <c:ptCount val="5"/>
                <c:pt idx="0">
                  <c:v>9.9678456591639875E-2</c:v>
                </c:pt>
                <c:pt idx="1">
                  <c:v>6.8965517241379309E-2</c:v>
                </c:pt>
                <c:pt idx="2">
                  <c:v>8.2437275985663083E-2</c:v>
                </c:pt>
                <c:pt idx="3">
                  <c:v>9.1575091575091569E-2</c:v>
                </c:pt>
                <c:pt idx="4">
                  <c:v>8.6330935251798566E-2</c:v>
                </c:pt>
              </c:numCache>
            </c:numRef>
          </c:val>
        </c:ser>
        <c:ser>
          <c:idx val="0"/>
          <c:order val="8"/>
          <c:tx>
            <c:strRef>
              <c:f>'Summary LOS'!$A$142</c:f>
              <c:strCache>
                <c:ptCount val="1"/>
                <c:pt idx="0">
                  <c:v>10~20 yrs</c:v>
                </c:pt>
              </c:strCache>
            </c:strRef>
          </c:tx>
          <c:spPr>
            <a:solidFill>
              <a:schemeClr val="accent2">
                <a:lumMod val="75000"/>
              </a:schemeClr>
            </a:solidFill>
          </c:spPr>
          <c:invertIfNegative val="0"/>
          <c:dLbls>
            <c:numFmt formatCode="0.0%" sourceLinked="0"/>
            <c:txPr>
              <a:bodyPr/>
              <a:lstStyle/>
              <a:p>
                <a:pPr>
                  <a:defRPr>
                    <a:solidFill>
                      <a:schemeClr val="bg1"/>
                    </a:solidFill>
                  </a:defRPr>
                </a:pPr>
                <a:endParaRPr lang="en-US"/>
              </a:p>
            </c:txPr>
            <c:showLegendKey val="0"/>
            <c:showVal val="1"/>
            <c:showCatName val="0"/>
            <c:showSerName val="0"/>
            <c:showPercent val="0"/>
            <c:showBubbleSize val="0"/>
            <c:showLeaderLines val="0"/>
          </c:dLbls>
          <c:cat>
            <c:strRef>
              <c:f>('Summary LOS'!$D$140,'Summary LOS'!$F$140,'Summary LOS'!$H$140,'Summary LOS'!$J$140,'Summary LOS'!$L$140)</c:f>
              <c:strCache>
                <c:ptCount val="5"/>
                <c:pt idx="0">
                  <c:v>9/30/10
(n=311)</c:v>
                </c:pt>
                <c:pt idx="1">
                  <c:v>9/30/11
(n=290)</c:v>
                </c:pt>
                <c:pt idx="2">
                  <c:v>9/30/12
(n=279)</c:v>
                </c:pt>
                <c:pt idx="3">
                  <c:v>9/30/13
(n=273)</c:v>
                </c:pt>
                <c:pt idx="4">
                  <c:v>9/30/14
(n=278)</c:v>
                </c:pt>
              </c:strCache>
            </c:strRef>
          </c:cat>
          <c:val>
            <c:numRef>
              <c:f>('Summary LOS'!$D$142,'Summary LOS'!$F$142,'Summary LOS'!$H$142,'Summary LOS'!$J$142,'Summary LOS'!$L$142)</c:f>
              <c:numCache>
                <c:formatCode>0%</c:formatCode>
                <c:ptCount val="5"/>
                <c:pt idx="0">
                  <c:v>0.12218649517684887</c:v>
                </c:pt>
                <c:pt idx="1">
                  <c:v>0.14137931034482759</c:v>
                </c:pt>
                <c:pt idx="2">
                  <c:v>0.13261648745519714</c:v>
                </c:pt>
                <c:pt idx="3">
                  <c:v>0.11355311355311355</c:v>
                </c:pt>
                <c:pt idx="4">
                  <c:v>8.9928057553956831E-2</c:v>
                </c:pt>
              </c:numCache>
            </c:numRef>
          </c:val>
        </c:ser>
        <c:ser>
          <c:idx val="2"/>
          <c:order val="9"/>
          <c:tx>
            <c:strRef>
              <c:f>'Summary LOS'!$A$141</c:f>
              <c:strCache>
                <c:ptCount val="1"/>
                <c:pt idx="0">
                  <c:v>&gt;=20 yrs</c:v>
                </c:pt>
              </c:strCache>
            </c:strRef>
          </c:tx>
          <c:spPr>
            <a:solidFill>
              <a:srgbClr val="4D1C1B"/>
            </a:solidFill>
          </c:spPr>
          <c:invertIfNegative val="0"/>
          <c:dLbls>
            <c:numFmt formatCode="0.0%" sourceLinked="0"/>
            <c:txPr>
              <a:bodyPr/>
              <a:lstStyle/>
              <a:p>
                <a:pPr>
                  <a:defRPr b="1">
                    <a:solidFill>
                      <a:schemeClr val="bg1"/>
                    </a:solidFill>
                  </a:defRPr>
                </a:pPr>
                <a:endParaRPr lang="en-US"/>
              </a:p>
            </c:txPr>
            <c:showLegendKey val="0"/>
            <c:showVal val="1"/>
            <c:showCatName val="0"/>
            <c:showSerName val="0"/>
            <c:showPercent val="0"/>
            <c:showBubbleSize val="0"/>
            <c:showLeaderLines val="0"/>
          </c:dLbls>
          <c:cat>
            <c:strRef>
              <c:f>('Summary LOS'!$D$140,'Summary LOS'!$F$140,'Summary LOS'!$H$140,'Summary LOS'!$J$140,'Summary LOS'!$L$140)</c:f>
              <c:strCache>
                <c:ptCount val="5"/>
                <c:pt idx="0">
                  <c:v>9/30/10
(n=311)</c:v>
                </c:pt>
                <c:pt idx="1">
                  <c:v>9/30/11
(n=290)</c:v>
                </c:pt>
                <c:pt idx="2">
                  <c:v>9/30/12
(n=279)</c:v>
                </c:pt>
                <c:pt idx="3">
                  <c:v>9/30/13
(n=273)</c:v>
                </c:pt>
                <c:pt idx="4">
                  <c:v>9/30/14
(n=278)</c:v>
                </c:pt>
              </c:strCache>
            </c:strRef>
          </c:cat>
          <c:val>
            <c:numRef>
              <c:f>('Summary LOS'!$D$141,'Summary LOS'!$F$141,'Summary LOS'!$H$141,'Summary LOS'!$J$141,'Summary LOS'!$L$141)</c:f>
              <c:numCache>
                <c:formatCode>0%</c:formatCode>
                <c:ptCount val="5"/>
                <c:pt idx="0">
                  <c:v>0.16077170418006431</c:v>
                </c:pt>
                <c:pt idx="1">
                  <c:v>0.16551724137931034</c:v>
                </c:pt>
                <c:pt idx="2">
                  <c:v>0.16487455197132617</c:v>
                </c:pt>
                <c:pt idx="3">
                  <c:v>0.16483516483516483</c:v>
                </c:pt>
                <c:pt idx="4">
                  <c:v>0.14388489208633093</c:v>
                </c:pt>
              </c:numCache>
            </c:numRef>
          </c:val>
        </c:ser>
        <c:dLbls>
          <c:showLegendKey val="0"/>
          <c:showVal val="0"/>
          <c:showCatName val="0"/>
          <c:showSerName val="0"/>
          <c:showPercent val="0"/>
          <c:showBubbleSize val="0"/>
        </c:dLbls>
        <c:gapWidth val="50"/>
        <c:overlap val="100"/>
        <c:serLines>
          <c:spPr>
            <a:ln w="12700">
              <a:solidFill>
                <a:schemeClr val="bg1">
                  <a:lumMod val="50000"/>
                </a:schemeClr>
              </a:solidFill>
            </a:ln>
          </c:spPr>
        </c:serLines>
        <c:axId val="260056576"/>
        <c:axId val="285506304"/>
      </c:barChart>
      <c:catAx>
        <c:axId val="260056576"/>
        <c:scaling>
          <c:orientation val="minMax"/>
        </c:scaling>
        <c:delete val="0"/>
        <c:axPos val="b"/>
        <c:numFmt formatCode="General" sourceLinked="1"/>
        <c:majorTickMark val="none"/>
        <c:minorTickMark val="none"/>
        <c:tickLblPos val="nextTo"/>
        <c:txPr>
          <a:bodyPr rot="0" vert="horz"/>
          <a:lstStyle/>
          <a:p>
            <a:pPr>
              <a:defRPr/>
            </a:pPr>
            <a:endParaRPr lang="en-US"/>
          </a:p>
        </c:txPr>
        <c:crossAx val="285506304"/>
        <c:crosses val="autoZero"/>
        <c:auto val="1"/>
        <c:lblAlgn val="ctr"/>
        <c:lblOffset val="100"/>
        <c:tickMarkSkip val="1"/>
        <c:noMultiLvlLbl val="0"/>
      </c:catAx>
      <c:valAx>
        <c:axId val="285506304"/>
        <c:scaling>
          <c:orientation val="minMax"/>
          <c:max val="1"/>
          <c:min val="0"/>
        </c:scaling>
        <c:delete val="0"/>
        <c:axPos val="l"/>
        <c:majorGridlines>
          <c:spPr>
            <a:ln w="0">
              <a:solidFill>
                <a:schemeClr val="bg1"/>
              </a:solidFill>
            </a:ln>
          </c:spPr>
        </c:majorGridlines>
        <c:numFmt formatCode="0%" sourceLinked="0"/>
        <c:majorTickMark val="none"/>
        <c:minorTickMark val="none"/>
        <c:tickLblPos val="none"/>
        <c:spPr>
          <a:ln>
            <a:noFill/>
          </a:ln>
        </c:spPr>
        <c:txPr>
          <a:bodyPr rot="0" vert="horz"/>
          <a:lstStyle/>
          <a:p>
            <a:pPr>
              <a:defRPr/>
            </a:pPr>
            <a:endParaRPr lang="en-US"/>
          </a:p>
        </c:txPr>
        <c:crossAx val="260056576"/>
        <c:crosses val="autoZero"/>
        <c:crossBetween val="between"/>
        <c:majorUnit val="0.1"/>
      </c:valAx>
    </c:plotArea>
    <c:legend>
      <c:legendPos val="r"/>
      <c:legendEntry>
        <c:idx val="0"/>
        <c:txPr>
          <a:bodyPr/>
          <a:lstStyle/>
          <a:p>
            <a:pPr>
              <a:defRPr b="1">
                <a:solidFill>
                  <a:srgbClr val="C00000"/>
                </a:solidFill>
              </a:defRPr>
            </a:pPr>
            <a:endParaRPr lang="en-US"/>
          </a:p>
        </c:txPr>
      </c:legendEntry>
      <c:legendEntry>
        <c:idx val="1"/>
        <c:txPr>
          <a:bodyPr/>
          <a:lstStyle/>
          <a:p>
            <a:pPr>
              <a:defRPr b="1">
                <a:solidFill>
                  <a:srgbClr val="C00000"/>
                </a:solidFill>
              </a:defRPr>
            </a:pPr>
            <a:endParaRPr lang="en-US"/>
          </a:p>
        </c:txPr>
      </c:legendEntry>
      <c:legendEntry>
        <c:idx val="2"/>
        <c:txPr>
          <a:bodyPr/>
          <a:lstStyle/>
          <a:p>
            <a:pPr>
              <a:defRPr b="1">
                <a:solidFill>
                  <a:srgbClr val="C00000"/>
                </a:solidFill>
              </a:defRPr>
            </a:pPr>
            <a:endParaRPr lang="en-US"/>
          </a:p>
        </c:txPr>
      </c:legendEntry>
      <c:legendEntry>
        <c:idx val="3"/>
        <c:txPr>
          <a:bodyPr/>
          <a:lstStyle/>
          <a:p>
            <a:pPr>
              <a:defRPr b="1">
                <a:solidFill>
                  <a:srgbClr val="C00000"/>
                </a:solidFill>
              </a:defRPr>
            </a:pPr>
            <a:endParaRPr lang="en-US"/>
          </a:p>
        </c:txPr>
      </c:legendEntry>
      <c:legendEntry>
        <c:idx val="4"/>
        <c:txPr>
          <a:bodyPr/>
          <a:lstStyle/>
          <a:p>
            <a:pPr>
              <a:defRPr b="1">
                <a:solidFill>
                  <a:srgbClr val="C00000"/>
                </a:solidFill>
              </a:defRPr>
            </a:pPr>
            <a:endParaRPr lang="en-US"/>
          </a:p>
        </c:txPr>
      </c:legendEntry>
      <c:legendEntry>
        <c:idx val="5"/>
        <c:txPr>
          <a:bodyPr/>
          <a:lstStyle/>
          <a:p>
            <a:pPr>
              <a:defRPr b="1">
                <a:solidFill>
                  <a:schemeClr val="tx2"/>
                </a:solidFill>
              </a:defRPr>
            </a:pPr>
            <a:endParaRPr lang="en-US"/>
          </a:p>
        </c:txPr>
      </c:legendEntry>
      <c:legendEntry>
        <c:idx val="6"/>
        <c:txPr>
          <a:bodyPr/>
          <a:lstStyle/>
          <a:p>
            <a:pPr>
              <a:defRPr b="1">
                <a:solidFill>
                  <a:schemeClr val="tx2"/>
                </a:solidFill>
              </a:defRPr>
            </a:pPr>
            <a:endParaRPr lang="en-US"/>
          </a:p>
        </c:txPr>
      </c:legendEntry>
      <c:legendEntry>
        <c:idx val="7"/>
        <c:txPr>
          <a:bodyPr/>
          <a:lstStyle/>
          <a:p>
            <a:pPr>
              <a:defRPr b="1">
                <a:solidFill>
                  <a:schemeClr val="tx2"/>
                </a:solidFill>
              </a:defRPr>
            </a:pPr>
            <a:endParaRPr lang="en-US"/>
          </a:p>
        </c:txPr>
      </c:legendEntry>
      <c:legendEntry>
        <c:idx val="8"/>
        <c:txPr>
          <a:bodyPr/>
          <a:lstStyle/>
          <a:p>
            <a:pPr>
              <a:defRPr b="1">
                <a:solidFill>
                  <a:schemeClr val="tx2"/>
                </a:solidFill>
              </a:defRPr>
            </a:pPr>
            <a:endParaRPr lang="en-US"/>
          </a:p>
        </c:txPr>
      </c:legendEntry>
      <c:legendEntry>
        <c:idx val="9"/>
        <c:txPr>
          <a:bodyPr/>
          <a:lstStyle/>
          <a:p>
            <a:pPr>
              <a:defRPr b="1">
                <a:solidFill>
                  <a:schemeClr val="tx2"/>
                </a:solidFill>
              </a:defRPr>
            </a:pPr>
            <a:endParaRPr lang="en-US"/>
          </a:p>
        </c:txPr>
      </c:legendEntry>
      <c:layout>
        <c:manualLayout>
          <c:xMode val="edge"/>
          <c:yMode val="edge"/>
          <c:x val="0.80184274998908045"/>
          <c:y val="2.042311622019299E-2"/>
          <c:w val="0.18639713152346124"/>
          <c:h val="0.90884748637189572"/>
        </c:manualLayout>
      </c:layout>
      <c:overlay val="1"/>
      <c:txPr>
        <a:bodyPr/>
        <a:lstStyle/>
        <a:p>
          <a:pPr>
            <a:defRPr b="1"/>
          </a:pPr>
          <a:endParaRPr lang="en-US"/>
        </a:p>
      </c:txPr>
    </c:legend>
    <c:plotVisOnly val="1"/>
    <c:dispBlanksAs val="gap"/>
    <c:showDLblsOverMax val="0"/>
  </c:chart>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en-US"/>
    </a:p>
  </c:txPr>
  <c:externalData r:id="rId1">
    <c:autoUpdate val="0"/>
  </c:externalData>
  <c:userShapes r:id="rId2"/>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85569888870274"/>
          <c:y val="8.9317070660285117E-2"/>
          <c:w val="0.84096861562517455"/>
          <c:h val="0.58725019837636572"/>
        </c:manualLayout>
      </c:layout>
      <c:lineChart>
        <c:grouping val="standard"/>
        <c:varyColors val="0"/>
        <c:ser>
          <c:idx val="0"/>
          <c:order val="0"/>
          <c:tx>
            <c:strRef>
              <c:f>'Data for Panel Chart 1'!$C$5</c:f>
              <c:strCache>
                <c:ptCount val="1"/>
                <c:pt idx="0">
                  <c:v>Line 1</c:v>
                </c:pt>
              </c:strCache>
            </c:strRef>
          </c:tx>
          <c:spPr>
            <a:ln w="38100">
              <a:solidFill>
                <a:schemeClr val="tx1"/>
              </a:solidFill>
              <a:prstDash val="solid"/>
            </a:ln>
          </c:spPr>
          <c:marker>
            <c:symbol val="square"/>
            <c:size val="5"/>
            <c:spPr>
              <a:solidFill>
                <a:schemeClr val="bg1">
                  <a:lumMod val="50000"/>
                </a:schemeClr>
              </a:solidFill>
              <a:ln>
                <a:solidFill>
                  <a:schemeClr val="tx1"/>
                </a:solidFill>
                <a:prstDash val="solid"/>
              </a:ln>
            </c:spPr>
          </c:marker>
          <c:dLbls>
            <c:dLbl>
              <c:idx val="4"/>
              <c:layout>
                <c:manualLayout>
                  <c:x val="-0.11303205450382539"/>
                  <c:y val="-3.3778917170237441E-2"/>
                </c:manualLayout>
              </c:layout>
              <c:spPr/>
              <c:txPr>
                <a:bodyPr/>
                <a:lstStyle/>
                <a:p>
                  <a:pPr>
                    <a:defRPr b="1">
                      <a:solidFill>
                        <a:srgbClr val="7030A0"/>
                      </a:solidFill>
                    </a:defRPr>
                  </a:pPr>
                  <a:endParaRPr lang="en-US"/>
                </a:p>
              </c:txPr>
              <c:dLblPos val="r"/>
              <c:showLegendKey val="0"/>
              <c:showVal val="1"/>
              <c:showCatName val="0"/>
              <c:showSerName val="0"/>
              <c:showPercent val="0"/>
              <c:showBubbleSize val="0"/>
            </c:dLbl>
            <c:dLbl>
              <c:idx val="5"/>
              <c:layout>
                <c:manualLayout>
                  <c:x val="-3.5017870106662199E-2"/>
                  <c:y val="-1.8275041201245193E-2"/>
                </c:manualLayout>
              </c:layout>
              <c:spPr/>
              <c:txPr>
                <a:bodyPr/>
                <a:lstStyle/>
                <a:p>
                  <a:pPr>
                    <a:defRPr b="1">
                      <a:solidFill>
                        <a:srgbClr val="7030A0"/>
                      </a:solidFill>
                    </a:defRPr>
                  </a:pPr>
                  <a:endParaRPr lang="en-US"/>
                </a:p>
              </c:txPr>
              <c:dLblPos val="r"/>
              <c:showLegendKey val="0"/>
              <c:showVal val="1"/>
              <c:showCatName val="0"/>
              <c:showSerName val="0"/>
              <c:showPercent val="0"/>
              <c:showBubbleSize val="0"/>
            </c:dLbl>
            <c:txPr>
              <a:bodyPr/>
              <a:lstStyle/>
              <a:p>
                <a:pPr>
                  <a:defRPr b="1">
                    <a:solidFill>
                      <a:schemeClr val="tx2"/>
                    </a:solidFill>
                  </a:defRPr>
                </a:pPr>
                <a:endParaRPr lang="en-US"/>
              </a:p>
            </c:txPr>
            <c:dLblPos val="t"/>
            <c:showLegendKey val="0"/>
            <c:showVal val="1"/>
            <c:showCatName val="0"/>
            <c:showSerName val="0"/>
            <c:showPercent val="0"/>
            <c:showBubbleSize val="0"/>
            <c:showLeaderLines val="0"/>
          </c:dLbls>
          <c:cat>
            <c:multiLvlStrRef>
              <c:f>'Data for Panel Chart 1'!$A$6:$B$13</c:f>
              <c:multiLvlStrCache>
                <c:ptCount val="8"/>
                <c:lvl>
                  <c:pt idx="0">
                    <c:v>9/30/13</c:v>
                  </c:pt>
                  <c:pt idx="1">
                    <c:v>9/30/14</c:v>
                  </c:pt>
                  <c:pt idx="2">
                    <c:v>9/30/13</c:v>
                  </c:pt>
                  <c:pt idx="3">
                    <c:v>9/30/14</c:v>
                  </c:pt>
                  <c:pt idx="4">
                    <c:v>9/30/13</c:v>
                  </c:pt>
                  <c:pt idx="5">
                    <c:v>9/30/14</c:v>
                  </c:pt>
                  <c:pt idx="6">
                    <c:v>9/30/13</c:v>
                  </c:pt>
                  <c:pt idx="7">
                    <c:v>9/30/14</c:v>
                  </c:pt>
                </c:lvl>
                <c:lvl>
                  <c:pt idx="0">
                    <c:v>Civil</c:v>
                  </c:pt>
                  <c:pt idx="2">
                    <c:v>Pre-trial</c:v>
                  </c:pt>
                  <c:pt idx="4">
                    <c:v>Post-trial</c:v>
                  </c:pt>
                  <c:pt idx="6">
                    <c:v>Total</c:v>
                  </c:pt>
                </c:lvl>
              </c:multiLvlStrCache>
            </c:multiLvlStrRef>
          </c:cat>
          <c:val>
            <c:numRef>
              <c:f>'Data for Panel Chart 1'!$C$6:$C$13</c:f>
              <c:numCache>
                <c:formatCode>0\ "Days"</c:formatCode>
                <c:ptCount val="8"/>
                <c:pt idx="0">
                  <c:v>778.5</c:v>
                </c:pt>
                <c:pt idx="1">
                  <c:v>462</c:v>
                </c:pt>
                <c:pt idx="4">
                  <c:v>5081</c:v>
                </c:pt>
                <c:pt idx="5">
                  <c:v>4441</c:v>
                </c:pt>
              </c:numCache>
            </c:numRef>
          </c:val>
          <c:smooth val="0"/>
        </c:ser>
        <c:ser>
          <c:idx val="1"/>
          <c:order val="1"/>
          <c:tx>
            <c:strRef>
              <c:f>'Data for Panel Chart 1'!$D$5</c:f>
              <c:strCache>
                <c:ptCount val="1"/>
                <c:pt idx="0">
                  <c:v>Line 2</c:v>
                </c:pt>
              </c:strCache>
            </c:strRef>
          </c:tx>
          <c:spPr>
            <a:ln w="38100">
              <a:solidFill>
                <a:schemeClr val="tx1"/>
              </a:solidFill>
              <a:prstDash val="solid"/>
            </a:ln>
          </c:spPr>
          <c:marker>
            <c:symbol val="square"/>
            <c:size val="5"/>
            <c:spPr>
              <a:solidFill>
                <a:schemeClr val="bg1">
                  <a:lumMod val="50000"/>
                </a:schemeClr>
              </a:solidFill>
              <a:ln>
                <a:solidFill>
                  <a:schemeClr val="tx1"/>
                </a:solidFill>
                <a:prstDash val="solid"/>
              </a:ln>
            </c:spPr>
          </c:marker>
          <c:dLbls>
            <c:dLbl>
              <c:idx val="2"/>
              <c:layout>
                <c:manualLayout>
                  <c:x val="-9.3262411347517726E-2"/>
                  <c:y val="-4.1530855154733565E-2"/>
                </c:manualLayout>
              </c:layout>
              <c:dLblPos val="r"/>
              <c:showLegendKey val="0"/>
              <c:showVal val="1"/>
              <c:showCatName val="0"/>
              <c:showSerName val="0"/>
              <c:showPercent val="0"/>
              <c:showBubbleSize val="0"/>
            </c:dLbl>
            <c:dLbl>
              <c:idx val="3"/>
              <c:layout>
                <c:manualLayout>
                  <c:x val="-7.5531914893617019E-2"/>
                  <c:y val="-5.3158762131477751E-2"/>
                </c:manualLayout>
              </c:layout>
              <c:dLblPos val="r"/>
              <c:showLegendKey val="0"/>
              <c:showVal val="1"/>
              <c:showCatName val="0"/>
              <c:showSerName val="0"/>
              <c:showPercent val="0"/>
              <c:showBubbleSize val="0"/>
            </c:dLbl>
            <c:dLbl>
              <c:idx val="6"/>
              <c:layout>
                <c:manualLayout>
                  <c:x val="-0.13857178756910704"/>
                  <c:y val="-3.3778917170237371E-2"/>
                </c:manualLayout>
              </c:layout>
              <c:spPr/>
              <c:txPr>
                <a:bodyPr/>
                <a:lstStyle/>
                <a:p>
                  <a:pPr>
                    <a:defRPr b="1">
                      <a:solidFill>
                        <a:schemeClr val="tx1"/>
                      </a:solidFill>
                    </a:defRPr>
                  </a:pPr>
                  <a:endParaRPr lang="en-US"/>
                </a:p>
              </c:txPr>
              <c:dLblPos val="r"/>
              <c:showLegendKey val="0"/>
              <c:showVal val="1"/>
              <c:showCatName val="0"/>
              <c:showSerName val="0"/>
              <c:showPercent val="0"/>
              <c:showBubbleSize val="0"/>
            </c:dLbl>
            <c:dLbl>
              <c:idx val="7"/>
              <c:layout>
                <c:manualLayout>
                  <c:x val="-5.4284078851845649E-2"/>
                  <c:y val="1.6608679728987438E-2"/>
                </c:manualLayout>
              </c:layout>
              <c:spPr/>
              <c:txPr>
                <a:bodyPr/>
                <a:lstStyle/>
                <a:p>
                  <a:pPr>
                    <a:defRPr b="1">
                      <a:solidFill>
                        <a:schemeClr val="tx1"/>
                      </a:solidFill>
                    </a:defRPr>
                  </a:pPr>
                  <a:endParaRPr lang="en-US"/>
                </a:p>
              </c:txPr>
              <c:dLblPos val="r"/>
              <c:showLegendKey val="0"/>
              <c:showVal val="1"/>
              <c:showCatName val="0"/>
              <c:showSerName val="0"/>
              <c:showPercent val="0"/>
              <c:showBubbleSize val="0"/>
            </c:dLbl>
            <c:txPr>
              <a:bodyPr/>
              <a:lstStyle/>
              <a:p>
                <a:pPr>
                  <a:defRPr b="1">
                    <a:solidFill>
                      <a:srgbClr val="C00000"/>
                    </a:solidFill>
                  </a:defRPr>
                </a:pPr>
                <a:endParaRPr lang="en-US"/>
              </a:p>
            </c:txPr>
            <c:dLblPos val="t"/>
            <c:showLegendKey val="0"/>
            <c:showVal val="1"/>
            <c:showCatName val="0"/>
            <c:showSerName val="0"/>
            <c:showPercent val="0"/>
            <c:showBubbleSize val="0"/>
            <c:showLeaderLines val="0"/>
          </c:dLbls>
          <c:cat>
            <c:multiLvlStrRef>
              <c:f>'Data for Panel Chart 1'!$A$6:$B$13</c:f>
              <c:multiLvlStrCache>
                <c:ptCount val="8"/>
                <c:lvl>
                  <c:pt idx="0">
                    <c:v>9/30/13</c:v>
                  </c:pt>
                  <c:pt idx="1">
                    <c:v>9/30/14</c:v>
                  </c:pt>
                  <c:pt idx="2">
                    <c:v>9/30/13</c:v>
                  </c:pt>
                  <c:pt idx="3">
                    <c:v>9/30/14</c:v>
                  </c:pt>
                  <c:pt idx="4">
                    <c:v>9/30/13</c:v>
                  </c:pt>
                  <c:pt idx="5">
                    <c:v>9/30/14</c:v>
                  </c:pt>
                  <c:pt idx="6">
                    <c:v>9/30/13</c:v>
                  </c:pt>
                  <c:pt idx="7">
                    <c:v>9/30/14</c:v>
                  </c:pt>
                </c:lvl>
                <c:lvl>
                  <c:pt idx="0">
                    <c:v>Civil</c:v>
                  </c:pt>
                  <c:pt idx="2">
                    <c:v>Pre-trial</c:v>
                  </c:pt>
                  <c:pt idx="4">
                    <c:v>Post-trial</c:v>
                  </c:pt>
                  <c:pt idx="6">
                    <c:v>Total</c:v>
                  </c:pt>
                </c:lvl>
              </c:multiLvlStrCache>
            </c:multiLvlStrRef>
          </c:cat>
          <c:val>
            <c:numRef>
              <c:f>'Data for Panel Chart 1'!$D$6:$D$13</c:f>
              <c:numCache>
                <c:formatCode>General</c:formatCode>
                <c:ptCount val="8"/>
                <c:pt idx="2" formatCode="0\ &quot;Days&quot;">
                  <c:v>46</c:v>
                </c:pt>
                <c:pt idx="3" formatCode="0\ &quot;Days&quot;">
                  <c:v>50</c:v>
                </c:pt>
                <c:pt idx="6" formatCode="0\ &quot;Days&quot;">
                  <c:v>857</c:v>
                </c:pt>
                <c:pt idx="7" formatCode="0\ &quot;Days&quot;">
                  <c:v>394</c:v>
                </c:pt>
              </c:numCache>
            </c:numRef>
          </c:val>
          <c:smooth val="0"/>
        </c:ser>
        <c:dLbls>
          <c:showLegendKey val="0"/>
          <c:showVal val="0"/>
          <c:showCatName val="0"/>
          <c:showSerName val="0"/>
          <c:showPercent val="0"/>
          <c:showBubbleSize val="0"/>
        </c:dLbls>
        <c:marker val="1"/>
        <c:smooth val="0"/>
        <c:axId val="261317120"/>
        <c:axId val="285607616"/>
      </c:lineChart>
      <c:scatterChart>
        <c:scatterStyle val="lineMarker"/>
        <c:varyColors val="0"/>
        <c:ser>
          <c:idx val="2"/>
          <c:order val="2"/>
          <c:tx>
            <c:strRef>
              <c:f>'Data for Panel Chart 1'!$G$5</c:f>
              <c:strCache>
                <c:ptCount val="1"/>
                <c:pt idx="0">
                  <c:v>Grid Lines</c:v>
                </c:pt>
              </c:strCache>
            </c:strRef>
          </c:tx>
          <c:spPr>
            <a:ln w="28575">
              <a:noFill/>
            </a:ln>
          </c:spPr>
          <c:marker>
            <c:symbol val="none"/>
          </c:marker>
          <c:errBars>
            <c:errDir val="y"/>
            <c:errBarType val="plus"/>
            <c:errValType val="fixedVal"/>
            <c:noEndCap val="1"/>
            <c:val val="1"/>
          </c:errBars>
          <c:xVal>
            <c:numRef>
              <c:f>'Data for Panel Chart 1'!$F$6:$F$8</c:f>
              <c:numCache>
                <c:formatCode>General</c:formatCode>
                <c:ptCount val="3"/>
                <c:pt idx="0">
                  <c:v>2</c:v>
                </c:pt>
                <c:pt idx="1">
                  <c:v>4</c:v>
                </c:pt>
                <c:pt idx="2">
                  <c:v>6</c:v>
                </c:pt>
              </c:numCache>
            </c:numRef>
          </c:xVal>
          <c:yVal>
            <c:numRef>
              <c:f>'Data for Panel Chart 1'!$G$6:$G$8</c:f>
              <c:numCache>
                <c:formatCode>General</c:formatCode>
                <c:ptCount val="3"/>
                <c:pt idx="0">
                  <c:v>0</c:v>
                </c:pt>
                <c:pt idx="1">
                  <c:v>0</c:v>
                </c:pt>
                <c:pt idx="2">
                  <c:v>0</c:v>
                </c:pt>
              </c:numCache>
            </c:numRef>
          </c:yVal>
          <c:smooth val="0"/>
        </c:ser>
        <c:ser>
          <c:idx val="3"/>
          <c:order val="3"/>
          <c:tx>
            <c:strRef>
              <c:f>'Data for Panel Chart 1'!$I$14</c:f>
              <c:strCache>
                <c:ptCount val="1"/>
                <c:pt idx="0">
                  <c:v>Civil</c:v>
                </c:pt>
              </c:strCache>
            </c:strRef>
          </c:tx>
          <c:spPr>
            <a:ln w="28575">
              <a:noFill/>
            </a:ln>
          </c:spPr>
          <c:marker>
            <c:symbol val="none"/>
          </c:marker>
          <c:dLbls>
            <c:txPr>
              <a:bodyPr rot="0" vert="horz"/>
              <a:lstStyle/>
              <a:p>
                <a:pPr algn="ctr">
                  <a:defRPr b="1">
                    <a:solidFill>
                      <a:schemeClr val="tx2"/>
                    </a:solidFill>
                  </a:defRPr>
                </a:pPr>
                <a:endParaRPr lang="en-US"/>
              </a:p>
            </c:txPr>
            <c:dLblPos val="t"/>
            <c:showLegendKey val="0"/>
            <c:showVal val="0"/>
            <c:showCatName val="0"/>
            <c:showSerName val="1"/>
            <c:showPercent val="0"/>
            <c:showBubbleSize val="0"/>
            <c:showLeaderLines val="0"/>
          </c:dLbls>
          <c:xVal>
            <c:numRef>
              <c:f>'Data for Panel Chart 1'!$F$11</c:f>
              <c:numCache>
                <c:formatCode>General</c:formatCode>
                <c:ptCount val="1"/>
                <c:pt idx="0">
                  <c:v>1</c:v>
                </c:pt>
              </c:numCache>
            </c:numRef>
          </c:xVal>
          <c:yVal>
            <c:numRef>
              <c:f>'Data for Panel Chart 1'!$G$11</c:f>
              <c:numCache>
                <c:formatCode>General</c:formatCode>
                <c:ptCount val="1"/>
                <c:pt idx="0">
                  <c:v>1</c:v>
                </c:pt>
              </c:numCache>
            </c:numRef>
          </c:yVal>
          <c:smooth val="0"/>
        </c:ser>
        <c:ser>
          <c:idx val="4"/>
          <c:order val="4"/>
          <c:tx>
            <c:strRef>
              <c:f>'Data for Panel Chart 1'!$I$15</c:f>
              <c:strCache>
                <c:ptCount val="1"/>
                <c:pt idx="0">
                  <c:v>Pre-trial</c:v>
                </c:pt>
              </c:strCache>
            </c:strRef>
          </c:tx>
          <c:spPr>
            <a:ln w="28575">
              <a:noFill/>
            </a:ln>
          </c:spPr>
          <c:marker>
            <c:symbol val="none"/>
          </c:marker>
          <c:dLbls>
            <c:txPr>
              <a:bodyPr rot="0" vert="horz"/>
              <a:lstStyle/>
              <a:p>
                <a:pPr algn="ctr">
                  <a:defRPr b="1">
                    <a:solidFill>
                      <a:schemeClr val="accent2"/>
                    </a:solidFill>
                  </a:defRPr>
                </a:pPr>
                <a:endParaRPr lang="en-US"/>
              </a:p>
            </c:txPr>
            <c:dLblPos val="t"/>
            <c:showLegendKey val="0"/>
            <c:showVal val="0"/>
            <c:showCatName val="0"/>
            <c:showSerName val="1"/>
            <c:showPercent val="0"/>
            <c:showBubbleSize val="0"/>
            <c:showLeaderLines val="0"/>
          </c:dLbls>
          <c:xVal>
            <c:numRef>
              <c:f>'Data for Panel Chart 1'!$F$12</c:f>
              <c:numCache>
                <c:formatCode>General</c:formatCode>
                <c:ptCount val="1"/>
                <c:pt idx="0">
                  <c:v>3</c:v>
                </c:pt>
              </c:numCache>
            </c:numRef>
          </c:xVal>
          <c:yVal>
            <c:numRef>
              <c:f>'Data for Panel Chart 1'!$G$12</c:f>
              <c:numCache>
                <c:formatCode>General</c:formatCode>
                <c:ptCount val="1"/>
                <c:pt idx="0">
                  <c:v>1</c:v>
                </c:pt>
              </c:numCache>
            </c:numRef>
          </c:yVal>
          <c:smooth val="0"/>
        </c:ser>
        <c:ser>
          <c:idx val="5"/>
          <c:order val="5"/>
          <c:tx>
            <c:strRef>
              <c:f>'Data for Panel Chart 1'!$I$16</c:f>
              <c:strCache>
                <c:ptCount val="1"/>
                <c:pt idx="0">
                  <c:v>Post-trial</c:v>
                </c:pt>
              </c:strCache>
            </c:strRef>
          </c:tx>
          <c:spPr>
            <a:ln w="28575">
              <a:noFill/>
            </a:ln>
          </c:spPr>
          <c:marker>
            <c:symbol val="none"/>
          </c:marker>
          <c:dLbls>
            <c:txPr>
              <a:bodyPr rot="0" vert="horz"/>
              <a:lstStyle/>
              <a:p>
                <a:pPr algn="ctr">
                  <a:defRPr b="1">
                    <a:solidFill>
                      <a:srgbClr val="7030A0"/>
                    </a:solidFill>
                  </a:defRPr>
                </a:pPr>
                <a:endParaRPr lang="en-US"/>
              </a:p>
            </c:txPr>
            <c:dLblPos val="t"/>
            <c:showLegendKey val="0"/>
            <c:showVal val="0"/>
            <c:showCatName val="0"/>
            <c:showSerName val="1"/>
            <c:showPercent val="0"/>
            <c:showBubbleSize val="0"/>
            <c:showLeaderLines val="0"/>
          </c:dLbls>
          <c:xVal>
            <c:numRef>
              <c:f>'Data for Panel Chart 1'!$F$13</c:f>
              <c:numCache>
                <c:formatCode>General</c:formatCode>
                <c:ptCount val="1"/>
                <c:pt idx="0">
                  <c:v>5</c:v>
                </c:pt>
              </c:numCache>
            </c:numRef>
          </c:xVal>
          <c:yVal>
            <c:numRef>
              <c:f>'Data for Panel Chart 1'!$G$13</c:f>
              <c:numCache>
                <c:formatCode>General</c:formatCode>
                <c:ptCount val="1"/>
                <c:pt idx="0">
                  <c:v>1</c:v>
                </c:pt>
              </c:numCache>
            </c:numRef>
          </c:yVal>
          <c:smooth val="0"/>
        </c:ser>
        <c:ser>
          <c:idx val="6"/>
          <c:order val="6"/>
          <c:tx>
            <c:strRef>
              <c:f>'Data for Panel Chart 1'!$I$17</c:f>
              <c:strCache>
                <c:ptCount val="1"/>
                <c:pt idx="0">
                  <c:v>Total</c:v>
                </c:pt>
              </c:strCache>
            </c:strRef>
          </c:tx>
          <c:spPr>
            <a:ln w="28575">
              <a:noFill/>
            </a:ln>
          </c:spPr>
          <c:marker>
            <c:symbol val="none"/>
          </c:marker>
          <c:dLbls>
            <c:txPr>
              <a:bodyPr rot="0" vert="horz"/>
              <a:lstStyle/>
              <a:p>
                <a:pPr algn="ctr">
                  <a:defRPr b="1" u="sng"/>
                </a:pPr>
                <a:endParaRPr lang="en-US"/>
              </a:p>
            </c:txPr>
            <c:dLblPos val="t"/>
            <c:showLegendKey val="0"/>
            <c:showVal val="0"/>
            <c:showCatName val="0"/>
            <c:showSerName val="1"/>
            <c:showPercent val="0"/>
            <c:showBubbleSize val="0"/>
            <c:showLeaderLines val="0"/>
          </c:dLbls>
          <c:xVal>
            <c:numRef>
              <c:f>'Data for Panel Chart 1'!$F$14</c:f>
              <c:numCache>
                <c:formatCode>General</c:formatCode>
                <c:ptCount val="1"/>
                <c:pt idx="0">
                  <c:v>7</c:v>
                </c:pt>
              </c:numCache>
            </c:numRef>
          </c:xVal>
          <c:yVal>
            <c:numRef>
              <c:f>'Data for Panel Chart 1'!$G$14</c:f>
              <c:numCache>
                <c:formatCode>General</c:formatCode>
                <c:ptCount val="1"/>
                <c:pt idx="0">
                  <c:v>1</c:v>
                </c:pt>
              </c:numCache>
            </c:numRef>
          </c:yVal>
          <c:smooth val="0"/>
        </c:ser>
        <c:dLbls>
          <c:showLegendKey val="0"/>
          <c:showVal val="0"/>
          <c:showCatName val="0"/>
          <c:showSerName val="0"/>
          <c:showPercent val="0"/>
          <c:showBubbleSize val="0"/>
        </c:dLbls>
        <c:axId val="285608768"/>
        <c:axId val="285608192"/>
      </c:scatterChart>
      <c:catAx>
        <c:axId val="261317120"/>
        <c:scaling>
          <c:orientation val="minMax"/>
        </c:scaling>
        <c:delete val="0"/>
        <c:axPos val="b"/>
        <c:title>
          <c:tx>
            <c:rich>
              <a:bodyPr/>
              <a:lstStyle/>
              <a:p>
                <a:pPr>
                  <a:defRPr/>
                </a:pPr>
                <a:r>
                  <a:rPr lang="en-US"/>
                  <a:t>Legal Status</a:t>
                </a:r>
              </a:p>
            </c:rich>
          </c:tx>
          <c:layout>
            <c:manualLayout>
              <c:xMode val="edge"/>
              <c:yMode val="edge"/>
              <c:x val="0.47616688212480901"/>
              <c:y val="0.9448194794290512"/>
            </c:manualLayout>
          </c:layout>
          <c:overlay val="0"/>
        </c:title>
        <c:numFmt formatCode="mm/dd/yy;@" sourceLinked="0"/>
        <c:majorTickMark val="none"/>
        <c:minorTickMark val="none"/>
        <c:tickLblPos val="nextTo"/>
        <c:txPr>
          <a:bodyPr rot="-5400000" vert="horz"/>
          <a:lstStyle/>
          <a:p>
            <a:pPr>
              <a:defRPr b="1"/>
            </a:pPr>
            <a:endParaRPr lang="en-US"/>
          </a:p>
        </c:txPr>
        <c:crossAx val="285607616"/>
        <c:crosses val="autoZero"/>
        <c:auto val="1"/>
        <c:lblAlgn val="ctr"/>
        <c:lblOffset val="100"/>
        <c:tickLblSkip val="1"/>
        <c:tickMarkSkip val="1"/>
        <c:noMultiLvlLbl val="0"/>
      </c:catAx>
      <c:valAx>
        <c:axId val="285607616"/>
        <c:scaling>
          <c:orientation val="minMax"/>
          <c:max val="5840"/>
        </c:scaling>
        <c:delete val="0"/>
        <c:axPos val="l"/>
        <c:majorGridlines/>
        <c:numFmt formatCode="0\ &quot;Days&quot;" sourceLinked="1"/>
        <c:majorTickMark val="out"/>
        <c:minorTickMark val="cross"/>
        <c:tickLblPos val="none"/>
        <c:crossAx val="261317120"/>
        <c:crossesAt val="1"/>
        <c:crossBetween val="between"/>
        <c:majorUnit val="730"/>
        <c:minorUnit val="365"/>
      </c:valAx>
      <c:valAx>
        <c:axId val="285608192"/>
        <c:scaling>
          <c:orientation val="minMax"/>
          <c:max val="1"/>
          <c:min val="0"/>
        </c:scaling>
        <c:delete val="0"/>
        <c:axPos val="r"/>
        <c:numFmt formatCode="General" sourceLinked="1"/>
        <c:majorTickMark val="none"/>
        <c:minorTickMark val="none"/>
        <c:tickLblPos val="none"/>
        <c:crossAx val="285608768"/>
        <c:crosses val="max"/>
        <c:crossBetween val="midCat"/>
      </c:valAx>
      <c:valAx>
        <c:axId val="285608768"/>
        <c:scaling>
          <c:orientation val="minMax"/>
          <c:max val="8"/>
          <c:min val="0"/>
        </c:scaling>
        <c:delete val="0"/>
        <c:axPos val="t"/>
        <c:numFmt formatCode="General" sourceLinked="1"/>
        <c:majorTickMark val="none"/>
        <c:minorTickMark val="none"/>
        <c:tickLblPos val="none"/>
        <c:spPr>
          <a:ln w="9525">
            <a:noFill/>
          </a:ln>
        </c:spPr>
        <c:crossAx val="285608192"/>
        <c:crosses val="max"/>
        <c:crossBetween val="midCat"/>
      </c:valAx>
      <c:spPr>
        <a:noFill/>
      </c:spPr>
    </c:plotArea>
    <c:plotVisOnly val="1"/>
    <c:dispBlanksAs val="gap"/>
    <c:showDLblsOverMax val="0"/>
  </c:chart>
  <c:spPr>
    <a:ln>
      <a:noFill/>
    </a:ln>
  </c:spPr>
  <c:txPr>
    <a:bodyPr/>
    <a:lstStyle/>
    <a:p>
      <a:pPr>
        <a:defRPr sz="1100"/>
      </a:pPr>
      <a:endParaRPr lang="en-US"/>
    </a:p>
  </c:txPr>
  <c:externalData r:id="rId1">
    <c:autoUpdate val="0"/>
  </c:externalData>
  <c:userShapes r:id="rId2"/>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18652701666448462"/>
          <c:y val="3.1671925485848566E-2"/>
          <c:w val="0.7391951421749241"/>
          <c:h val="0.96832816352501394"/>
        </c:manualLayout>
      </c:layout>
      <c:barChart>
        <c:barDir val="bar"/>
        <c:grouping val="clustered"/>
        <c:varyColors val="0"/>
        <c:ser>
          <c:idx val="0"/>
          <c:order val="0"/>
          <c:tx>
            <c:strRef>
              <c:f>'Summary LOS'!$C$13</c:f>
              <c:strCache>
                <c:ptCount val="1"/>
                <c:pt idx="0">
                  <c:v>Female</c:v>
                </c:pt>
              </c:strCache>
            </c:strRef>
          </c:tx>
          <c:spPr>
            <a:blipFill>
              <a:blip xmlns:r="http://schemas.openxmlformats.org/officeDocument/2006/relationships" r:embed="rId1"/>
              <a:stretch>
                <a:fillRect/>
              </a:stretch>
            </a:blipFill>
            <a:ln>
              <a:solidFill>
                <a:srgbClr val="C00000"/>
              </a:solidFill>
            </a:ln>
          </c:spPr>
          <c:invertIfNegative val="0"/>
          <c:pictureOptions>
            <c:pictureFormat val="stack"/>
          </c:pictureOptions>
          <c:dLbls>
            <c:txPr>
              <a:bodyPr/>
              <a:lstStyle/>
              <a:p>
                <a:pPr>
                  <a:defRPr b="1">
                    <a:solidFill>
                      <a:srgbClr val="C00000"/>
                    </a:solidFill>
                  </a:defRPr>
                </a:pPr>
                <a:endParaRPr lang="en-US"/>
              </a:p>
            </c:txPr>
            <c:showLegendKey val="0"/>
            <c:showVal val="1"/>
            <c:showCatName val="0"/>
            <c:showSerName val="0"/>
            <c:showPercent val="0"/>
            <c:showBubbleSize val="0"/>
            <c:showLeaderLines val="0"/>
          </c:dLbls>
          <c:cat>
            <c:strRef>
              <c:f>('Summary LOS'!$C$4,'Summary LOS'!$F$4,'Summary LOS'!$I$4,'Summary LOS'!$O$4)</c:f>
              <c:strCache>
                <c:ptCount val="4"/>
                <c:pt idx="0">
                  <c:v>Civil (n=121)</c:v>
                </c:pt>
                <c:pt idx="1">
                  <c:v>Forensic Pre-trial (n=67)</c:v>
                </c:pt>
                <c:pt idx="2">
                  <c:v>Forensic Post-trial (n=90)</c:v>
                </c:pt>
                <c:pt idx="3">
                  <c:v>Total (n=278)</c:v>
                </c:pt>
              </c:strCache>
            </c:strRef>
          </c:cat>
          <c:val>
            <c:numRef>
              <c:f>('Summary LOS'!$C$7,'Summary LOS'!$F$7,'Summary LOS'!$I$7,'Summary LOS'!$O$7)</c:f>
              <c:numCache>
                <c:formatCode>0\ "Days"</c:formatCode>
                <c:ptCount val="4"/>
                <c:pt idx="0">
                  <c:v>385</c:v>
                </c:pt>
                <c:pt idx="1">
                  <c:v>36</c:v>
                </c:pt>
                <c:pt idx="2">
                  <c:v>1033</c:v>
                </c:pt>
                <c:pt idx="3">
                  <c:v>237.5</c:v>
                </c:pt>
              </c:numCache>
            </c:numRef>
          </c:val>
        </c:ser>
        <c:ser>
          <c:idx val="1"/>
          <c:order val="1"/>
          <c:tx>
            <c:strRef>
              <c:f>'Summary LOS'!$D$13</c:f>
              <c:strCache>
                <c:ptCount val="1"/>
                <c:pt idx="0">
                  <c:v>Male</c:v>
                </c:pt>
              </c:strCache>
            </c:strRef>
          </c:tx>
          <c:spPr>
            <a:blipFill>
              <a:blip xmlns:r="http://schemas.openxmlformats.org/officeDocument/2006/relationships" r:embed="rId2"/>
              <a:stretch>
                <a:fillRect/>
              </a:stretch>
            </a:blipFill>
            <a:ln>
              <a:solidFill>
                <a:schemeClr val="tx2"/>
              </a:solidFill>
            </a:ln>
            <a:scene3d>
              <a:camera prst="orthographicFront"/>
              <a:lightRig rig="threePt" dir="t">
                <a:rot lat="0" lon="0" rev="1200000"/>
              </a:lightRig>
            </a:scene3d>
            <a:sp3d>
              <a:bevelT w="63500" h="25400"/>
            </a:sp3d>
          </c:spPr>
          <c:invertIfNegative val="0"/>
          <c:pictureOptions>
            <c:pictureFormat val="stack"/>
          </c:pictureOptions>
          <c:dLbls>
            <c:txPr>
              <a:bodyPr/>
              <a:lstStyle/>
              <a:p>
                <a:pPr>
                  <a:defRPr b="1" u="sng">
                    <a:solidFill>
                      <a:schemeClr val="tx2"/>
                    </a:solidFill>
                  </a:defRPr>
                </a:pPr>
                <a:endParaRPr lang="en-US"/>
              </a:p>
            </c:txPr>
            <c:showLegendKey val="0"/>
            <c:showVal val="1"/>
            <c:showCatName val="0"/>
            <c:showSerName val="0"/>
            <c:showPercent val="0"/>
            <c:showBubbleSize val="0"/>
            <c:showLeaderLines val="0"/>
          </c:dLbls>
          <c:cat>
            <c:strRef>
              <c:f>('Summary LOS'!$C$4,'Summary LOS'!$F$4,'Summary LOS'!$I$4,'Summary LOS'!$O$4)</c:f>
              <c:strCache>
                <c:ptCount val="4"/>
                <c:pt idx="0">
                  <c:v>Civil (n=121)</c:v>
                </c:pt>
                <c:pt idx="1">
                  <c:v>Forensic Pre-trial (n=67)</c:v>
                </c:pt>
                <c:pt idx="2">
                  <c:v>Forensic Post-trial (n=90)</c:v>
                </c:pt>
                <c:pt idx="3">
                  <c:v>Total (n=278)</c:v>
                </c:pt>
              </c:strCache>
            </c:strRef>
          </c:cat>
          <c:val>
            <c:numRef>
              <c:f>('Summary LOS'!$D$7,'Summary LOS'!$G$7,'Summary LOS'!$J$7,'Summary LOS'!$P$7)</c:f>
              <c:numCache>
                <c:formatCode>0\ "Days"</c:formatCode>
                <c:ptCount val="4"/>
                <c:pt idx="0">
                  <c:v>513</c:v>
                </c:pt>
                <c:pt idx="1">
                  <c:v>58.5</c:v>
                </c:pt>
                <c:pt idx="2">
                  <c:v>5290.5</c:v>
                </c:pt>
                <c:pt idx="3">
                  <c:v>542</c:v>
                </c:pt>
              </c:numCache>
            </c:numRef>
          </c:val>
        </c:ser>
        <c:dLbls>
          <c:showLegendKey val="0"/>
          <c:showVal val="0"/>
          <c:showCatName val="0"/>
          <c:showSerName val="0"/>
          <c:showPercent val="0"/>
          <c:showBubbleSize val="0"/>
        </c:dLbls>
        <c:gapWidth val="80"/>
        <c:axId val="261567488"/>
        <c:axId val="285610496"/>
      </c:barChart>
      <c:catAx>
        <c:axId val="261567488"/>
        <c:scaling>
          <c:orientation val="maxMin"/>
        </c:scaling>
        <c:delete val="0"/>
        <c:axPos val="l"/>
        <c:majorTickMark val="none"/>
        <c:minorTickMark val="none"/>
        <c:tickLblPos val="nextTo"/>
        <c:txPr>
          <a:bodyPr/>
          <a:lstStyle/>
          <a:p>
            <a:pPr>
              <a:defRPr sz="1100" b="1" i="0">
                <a:solidFill>
                  <a:schemeClr val="tx2"/>
                </a:solidFill>
              </a:defRPr>
            </a:pPr>
            <a:endParaRPr lang="en-US"/>
          </a:p>
        </c:txPr>
        <c:crossAx val="285610496"/>
        <c:crosses val="autoZero"/>
        <c:auto val="1"/>
        <c:lblAlgn val="ctr"/>
        <c:lblOffset val="100"/>
        <c:noMultiLvlLbl val="0"/>
      </c:catAx>
      <c:valAx>
        <c:axId val="285610496"/>
        <c:scaling>
          <c:orientation val="minMax"/>
        </c:scaling>
        <c:delete val="1"/>
        <c:axPos val="b"/>
        <c:numFmt formatCode="0\ &quot;Days&quot;" sourceLinked="1"/>
        <c:majorTickMark val="out"/>
        <c:minorTickMark val="none"/>
        <c:tickLblPos val="none"/>
        <c:crossAx val="261567488"/>
        <c:crosses val="max"/>
        <c:crossBetween val="between"/>
      </c:valAx>
    </c:plotArea>
    <c:legend>
      <c:legendPos val="r"/>
      <c:legendEntry>
        <c:idx val="0"/>
        <c:txPr>
          <a:bodyPr/>
          <a:lstStyle/>
          <a:p>
            <a:pPr>
              <a:defRPr sz="1100" b="1">
                <a:solidFill>
                  <a:srgbClr val="C00000"/>
                </a:solidFill>
              </a:defRPr>
            </a:pPr>
            <a:endParaRPr lang="en-US"/>
          </a:p>
        </c:txPr>
      </c:legendEntry>
      <c:legendEntry>
        <c:idx val="1"/>
        <c:txPr>
          <a:bodyPr/>
          <a:lstStyle/>
          <a:p>
            <a:pPr>
              <a:defRPr sz="1100" b="1" u="sng">
                <a:solidFill>
                  <a:schemeClr val="tx2">
                    <a:lumMod val="50000"/>
                  </a:schemeClr>
                </a:solidFill>
              </a:defRPr>
            </a:pPr>
            <a:endParaRPr lang="en-US"/>
          </a:p>
        </c:txPr>
      </c:legendEntry>
      <c:layout>
        <c:manualLayout>
          <c:xMode val="edge"/>
          <c:yMode val="edge"/>
          <c:x val="0.63393844178028813"/>
          <c:y val="0.17917213836642515"/>
          <c:w val="0.22459361225927518"/>
          <c:h val="0.18697918574131722"/>
        </c:manualLayout>
      </c:layout>
      <c:overlay val="0"/>
      <c:txPr>
        <a:bodyPr/>
        <a:lstStyle/>
        <a:p>
          <a:pPr>
            <a:defRPr sz="1100" b="1"/>
          </a:pPr>
          <a:endParaRPr lang="en-US"/>
        </a:p>
      </c:txPr>
    </c:legend>
    <c:plotVisOnly val="1"/>
    <c:dispBlanksAs val="gap"/>
    <c:showDLblsOverMax val="0"/>
  </c:chart>
  <c:spPr>
    <a:ln>
      <a:noFill/>
    </a:ln>
  </c:sp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064089492713573E-2"/>
          <c:y val="6.8412319773701213E-2"/>
          <c:w val="0.74836201637041855"/>
          <c:h val="0.51682203958081885"/>
        </c:manualLayout>
      </c:layout>
      <c:lineChart>
        <c:grouping val="standard"/>
        <c:varyColors val="0"/>
        <c:ser>
          <c:idx val="2"/>
          <c:order val="0"/>
          <c:tx>
            <c:strRef>
              <c:f>'Data for Panel Chart 3'!$E$5</c:f>
              <c:strCache>
                <c:ptCount val="1"/>
                <c:pt idx="0">
                  <c:v>&lt;=90 days</c:v>
                </c:pt>
              </c:strCache>
            </c:strRef>
          </c:tx>
          <c:spPr>
            <a:ln w="34925">
              <a:solidFill>
                <a:srgbClr val="000080"/>
              </a:solidFill>
              <a:prstDash val="solid"/>
            </a:ln>
          </c:spPr>
          <c:marker>
            <c:symbol val="none"/>
          </c:marker>
          <c:dLbls>
            <c:dLbl>
              <c:idx val="2"/>
              <c:layout>
                <c:manualLayout>
                  <c:x val="-2.2960023912767535E-2"/>
                  <c:y val="2.0151006593344734E-2"/>
                </c:manualLayout>
              </c:layout>
              <c:showLegendKey val="0"/>
              <c:showVal val="1"/>
              <c:showCatName val="0"/>
              <c:showSerName val="0"/>
              <c:showPercent val="0"/>
              <c:showBubbleSize val="0"/>
            </c:dLbl>
            <c:dLbl>
              <c:idx val="8"/>
              <c:layout>
                <c:manualLayout>
                  <c:x val="-1.6719774302783135E-2"/>
                  <c:y val="5.2043092468669295E-3"/>
                </c:manualLayout>
              </c:layout>
              <c:showLegendKey val="0"/>
              <c:showVal val="1"/>
              <c:showCatName val="0"/>
              <c:showSerName val="0"/>
              <c:showPercent val="0"/>
              <c:showBubbleSize val="0"/>
            </c:dLbl>
            <c:txPr>
              <a:bodyPr/>
              <a:lstStyle/>
              <a:p>
                <a:pPr>
                  <a:defRPr b="1">
                    <a:solidFill>
                      <a:schemeClr val="tx2"/>
                    </a:solidFill>
                  </a:defRPr>
                </a:pPr>
                <a:endParaRPr lang="en-US"/>
              </a:p>
            </c:txPr>
            <c:showLegendKey val="0"/>
            <c:showVal val="0"/>
            <c:showCatName val="0"/>
            <c:showSerName val="0"/>
            <c:showPercent val="0"/>
            <c:showBubbleSize val="0"/>
          </c:dLbls>
          <c:cat>
            <c:multiLvlStrRef>
              <c:f>'Data for Panel Chart 3'!$A$6:$B$17</c:f>
              <c:multiLvlStrCache>
                <c:ptCount val="12"/>
                <c:lvl>
                  <c:pt idx="0">
                    <c:v>FY12 (n=174)</c:v>
                  </c:pt>
                  <c:pt idx="1">
                    <c:v>FY13 (n=212)</c:v>
                  </c:pt>
                  <c:pt idx="2">
                    <c:v>FY14 (n=180)</c:v>
                  </c:pt>
                  <c:pt idx="3">
                    <c:v>FY12 (n=205)</c:v>
                  </c:pt>
                  <c:pt idx="4">
                    <c:v>FY13 (n=188)</c:v>
                  </c:pt>
                  <c:pt idx="5">
                    <c:v>FY14 (n=230)</c:v>
                  </c:pt>
                  <c:pt idx="6">
                    <c:v>FY12  (n=21) </c:v>
                  </c:pt>
                  <c:pt idx="7">
                    <c:v>FY13  (n=23) </c:v>
                  </c:pt>
                  <c:pt idx="8">
                    <c:v>FY14  (n=23) </c:v>
                  </c:pt>
                  <c:pt idx="9">
                    <c:v>FY12 (n=400)</c:v>
                  </c:pt>
                  <c:pt idx="10">
                    <c:v>FY13 (n=423)</c:v>
                  </c:pt>
                  <c:pt idx="11">
                    <c:v>FY14 (n=433)</c:v>
                  </c:pt>
                </c:lvl>
                <c:lvl>
                  <c:pt idx="0">
                    <c:v>Civil</c:v>
                  </c:pt>
                  <c:pt idx="3">
                    <c:v>Pre-trial</c:v>
                  </c:pt>
                  <c:pt idx="6">
                    <c:v>Post-trial</c:v>
                  </c:pt>
                  <c:pt idx="9">
                    <c:v>Total</c:v>
                  </c:pt>
                </c:lvl>
              </c:multiLvlStrCache>
            </c:multiLvlStrRef>
          </c:cat>
          <c:val>
            <c:numRef>
              <c:f>'Data for Panel Chart 3'!$E$6:$E$17</c:f>
              <c:numCache>
                <c:formatCode>0%</c:formatCode>
                <c:ptCount val="12"/>
                <c:pt idx="0">
                  <c:v>0.77011494252873558</c:v>
                </c:pt>
                <c:pt idx="1">
                  <c:v>0.78301886792452835</c:v>
                </c:pt>
                <c:pt idx="2">
                  <c:v>0.67777777777777781</c:v>
                </c:pt>
                <c:pt idx="6">
                  <c:v>0.33333333333333331</c:v>
                </c:pt>
                <c:pt idx="7">
                  <c:v>0.21739130434782608</c:v>
                </c:pt>
                <c:pt idx="8">
                  <c:v>0.21739130434782608</c:v>
                </c:pt>
              </c:numCache>
            </c:numRef>
          </c:val>
          <c:smooth val="1"/>
        </c:ser>
        <c:ser>
          <c:idx val="1"/>
          <c:order val="1"/>
          <c:tx>
            <c:strRef>
              <c:f>'Data for Panel Chart 3'!$D$5</c:f>
              <c:strCache>
                <c:ptCount val="1"/>
                <c:pt idx="0">
                  <c:v>&lt;=60 days</c:v>
                </c:pt>
              </c:strCache>
            </c:strRef>
          </c:tx>
          <c:spPr>
            <a:ln w="38100" cmpd="dbl">
              <a:solidFill>
                <a:schemeClr val="accent2"/>
              </a:solidFill>
              <a:prstDash val="solid"/>
            </a:ln>
          </c:spPr>
          <c:marker>
            <c:symbol val="none"/>
          </c:marker>
          <c:dLbls>
            <c:dLbl>
              <c:idx val="2"/>
              <c:layout>
                <c:manualLayout>
                  <c:x val="-3.4838117934166184E-2"/>
                  <c:y val="1.6792552405480145E-2"/>
                </c:manualLayout>
              </c:layout>
              <c:showLegendKey val="0"/>
              <c:showVal val="1"/>
              <c:showCatName val="0"/>
              <c:showSerName val="0"/>
              <c:showPercent val="0"/>
              <c:showBubbleSize val="0"/>
            </c:dLbl>
            <c:dLbl>
              <c:idx val="8"/>
              <c:layout>
                <c:manualLayout>
                  <c:x val="-1.349204204388648E-2"/>
                  <c:y val="-6.7169083757291081E-3"/>
                </c:manualLayout>
              </c:layout>
              <c:showLegendKey val="0"/>
              <c:showVal val="1"/>
              <c:showCatName val="0"/>
              <c:showSerName val="0"/>
              <c:showPercent val="0"/>
              <c:showBubbleSize val="0"/>
            </c:dLbl>
            <c:txPr>
              <a:bodyPr/>
              <a:lstStyle/>
              <a:p>
                <a:pPr>
                  <a:defRPr b="1">
                    <a:solidFill>
                      <a:srgbClr val="C00000"/>
                    </a:solidFill>
                  </a:defRPr>
                </a:pPr>
                <a:endParaRPr lang="en-US"/>
              </a:p>
            </c:txPr>
            <c:showLegendKey val="0"/>
            <c:showVal val="0"/>
            <c:showCatName val="0"/>
            <c:showSerName val="0"/>
            <c:showPercent val="0"/>
            <c:showBubbleSize val="0"/>
          </c:dLbls>
          <c:cat>
            <c:multiLvlStrRef>
              <c:f>'Data for Panel Chart 3'!$A$6:$B$17</c:f>
              <c:multiLvlStrCache>
                <c:ptCount val="12"/>
                <c:lvl>
                  <c:pt idx="0">
                    <c:v>FY12 (n=174)</c:v>
                  </c:pt>
                  <c:pt idx="1">
                    <c:v>FY13 (n=212)</c:v>
                  </c:pt>
                  <c:pt idx="2">
                    <c:v>FY14 (n=180)</c:v>
                  </c:pt>
                  <c:pt idx="3">
                    <c:v>FY12 (n=205)</c:v>
                  </c:pt>
                  <c:pt idx="4">
                    <c:v>FY13 (n=188)</c:v>
                  </c:pt>
                  <c:pt idx="5">
                    <c:v>FY14 (n=230)</c:v>
                  </c:pt>
                  <c:pt idx="6">
                    <c:v>FY12  (n=21) </c:v>
                  </c:pt>
                  <c:pt idx="7">
                    <c:v>FY13  (n=23) </c:v>
                  </c:pt>
                  <c:pt idx="8">
                    <c:v>FY14  (n=23) </c:v>
                  </c:pt>
                  <c:pt idx="9">
                    <c:v>FY12 (n=400)</c:v>
                  </c:pt>
                  <c:pt idx="10">
                    <c:v>FY13 (n=423)</c:v>
                  </c:pt>
                  <c:pt idx="11">
                    <c:v>FY14 (n=433)</c:v>
                  </c:pt>
                </c:lvl>
                <c:lvl>
                  <c:pt idx="0">
                    <c:v>Civil</c:v>
                  </c:pt>
                  <c:pt idx="3">
                    <c:v>Pre-trial</c:v>
                  </c:pt>
                  <c:pt idx="6">
                    <c:v>Post-trial</c:v>
                  </c:pt>
                  <c:pt idx="9">
                    <c:v>Total</c:v>
                  </c:pt>
                </c:lvl>
              </c:multiLvlStrCache>
            </c:multiLvlStrRef>
          </c:cat>
          <c:val>
            <c:numRef>
              <c:f>'Data for Panel Chart 3'!$D$6:$D$17</c:f>
              <c:numCache>
                <c:formatCode>0%</c:formatCode>
                <c:ptCount val="12"/>
                <c:pt idx="0">
                  <c:v>0.68390804597701149</c:v>
                </c:pt>
                <c:pt idx="1">
                  <c:v>0.69811320754716988</c:v>
                </c:pt>
                <c:pt idx="2">
                  <c:v>0.54444444444444451</c:v>
                </c:pt>
                <c:pt idx="6">
                  <c:v>0.23809523809523808</c:v>
                </c:pt>
                <c:pt idx="7">
                  <c:v>8.6956521739130432E-2</c:v>
                </c:pt>
                <c:pt idx="8">
                  <c:v>8.6956521739130432E-2</c:v>
                </c:pt>
              </c:numCache>
            </c:numRef>
          </c:val>
          <c:smooth val="1"/>
        </c:ser>
        <c:ser>
          <c:idx val="4"/>
          <c:order val="2"/>
          <c:tx>
            <c:strRef>
              <c:f>'Data for Panel Chart 3'!$G$5</c:f>
              <c:strCache>
                <c:ptCount val="1"/>
                <c:pt idx="0">
                  <c:v>&lt;=30 days</c:v>
                </c:pt>
              </c:strCache>
            </c:strRef>
          </c:tx>
          <c:spPr>
            <a:ln w="50800" cmpd="tri">
              <a:solidFill>
                <a:srgbClr val="008000"/>
              </a:solidFill>
              <a:prstDash val="solid"/>
            </a:ln>
          </c:spPr>
          <c:marker>
            <c:symbol val="none"/>
          </c:marker>
          <c:dLbls>
            <c:dLbl>
              <c:idx val="0"/>
              <c:showLegendKey val="0"/>
              <c:showVal val="1"/>
              <c:showCatName val="0"/>
              <c:showSerName val="0"/>
              <c:showPercent val="0"/>
              <c:showBubbleSize val="0"/>
            </c:dLbl>
            <c:dLbl>
              <c:idx val="5"/>
              <c:layout>
                <c:manualLayout>
                  <c:x val="-3.6179362135115328E-2"/>
                  <c:y val="2.3509742247366534E-2"/>
                </c:manualLayout>
              </c:layout>
              <c:showLegendKey val="0"/>
              <c:showVal val="1"/>
              <c:showCatName val="0"/>
              <c:showSerName val="0"/>
              <c:showPercent val="0"/>
              <c:showBubbleSize val="0"/>
            </c:dLbl>
            <c:dLbl>
              <c:idx val="10"/>
              <c:layout>
                <c:manualLayout>
                  <c:x val="-3.3149371467035491E-2"/>
                  <c:y val="-2.8311966662579638E-2"/>
                </c:manualLayout>
              </c:layout>
              <c:showLegendKey val="0"/>
              <c:showVal val="1"/>
              <c:showCatName val="0"/>
              <c:showSerName val="0"/>
              <c:showPercent val="0"/>
              <c:showBubbleSize val="0"/>
            </c:dLbl>
            <c:dLbl>
              <c:idx val="11"/>
              <c:layout>
                <c:manualLayout>
                  <c:x val="-3.8998284340822455E-2"/>
                  <c:y val="2.7084080977813431E-2"/>
                </c:manualLayout>
              </c:layout>
              <c:showLegendKey val="0"/>
              <c:showVal val="1"/>
              <c:showCatName val="0"/>
              <c:showSerName val="0"/>
              <c:showPercent val="0"/>
              <c:showBubbleSize val="0"/>
            </c:dLbl>
            <c:txPr>
              <a:bodyPr/>
              <a:lstStyle/>
              <a:p>
                <a:pPr>
                  <a:defRPr b="1">
                    <a:solidFill>
                      <a:srgbClr val="006600"/>
                    </a:solidFill>
                  </a:defRPr>
                </a:pPr>
                <a:endParaRPr lang="en-US"/>
              </a:p>
            </c:txPr>
            <c:showLegendKey val="0"/>
            <c:showVal val="0"/>
            <c:showCatName val="0"/>
            <c:showSerName val="0"/>
            <c:showPercent val="0"/>
            <c:showBubbleSize val="0"/>
          </c:dLbls>
          <c:cat>
            <c:multiLvlStrRef>
              <c:f>'Data for Panel Chart 3'!$A$6:$B$17</c:f>
              <c:multiLvlStrCache>
                <c:ptCount val="12"/>
                <c:lvl>
                  <c:pt idx="0">
                    <c:v>FY12 (n=174)</c:v>
                  </c:pt>
                  <c:pt idx="1">
                    <c:v>FY13 (n=212)</c:v>
                  </c:pt>
                  <c:pt idx="2">
                    <c:v>FY14 (n=180)</c:v>
                  </c:pt>
                  <c:pt idx="3">
                    <c:v>FY12 (n=205)</c:v>
                  </c:pt>
                  <c:pt idx="4">
                    <c:v>FY13 (n=188)</c:v>
                  </c:pt>
                  <c:pt idx="5">
                    <c:v>FY14 (n=230)</c:v>
                  </c:pt>
                  <c:pt idx="6">
                    <c:v>FY12  (n=21) </c:v>
                  </c:pt>
                  <c:pt idx="7">
                    <c:v>FY13  (n=23) </c:v>
                  </c:pt>
                  <c:pt idx="8">
                    <c:v>FY14  (n=23) </c:v>
                  </c:pt>
                  <c:pt idx="9">
                    <c:v>FY12 (n=400)</c:v>
                  </c:pt>
                  <c:pt idx="10">
                    <c:v>FY13 (n=423)</c:v>
                  </c:pt>
                  <c:pt idx="11">
                    <c:v>FY14 (n=433)</c:v>
                  </c:pt>
                </c:lvl>
                <c:lvl>
                  <c:pt idx="0">
                    <c:v>Civil</c:v>
                  </c:pt>
                  <c:pt idx="3">
                    <c:v>Pre-trial</c:v>
                  </c:pt>
                  <c:pt idx="6">
                    <c:v>Post-trial</c:v>
                  </c:pt>
                  <c:pt idx="9">
                    <c:v>Total</c:v>
                  </c:pt>
                </c:lvl>
              </c:multiLvlStrCache>
            </c:multiLvlStrRef>
          </c:cat>
          <c:val>
            <c:numRef>
              <c:f>'Data for Panel Chart 3'!$G$6:$G$17</c:f>
              <c:numCache>
                <c:formatCode>General</c:formatCode>
                <c:ptCount val="12"/>
                <c:pt idx="3" formatCode="0%">
                  <c:v>8.2926829268292687E-2</c:v>
                </c:pt>
                <c:pt idx="4" formatCode="0%">
                  <c:v>0.13297872340425532</c:v>
                </c:pt>
                <c:pt idx="5" formatCode="0%">
                  <c:v>0.11739130434782609</c:v>
                </c:pt>
                <c:pt idx="9" formatCode="0%">
                  <c:v>0.23749999999999999</c:v>
                </c:pt>
                <c:pt idx="10" formatCode="0%">
                  <c:v>0.2860520094562648</c:v>
                </c:pt>
                <c:pt idx="11" formatCode="0%">
                  <c:v>0.19399538106235567</c:v>
                </c:pt>
              </c:numCache>
            </c:numRef>
          </c:val>
          <c:smooth val="1"/>
        </c:ser>
        <c:ser>
          <c:idx val="0"/>
          <c:order val="3"/>
          <c:tx>
            <c:strRef>
              <c:f>'Data for Panel Chart 3'!$C$5</c:f>
              <c:strCache>
                <c:ptCount val="1"/>
                <c:pt idx="0">
                  <c:v>&lt;=30 days</c:v>
                </c:pt>
              </c:strCache>
            </c:strRef>
          </c:tx>
          <c:spPr>
            <a:ln w="50800" cmpd="tri">
              <a:solidFill>
                <a:srgbClr val="008000"/>
              </a:solidFill>
              <a:prstDash val="solid"/>
            </a:ln>
          </c:spPr>
          <c:marker>
            <c:symbol val="none"/>
          </c:marker>
          <c:dLbls>
            <c:dLbl>
              <c:idx val="2"/>
              <c:layout>
                <c:manualLayout>
                  <c:x val="-3.067795152750992E-2"/>
                  <c:y val="2.3509460781209319E-2"/>
                </c:manualLayout>
              </c:layout>
              <c:showLegendKey val="0"/>
              <c:showVal val="1"/>
              <c:showCatName val="0"/>
              <c:showSerName val="0"/>
              <c:showPercent val="0"/>
              <c:showBubbleSize val="0"/>
            </c:dLbl>
            <c:dLbl>
              <c:idx val="8"/>
              <c:layout>
                <c:manualLayout>
                  <c:x val="-1.1548228858288113E-2"/>
                  <c:y val="1.0075644029750972E-2"/>
                </c:manualLayout>
              </c:layout>
              <c:showLegendKey val="0"/>
              <c:showVal val="1"/>
              <c:showCatName val="0"/>
              <c:showSerName val="0"/>
              <c:showPercent val="0"/>
              <c:showBubbleSize val="0"/>
            </c:dLbl>
            <c:txPr>
              <a:bodyPr/>
              <a:lstStyle/>
              <a:p>
                <a:pPr>
                  <a:defRPr b="1">
                    <a:solidFill>
                      <a:srgbClr val="006600"/>
                    </a:solidFill>
                  </a:defRPr>
                </a:pPr>
                <a:endParaRPr lang="en-US"/>
              </a:p>
            </c:txPr>
            <c:showLegendKey val="0"/>
            <c:showVal val="0"/>
            <c:showCatName val="0"/>
            <c:showSerName val="0"/>
            <c:showPercent val="0"/>
            <c:showBubbleSize val="0"/>
          </c:dLbls>
          <c:cat>
            <c:multiLvlStrRef>
              <c:f>'Data for Panel Chart 3'!$A$6:$B$17</c:f>
              <c:multiLvlStrCache>
                <c:ptCount val="12"/>
                <c:lvl>
                  <c:pt idx="0">
                    <c:v>FY12 (n=174)</c:v>
                  </c:pt>
                  <c:pt idx="1">
                    <c:v>FY13 (n=212)</c:v>
                  </c:pt>
                  <c:pt idx="2">
                    <c:v>FY14 (n=180)</c:v>
                  </c:pt>
                  <c:pt idx="3">
                    <c:v>FY12 (n=205)</c:v>
                  </c:pt>
                  <c:pt idx="4">
                    <c:v>FY13 (n=188)</c:v>
                  </c:pt>
                  <c:pt idx="5">
                    <c:v>FY14 (n=230)</c:v>
                  </c:pt>
                  <c:pt idx="6">
                    <c:v>FY12  (n=21) </c:v>
                  </c:pt>
                  <c:pt idx="7">
                    <c:v>FY13  (n=23) </c:v>
                  </c:pt>
                  <c:pt idx="8">
                    <c:v>FY14  (n=23) </c:v>
                  </c:pt>
                  <c:pt idx="9">
                    <c:v>FY12 (n=400)</c:v>
                  </c:pt>
                  <c:pt idx="10">
                    <c:v>FY13 (n=423)</c:v>
                  </c:pt>
                  <c:pt idx="11">
                    <c:v>FY14 (n=433)</c:v>
                  </c:pt>
                </c:lvl>
                <c:lvl>
                  <c:pt idx="0">
                    <c:v>Civil</c:v>
                  </c:pt>
                  <c:pt idx="3">
                    <c:v>Pre-trial</c:v>
                  </c:pt>
                  <c:pt idx="6">
                    <c:v>Post-trial</c:v>
                  </c:pt>
                  <c:pt idx="9">
                    <c:v>Total</c:v>
                  </c:pt>
                </c:lvl>
              </c:multiLvlStrCache>
            </c:multiLvlStrRef>
          </c:cat>
          <c:val>
            <c:numRef>
              <c:f>'Data for Panel Chart 3'!$C$6:$C$17</c:f>
              <c:numCache>
                <c:formatCode>0%</c:formatCode>
                <c:ptCount val="12"/>
                <c:pt idx="0">
                  <c:v>0.43103448275862066</c:v>
                </c:pt>
                <c:pt idx="1">
                  <c:v>0.44811320754716982</c:v>
                </c:pt>
                <c:pt idx="2">
                  <c:v>0.31111111111111112</c:v>
                </c:pt>
                <c:pt idx="6">
                  <c:v>0.14285714285714285</c:v>
                </c:pt>
                <c:pt idx="7">
                  <c:v>4.3478260869565216E-2</c:v>
                </c:pt>
                <c:pt idx="8">
                  <c:v>4.3478260869565216E-2</c:v>
                </c:pt>
              </c:numCache>
            </c:numRef>
          </c:val>
          <c:smooth val="1"/>
        </c:ser>
        <c:ser>
          <c:idx val="5"/>
          <c:order val="4"/>
          <c:tx>
            <c:strRef>
              <c:f>'Data for Panel Chart 3'!$H$5</c:f>
              <c:strCache>
                <c:ptCount val="1"/>
                <c:pt idx="0">
                  <c:v>&lt;=60 days</c:v>
                </c:pt>
              </c:strCache>
            </c:strRef>
          </c:tx>
          <c:spPr>
            <a:ln w="38100" cmpd="dbl">
              <a:solidFill>
                <a:schemeClr val="accent2"/>
              </a:solidFill>
              <a:prstDash val="solid"/>
            </a:ln>
          </c:spPr>
          <c:marker>
            <c:symbol val="none"/>
          </c:marker>
          <c:dLbls>
            <c:dLbl>
              <c:idx val="0"/>
              <c:showLegendKey val="0"/>
              <c:showVal val="1"/>
              <c:showCatName val="0"/>
              <c:showSerName val="0"/>
              <c:showPercent val="0"/>
              <c:showBubbleSize val="0"/>
            </c:dLbl>
            <c:dLbl>
              <c:idx val="5"/>
              <c:layout>
                <c:manualLayout>
                  <c:x val="-2.9802842507401082E-2"/>
                  <c:y val="-1.6792552405480145E-2"/>
                </c:manualLayout>
              </c:layout>
              <c:showLegendKey val="0"/>
              <c:showVal val="1"/>
              <c:showCatName val="0"/>
              <c:showSerName val="0"/>
              <c:showPercent val="0"/>
              <c:showBubbleSize val="0"/>
            </c:dLbl>
            <c:dLbl>
              <c:idx val="10"/>
              <c:layout>
                <c:manualLayout>
                  <c:x val="-3.1199408439562815E-2"/>
                  <c:y val="-1.6178266664331222E-2"/>
                </c:manualLayout>
              </c:layout>
              <c:showLegendKey val="0"/>
              <c:showVal val="1"/>
              <c:showCatName val="0"/>
              <c:showSerName val="0"/>
              <c:showPercent val="0"/>
              <c:showBubbleSize val="0"/>
            </c:dLbl>
            <c:dLbl>
              <c:idx val="11"/>
              <c:layout>
                <c:manualLayout>
                  <c:x val="-2.9064003505022092E-2"/>
                  <c:y val="2.7084362443970642E-2"/>
                </c:manualLayout>
              </c:layout>
              <c:showLegendKey val="0"/>
              <c:showVal val="1"/>
              <c:showCatName val="0"/>
              <c:showSerName val="0"/>
              <c:showPercent val="0"/>
              <c:showBubbleSize val="0"/>
            </c:dLbl>
            <c:txPr>
              <a:bodyPr/>
              <a:lstStyle/>
              <a:p>
                <a:pPr>
                  <a:defRPr b="1">
                    <a:solidFill>
                      <a:srgbClr val="C00000"/>
                    </a:solidFill>
                  </a:defRPr>
                </a:pPr>
                <a:endParaRPr lang="en-US"/>
              </a:p>
            </c:txPr>
            <c:showLegendKey val="0"/>
            <c:showVal val="0"/>
            <c:showCatName val="0"/>
            <c:showSerName val="0"/>
            <c:showPercent val="0"/>
            <c:showBubbleSize val="0"/>
          </c:dLbls>
          <c:cat>
            <c:multiLvlStrRef>
              <c:f>'Data for Panel Chart 3'!$A$6:$B$17</c:f>
              <c:multiLvlStrCache>
                <c:ptCount val="12"/>
                <c:lvl>
                  <c:pt idx="0">
                    <c:v>FY12 (n=174)</c:v>
                  </c:pt>
                  <c:pt idx="1">
                    <c:v>FY13 (n=212)</c:v>
                  </c:pt>
                  <c:pt idx="2">
                    <c:v>FY14 (n=180)</c:v>
                  </c:pt>
                  <c:pt idx="3">
                    <c:v>FY12 (n=205)</c:v>
                  </c:pt>
                  <c:pt idx="4">
                    <c:v>FY13 (n=188)</c:v>
                  </c:pt>
                  <c:pt idx="5">
                    <c:v>FY14 (n=230)</c:v>
                  </c:pt>
                  <c:pt idx="6">
                    <c:v>FY12  (n=21) </c:v>
                  </c:pt>
                  <c:pt idx="7">
                    <c:v>FY13  (n=23) </c:v>
                  </c:pt>
                  <c:pt idx="8">
                    <c:v>FY14  (n=23) </c:v>
                  </c:pt>
                  <c:pt idx="9">
                    <c:v>FY12 (n=400)</c:v>
                  </c:pt>
                  <c:pt idx="10">
                    <c:v>FY13 (n=423)</c:v>
                  </c:pt>
                  <c:pt idx="11">
                    <c:v>FY14 (n=433)</c:v>
                  </c:pt>
                </c:lvl>
                <c:lvl>
                  <c:pt idx="0">
                    <c:v>Civil</c:v>
                  </c:pt>
                  <c:pt idx="3">
                    <c:v>Pre-trial</c:v>
                  </c:pt>
                  <c:pt idx="6">
                    <c:v>Post-trial</c:v>
                  </c:pt>
                  <c:pt idx="9">
                    <c:v>Total</c:v>
                  </c:pt>
                </c:lvl>
              </c:multiLvlStrCache>
            </c:multiLvlStrRef>
          </c:cat>
          <c:val>
            <c:numRef>
              <c:f>'Data for Panel Chart 3'!$H$6:$H$17</c:f>
              <c:numCache>
                <c:formatCode>General</c:formatCode>
                <c:ptCount val="12"/>
                <c:pt idx="3" formatCode="0%">
                  <c:v>0.3609756097560976</c:v>
                </c:pt>
                <c:pt idx="4" formatCode="0%">
                  <c:v>0.45744680851063829</c:v>
                </c:pt>
                <c:pt idx="5" formatCode="0%">
                  <c:v>0.49565217391304345</c:v>
                </c:pt>
                <c:pt idx="9" formatCode="0%">
                  <c:v>0.495</c:v>
                </c:pt>
                <c:pt idx="10" formatCode="0%">
                  <c:v>0.55791962174940901</c:v>
                </c:pt>
                <c:pt idx="11" formatCode="0%">
                  <c:v>0.49422632794457277</c:v>
                </c:pt>
              </c:numCache>
            </c:numRef>
          </c:val>
          <c:smooth val="1"/>
        </c:ser>
        <c:ser>
          <c:idx val="6"/>
          <c:order val="5"/>
          <c:tx>
            <c:strRef>
              <c:f>'Data for Panel Chart 3'!$I$5</c:f>
              <c:strCache>
                <c:ptCount val="1"/>
                <c:pt idx="0">
                  <c:v>&lt;=90 days</c:v>
                </c:pt>
              </c:strCache>
            </c:strRef>
          </c:tx>
          <c:spPr>
            <a:ln w="34925">
              <a:solidFill>
                <a:srgbClr val="000080"/>
              </a:solidFill>
              <a:prstDash val="solid"/>
            </a:ln>
          </c:spPr>
          <c:marker>
            <c:symbol val="none"/>
          </c:marker>
          <c:dLbls>
            <c:dLbl>
              <c:idx val="0"/>
              <c:showLegendKey val="0"/>
              <c:showVal val="1"/>
              <c:showCatName val="0"/>
              <c:showSerName val="0"/>
              <c:showPercent val="0"/>
              <c:showBubbleSize val="0"/>
            </c:dLbl>
            <c:dLbl>
              <c:idx val="5"/>
              <c:layout>
                <c:manualLayout>
                  <c:x val="-2.7120190319423802E-2"/>
                  <c:y val="-1.679283387163736E-2"/>
                </c:manualLayout>
              </c:layout>
              <c:showLegendKey val="0"/>
              <c:showVal val="1"/>
              <c:showCatName val="0"/>
              <c:showSerName val="0"/>
              <c:showPercent val="0"/>
              <c:showBubbleSize val="0"/>
            </c:dLbl>
            <c:dLbl>
              <c:idx val="10"/>
              <c:layout>
                <c:manualLayout>
                  <c:x val="-2.7299482384617463E-2"/>
                  <c:y val="-1.6178266664331222E-2"/>
                </c:manualLayout>
              </c:layout>
              <c:showLegendKey val="0"/>
              <c:showVal val="1"/>
              <c:showCatName val="0"/>
              <c:showSerName val="0"/>
              <c:showPercent val="0"/>
              <c:showBubbleSize val="0"/>
            </c:dLbl>
            <c:dLbl>
              <c:idx val="11"/>
              <c:layout>
                <c:manualLayout>
                  <c:x val="-3.4838117934166184E-2"/>
                  <c:y val="2.6868196435231119E-2"/>
                </c:manualLayout>
              </c:layout>
              <c:showLegendKey val="0"/>
              <c:showVal val="1"/>
              <c:showCatName val="0"/>
              <c:showSerName val="0"/>
              <c:showPercent val="0"/>
              <c:showBubbleSize val="0"/>
            </c:dLbl>
            <c:txPr>
              <a:bodyPr/>
              <a:lstStyle/>
              <a:p>
                <a:pPr>
                  <a:defRPr b="1">
                    <a:solidFill>
                      <a:schemeClr val="tx2"/>
                    </a:solidFill>
                  </a:defRPr>
                </a:pPr>
                <a:endParaRPr lang="en-US"/>
              </a:p>
            </c:txPr>
            <c:showLegendKey val="0"/>
            <c:showVal val="0"/>
            <c:showCatName val="0"/>
            <c:showSerName val="0"/>
            <c:showPercent val="0"/>
            <c:showBubbleSize val="0"/>
          </c:dLbls>
          <c:cat>
            <c:multiLvlStrRef>
              <c:f>'Data for Panel Chart 3'!$A$6:$B$17</c:f>
              <c:multiLvlStrCache>
                <c:ptCount val="12"/>
                <c:lvl>
                  <c:pt idx="0">
                    <c:v>FY12 (n=174)</c:v>
                  </c:pt>
                  <c:pt idx="1">
                    <c:v>FY13 (n=212)</c:v>
                  </c:pt>
                  <c:pt idx="2">
                    <c:v>FY14 (n=180)</c:v>
                  </c:pt>
                  <c:pt idx="3">
                    <c:v>FY12 (n=205)</c:v>
                  </c:pt>
                  <c:pt idx="4">
                    <c:v>FY13 (n=188)</c:v>
                  </c:pt>
                  <c:pt idx="5">
                    <c:v>FY14 (n=230)</c:v>
                  </c:pt>
                  <c:pt idx="6">
                    <c:v>FY12  (n=21) </c:v>
                  </c:pt>
                  <c:pt idx="7">
                    <c:v>FY13  (n=23) </c:v>
                  </c:pt>
                  <c:pt idx="8">
                    <c:v>FY14  (n=23) </c:v>
                  </c:pt>
                  <c:pt idx="9">
                    <c:v>FY12 (n=400)</c:v>
                  </c:pt>
                  <c:pt idx="10">
                    <c:v>FY13 (n=423)</c:v>
                  </c:pt>
                  <c:pt idx="11">
                    <c:v>FY14 (n=433)</c:v>
                  </c:pt>
                </c:lvl>
                <c:lvl>
                  <c:pt idx="0">
                    <c:v>Civil</c:v>
                  </c:pt>
                  <c:pt idx="3">
                    <c:v>Pre-trial</c:v>
                  </c:pt>
                  <c:pt idx="6">
                    <c:v>Post-trial</c:v>
                  </c:pt>
                  <c:pt idx="9">
                    <c:v>Total</c:v>
                  </c:pt>
                </c:lvl>
              </c:multiLvlStrCache>
            </c:multiLvlStrRef>
          </c:cat>
          <c:val>
            <c:numRef>
              <c:f>'Data for Panel Chart 3'!$I$6:$I$17</c:f>
              <c:numCache>
                <c:formatCode>General</c:formatCode>
                <c:ptCount val="12"/>
                <c:pt idx="3" formatCode="0%">
                  <c:v>0.57073170731707312</c:v>
                </c:pt>
                <c:pt idx="4" formatCode="0%">
                  <c:v>0.66489361702127658</c:v>
                </c:pt>
                <c:pt idx="5" formatCode="0%">
                  <c:v>0.69130434782608696</c:v>
                </c:pt>
                <c:pt idx="9" formatCode="0%">
                  <c:v>0.64500000000000002</c:v>
                </c:pt>
                <c:pt idx="10" formatCode="0%">
                  <c:v>0.69976359338061467</c:v>
                </c:pt>
                <c:pt idx="11" formatCode="0%">
                  <c:v>0.66050808314087761</c:v>
                </c:pt>
              </c:numCache>
            </c:numRef>
          </c:val>
          <c:smooth val="1"/>
        </c:ser>
        <c:dLbls>
          <c:showLegendKey val="0"/>
          <c:showVal val="0"/>
          <c:showCatName val="0"/>
          <c:showSerName val="0"/>
          <c:showPercent val="0"/>
          <c:showBubbleSize val="0"/>
        </c:dLbls>
        <c:marker val="1"/>
        <c:smooth val="0"/>
        <c:axId val="261568000"/>
        <c:axId val="285612800"/>
      </c:lineChart>
      <c:scatterChart>
        <c:scatterStyle val="lineMarker"/>
        <c:varyColors val="0"/>
        <c:ser>
          <c:idx val="8"/>
          <c:order val="6"/>
          <c:tx>
            <c:strRef>
              <c:f>'Data for Panel Chart 3'!$M$5</c:f>
              <c:strCache>
                <c:ptCount val="1"/>
                <c:pt idx="0">
                  <c:v>Grid Lines</c:v>
                </c:pt>
              </c:strCache>
            </c:strRef>
          </c:tx>
          <c:spPr>
            <a:ln w="28575">
              <a:noFill/>
            </a:ln>
          </c:spPr>
          <c:marker>
            <c:symbol val="none"/>
          </c:marker>
          <c:errBars>
            <c:errDir val="y"/>
            <c:errBarType val="plus"/>
            <c:errValType val="fixedVal"/>
            <c:noEndCap val="1"/>
            <c:val val="1"/>
          </c:errBars>
          <c:xVal>
            <c:numRef>
              <c:f>'Data for Panel Chart 3'!$L$6:$L$8</c:f>
              <c:numCache>
                <c:formatCode>General</c:formatCode>
                <c:ptCount val="3"/>
                <c:pt idx="0">
                  <c:v>3</c:v>
                </c:pt>
                <c:pt idx="1">
                  <c:v>6</c:v>
                </c:pt>
                <c:pt idx="2">
                  <c:v>9</c:v>
                </c:pt>
              </c:numCache>
            </c:numRef>
          </c:xVal>
          <c:yVal>
            <c:numRef>
              <c:f>'Data for Panel Chart 3'!$M$6:$M$8</c:f>
              <c:numCache>
                <c:formatCode>General</c:formatCode>
                <c:ptCount val="3"/>
                <c:pt idx="0">
                  <c:v>0</c:v>
                </c:pt>
                <c:pt idx="1">
                  <c:v>0</c:v>
                </c:pt>
                <c:pt idx="2">
                  <c:v>0</c:v>
                </c:pt>
              </c:numCache>
            </c:numRef>
          </c:yVal>
          <c:smooth val="0"/>
        </c:ser>
        <c:ser>
          <c:idx val="9"/>
          <c:order val="7"/>
          <c:tx>
            <c:strRef>
              <c:f>'Data for Panel Chart 3'!$O$15</c:f>
              <c:strCache>
                <c:ptCount val="1"/>
                <c:pt idx="0">
                  <c:v>Civil</c:v>
                </c:pt>
              </c:strCache>
            </c:strRef>
          </c:tx>
          <c:spPr>
            <a:ln w="28575">
              <a:noFill/>
            </a:ln>
          </c:spPr>
          <c:marker>
            <c:symbol val="none"/>
          </c:marker>
          <c:dLbls>
            <c:txPr>
              <a:bodyPr rot="0" vert="horz"/>
              <a:lstStyle/>
              <a:p>
                <a:pPr algn="ctr">
                  <a:defRPr b="1"/>
                </a:pPr>
                <a:endParaRPr lang="en-US"/>
              </a:p>
            </c:txPr>
            <c:dLblPos val="t"/>
            <c:showLegendKey val="0"/>
            <c:showVal val="0"/>
            <c:showCatName val="0"/>
            <c:showSerName val="1"/>
            <c:showPercent val="0"/>
            <c:showBubbleSize val="0"/>
            <c:showLeaderLines val="0"/>
          </c:dLbls>
          <c:xVal>
            <c:numRef>
              <c:f>'Data for Panel Chart 3'!$L$11</c:f>
              <c:numCache>
                <c:formatCode>General</c:formatCode>
                <c:ptCount val="1"/>
                <c:pt idx="0">
                  <c:v>1.5</c:v>
                </c:pt>
              </c:numCache>
            </c:numRef>
          </c:xVal>
          <c:yVal>
            <c:numRef>
              <c:f>'Data for Panel Chart 3'!$M$11</c:f>
              <c:numCache>
                <c:formatCode>General</c:formatCode>
                <c:ptCount val="1"/>
                <c:pt idx="0">
                  <c:v>1</c:v>
                </c:pt>
              </c:numCache>
            </c:numRef>
          </c:yVal>
          <c:smooth val="0"/>
        </c:ser>
        <c:ser>
          <c:idx val="10"/>
          <c:order val="8"/>
          <c:tx>
            <c:strRef>
              <c:f>'Data for Panel Chart 3'!$O$16</c:f>
              <c:strCache>
                <c:ptCount val="1"/>
                <c:pt idx="0">
                  <c:v>Pre-trial</c:v>
                </c:pt>
              </c:strCache>
            </c:strRef>
          </c:tx>
          <c:spPr>
            <a:ln w="28575">
              <a:noFill/>
            </a:ln>
          </c:spPr>
          <c:marker>
            <c:symbol val="none"/>
          </c:marker>
          <c:dLbls>
            <c:txPr>
              <a:bodyPr rot="0" vert="horz"/>
              <a:lstStyle/>
              <a:p>
                <a:pPr algn="ctr">
                  <a:defRPr b="1"/>
                </a:pPr>
                <a:endParaRPr lang="en-US"/>
              </a:p>
            </c:txPr>
            <c:dLblPos val="t"/>
            <c:showLegendKey val="0"/>
            <c:showVal val="0"/>
            <c:showCatName val="0"/>
            <c:showSerName val="1"/>
            <c:showPercent val="0"/>
            <c:showBubbleSize val="0"/>
            <c:showLeaderLines val="0"/>
          </c:dLbls>
          <c:xVal>
            <c:numRef>
              <c:f>'Data for Panel Chart 3'!$L$12</c:f>
              <c:numCache>
                <c:formatCode>General</c:formatCode>
                <c:ptCount val="1"/>
                <c:pt idx="0">
                  <c:v>4.5</c:v>
                </c:pt>
              </c:numCache>
            </c:numRef>
          </c:xVal>
          <c:yVal>
            <c:numRef>
              <c:f>'Data for Panel Chart 3'!$M$12</c:f>
              <c:numCache>
                <c:formatCode>General</c:formatCode>
                <c:ptCount val="1"/>
                <c:pt idx="0">
                  <c:v>1</c:v>
                </c:pt>
              </c:numCache>
            </c:numRef>
          </c:yVal>
          <c:smooth val="0"/>
        </c:ser>
        <c:ser>
          <c:idx val="11"/>
          <c:order val="9"/>
          <c:tx>
            <c:strRef>
              <c:f>'Data for Panel Chart 3'!$O$17</c:f>
              <c:strCache>
                <c:ptCount val="1"/>
                <c:pt idx="0">
                  <c:v>Post-trial</c:v>
                </c:pt>
              </c:strCache>
            </c:strRef>
          </c:tx>
          <c:spPr>
            <a:ln w="28575">
              <a:noFill/>
            </a:ln>
          </c:spPr>
          <c:marker>
            <c:symbol val="none"/>
          </c:marker>
          <c:dLbls>
            <c:txPr>
              <a:bodyPr rot="0" vert="horz"/>
              <a:lstStyle/>
              <a:p>
                <a:pPr algn="ctr">
                  <a:defRPr b="1"/>
                </a:pPr>
                <a:endParaRPr lang="en-US"/>
              </a:p>
            </c:txPr>
            <c:dLblPos val="t"/>
            <c:showLegendKey val="0"/>
            <c:showVal val="0"/>
            <c:showCatName val="0"/>
            <c:showSerName val="1"/>
            <c:showPercent val="0"/>
            <c:showBubbleSize val="0"/>
            <c:showLeaderLines val="0"/>
          </c:dLbls>
          <c:xVal>
            <c:numRef>
              <c:f>'Data for Panel Chart 3'!$L$13</c:f>
              <c:numCache>
                <c:formatCode>General</c:formatCode>
                <c:ptCount val="1"/>
                <c:pt idx="0">
                  <c:v>7.5</c:v>
                </c:pt>
              </c:numCache>
            </c:numRef>
          </c:xVal>
          <c:yVal>
            <c:numRef>
              <c:f>'Data for Panel Chart 3'!$M$13</c:f>
              <c:numCache>
                <c:formatCode>General</c:formatCode>
                <c:ptCount val="1"/>
                <c:pt idx="0">
                  <c:v>1</c:v>
                </c:pt>
              </c:numCache>
            </c:numRef>
          </c:yVal>
          <c:smooth val="0"/>
        </c:ser>
        <c:ser>
          <c:idx val="12"/>
          <c:order val="10"/>
          <c:tx>
            <c:strRef>
              <c:f>'Data for Panel Chart 3'!$O$18</c:f>
              <c:strCache>
                <c:ptCount val="1"/>
                <c:pt idx="0">
                  <c:v>Total</c:v>
                </c:pt>
              </c:strCache>
            </c:strRef>
          </c:tx>
          <c:spPr>
            <a:ln w="28575">
              <a:noFill/>
            </a:ln>
          </c:spPr>
          <c:marker>
            <c:symbol val="none"/>
          </c:marker>
          <c:dLbls>
            <c:txPr>
              <a:bodyPr rot="0" vert="horz"/>
              <a:lstStyle/>
              <a:p>
                <a:pPr algn="ctr">
                  <a:defRPr b="1"/>
                </a:pPr>
                <a:endParaRPr lang="en-US"/>
              </a:p>
            </c:txPr>
            <c:dLblPos val="t"/>
            <c:showLegendKey val="0"/>
            <c:showVal val="0"/>
            <c:showCatName val="0"/>
            <c:showSerName val="1"/>
            <c:showPercent val="0"/>
            <c:showBubbleSize val="0"/>
            <c:showLeaderLines val="0"/>
          </c:dLbls>
          <c:xVal>
            <c:numRef>
              <c:f>'Data for Panel Chart 3'!$L$14</c:f>
              <c:numCache>
                <c:formatCode>General</c:formatCode>
                <c:ptCount val="1"/>
                <c:pt idx="0">
                  <c:v>10.5</c:v>
                </c:pt>
              </c:numCache>
            </c:numRef>
          </c:xVal>
          <c:yVal>
            <c:numRef>
              <c:f>'Data for Panel Chart 3'!$M$14</c:f>
              <c:numCache>
                <c:formatCode>General</c:formatCode>
                <c:ptCount val="1"/>
                <c:pt idx="0">
                  <c:v>1</c:v>
                </c:pt>
              </c:numCache>
            </c:numRef>
          </c:yVal>
          <c:smooth val="0"/>
        </c:ser>
        <c:dLbls>
          <c:showLegendKey val="0"/>
          <c:showVal val="0"/>
          <c:showCatName val="0"/>
          <c:showSerName val="0"/>
          <c:showPercent val="0"/>
          <c:showBubbleSize val="0"/>
        </c:dLbls>
        <c:axId val="285630464"/>
        <c:axId val="285613376"/>
      </c:scatterChart>
      <c:catAx>
        <c:axId val="261568000"/>
        <c:scaling>
          <c:orientation val="minMax"/>
        </c:scaling>
        <c:delete val="0"/>
        <c:axPos val="b"/>
        <c:majorTickMark val="none"/>
        <c:minorTickMark val="none"/>
        <c:tickLblPos val="nextTo"/>
        <c:txPr>
          <a:bodyPr rot="-5400000" vert="horz"/>
          <a:lstStyle/>
          <a:p>
            <a:pPr>
              <a:defRPr sz="1000" b="0"/>
            </a:pPr>
            <a:endParaRPr lang="en-US"/>
          </a:p>
        </c:txPr>
        <c:crossAx val="285612800"/>
        <c:crosses val="autoZero"/>
        <c:auto val="1"/>
        <c:lblAlgn val="ctr"/>
        <c:lblOffset val="100"/>
        <c:tickLblSkip val="1"/>
        <c:tickMarkSkip val="1"/>
        <c:noMultiLvlLbl val="0"/>
      </c:catAx>
      <c:valAx>
        <c:axId val="285612800"/>
        <c:scaling>
          <c:orientation val="minMax"/>
          <c:max val="0.8"/>
        </c:scaling>
        <c:delete val="0"/>
        <c:axPos val="l"/>
        <c:majorGridlines>
          <c:spPr>
            <a:ln>
              <a:solidFill>
                <a:schemeClr val="bg1">
                  <a:lumMod val="75000"/>
                </a:schemeClr>
              </a:solidFill>
            </a:ln>
          </c:spPr>
        </c:majorGridlines>
        <c:numFmt formatCode="0%" sourceLinked="1"/>
        <c:majorTickMark val="out"/>
        <c:minorTickMark val="none"/>
        <c:tickLblPos val="nextTo"/>
        <c:crossAx val="261568000"/>
        <c:crossesAt val="1"/>
        <c:crossBetween val="between"/>
      </c:valAx>
      <c:valAx>
        <c:axId val="285613376"/>
        <c:scaling>
          <c:orientation val="minMax"/>
          <c:max val="1"/>
          <c:min val="0"/>
        </c:scaling>
        <c:delete val="0"/>
        <c:axPos val="r"/>
        <c:numFmt formatCode="General" sourceLinked="1"/>
        <c:majorTickMark val="none"/>
        <c:minorTickMark val="none"/>
        <c:tickLblPos val="none"/>
        <c:crossAx val="285630464"/>
        <c:crosses val="max"/>
        <c:crossBetween val="midCat"/>
      </c:valAx>
      <c:valAx>
        <c:axId val="285630464"/>
        <c:scaling>
          <c:orientation val="minMax"/>
          <c:max val="12"/>
          <c:min val="0"/>
        </c:scaling>
        <c:delete val="0"/>
        <c:axPos val="t"/>
        <c:numFmt formatCode="General" sourceLinked="1"/>
        <c:majorTickMark val="none"/>
        <c:minorTickMark val="none"/>
        <c:tickLblPos val="none"/>
        <c:spPr>
          <a:ln w="9525">
            <a:noFill/>
          </a:ln>
        </c:spPr>
        <c:crossAx val="285613376"/>
        <c:crosses val="max"/>
        <c:crossBetween val="midCat"/>
      </c:valAx>
      <c:spPr>
        <a:noFill/>
      </c:spPr>
    </c:plotArea>
    <c:legend>
      <c:legendPos val="t"/>
      <c:legendEntry>
        <c:idx val="0"/>
        <c:txPr>
          <a:bodyPr/>
          <a:lstStyle/>
          <a:p>
            <a:pPr>
              <a:defRPr b="1">
                <a:solidFill>
                  <a:schemeClr val="tx2"/>
                </a:solidFill>
              </a:defRPr>
            </a:pPr>
            <a:endParaRPr lang="en-US"/>
          </a:p>
        </c:txPr>
      </c:legendEntry>
      <c:legendEntry>
        <c:idx val="1"/>
        <c:txPr>
          <a:bodyPr/>
          <a:lstStyle/>
          <a:p>
            <a:pPr>
              <a:defRPr b="1">
                <a:solidFill>
                  <a:srgbClr val="C00000"/>
                </a:solidFill>
              </a:defRPr>
            </a:pPr>
            <a:endParaRPr lang="en-US"/>
          </a:p>
        </c:txPr>
      </c:legendEntry>
      <c:legendEntry>
        <c:idx val="2"/>
        <c:delete val="1"/>
      </c:legendEntry>
      <c:legendEntry>
        <c:idx val="3"/>
        <c:txPr>
          <a:bodyPr/>
          <a:lstStyle/>
          <a:p>
            <a:pPr>
              <a:defRPr b="1">
                <a:solidFill>
                  <a:srgbClr val="006600"/>
                </a:solidFill>
              </a:defRPr>
            </a:pPr>
            <a:endParaRPr lang="en-US"/>
          </a:p>
        </c:txPr>
      </c:legendEntry>
      <c:legendEntry>
        <c:idx val="4"/>
        <c:delete val="1"/>
      </c:legendEntry>
      <c:legendEntry>
        <c:idx val="5"/>
        <c:delete val="1"/>
      </c:legendEntry>
      <c:legendEntry>
        <c:idx val="6"/>
        <c:delete val="1"/>
      </c:legendEntry>
      <c:legendEntry>
        <c:idx val="7"/>
        <c:delete val="1"/>
      </c:legendEntry>
      <c:legendEntry>
        <c:idx val="8"/>
        <c:delete val="1"/>
      </c:legendEntry>
      <c:legendEntry>
        <c:idx val="9"/>
        <c:delete val="1"/>
      </c:legendEntry>
      <c:legendEntry>
        <c:idx val="10"/>
        <c:delete val="1"/>
      </c:legendEntry>
      <c:layout>
        <c:manualLayout>
          <c:xMode val="edge"/>
          <c:yMode val="edge"/>
          <c:x val="0.83577481051997982"/>
          <c:y val="0.1855084334297355"/>
          <c:w val="0.14936880939804523"/>
          <c:h val="0.46828256387522604"/>
        </c:manualLayout>
      </c:layout>
      <c:overlay val="0"/>
      <c:spPr>
        <a:noFill/>
        <a:ln w="25400">
          <a:noFill/>
        </a:ln>
      </c:spPr>
      <c:txPr>
        <a:bodyPr/>
        <a:lstStyle/>
        <a:p>
          <a:pPr>
            <a:defRPr b="1"/>
          </a:pPr>
          <a:endParaRPr lang="en-US"/>
        </a:p>
      </c:txPr>
    </c:legend>
    <c:plotVisOnly val="1"/>
    <c:dispBlanksAs val="gap"/>
    <c:showDLblsOverMax val="0"/>
  </c:chart>
  <c:spPr>
    <a:ln>
      <a:noFill/>
    </a:ln>
  </c:spPr>
  <c:txPr>
    <a:bodyPr/>
    <a:lstStyle/>
    <a:p>
      <a:pPr>
        <a:defRPr sz="1100"/>
      </a:pPr>
      <a:endParaRPr lang="en-US"/>
    </a:p>
  </c:txPr>
  <c:externalData r:id="rId1">
    <c:autoUpdate val="0"/>
  </c:externalData>
  <c:userShapes r:id="rId2"/>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7789818042136358E-2"/>
          <c:y val="2.7741806369680336E-2"/>
          <c:w val="0.67684781623283596"/>
          <c:h val="0.86323063643890152"/>
        </c:manualLayout>
      </c:layout>
      <c:lineChart>
        <c:grouping val="standard"/>
        <c:varyColors val="0"/>
        <c:ser>
          <c:idx val="2"/>
          <c:order val="0"/>
          <c:tx>
            <c:strRef>
              <c:f>Summary!$A$14</c:f>
              <c:strCache>
                <c:ptCount val="1"/>
                <c:pt idx="0">
                  <c:v>180-Day Readmission</c:v>
                </c:pt>
              </c:strCache>
            </c:strRef>
          </c:tx>
          <c:spPr>
            <a:ln>
              <a:solidFill>
                <a:schemeClr val="accent3">
                  <a:lumMod val="50000"/>
                </a:schemeClr>
              </a:solidFill>
            </a:ln>
          </c:spPr>
          <c:marker>
            <c:symbol val="none"/>
          </c:marker>
          <c:dLbls>
            <c:dLbl>
              <c:idx val="4"/>
              <c:layout>
                <c:manualLayout>
                  <c:x val="-4.6692956541794811E-2"/>
                  <c:y val="-2.9454861515844897E-2"/>
                </c:manualLayout>
              </c:layout>
              <c:dLblPos val="r"/>
              <c:showLegendKey val="0"/>
              <c:showVal val="1"/>
              <c:showCatName val="0"/>
              <c:showSerName val="0"/>
              <c:showPercent val="0"/>
              <c:showBubbleSize val="0"/>
            </c:dLbl>
            <c:numFmt formatCode="0.0%" sourceLinked="0"/>
            <c:txPr>
              <a:bodyPr/>
              <a:lstStyle/>
              <a:p>
                <a:pPr>
                  <a:defRPr b="1">
                    <a:solidFill>
                      <a:schemeClr val="accent3">
                        <a:lumMod val="50000"/>
                      </a:schemeClr>
                    </a:solidFill>
                  </a:defRPr>
                </a:pPr>
                <a:endParaRPr lang="en-US"/>
              </a:p>
            </c:txPr>
            <c:dLblPos val="t"/>
            <c:showLegendKey val="0"/>
            <c:showVal val="1"/>
            <c:showCatName val="0"/>
            <c:showSerName val="0"/>
            <c:showPercent val="0"/>
            <c:showBubbleSize val="0"/>
            <c:showLeaderLines val="0"/>
          </c:dLbls>
          <c:cat>
            <c:strRef>
              <c:f>Summary!$C$1:$G$1</c:f>
              <c:strCache>
                <c:ptCount val="5"/>
                <c:pt idx="0">
                  <c:v>FY10</c:v>
                </c:pt>
                <c:pt idx="1">
                  <c:v>FY11</c:v>
                </c:pt>
                <c:pt idx="2">
                  <c:v>FY12</c:v>
                </c:pt>
                <c:pt idx="3">
                  <c:v>FY13</c:v>
                </c:pt>
                <c:pt idx="4">
                  <c:v>FY14</c:v>
                </c:pt>
              </c:strCache>
            </c:strRef>
          </c:cat>
          <c:val>
            <c:numRef>
              <c:f>Summary!$C$16:$G$16</c:f>
              <c:numCache>
                <c:formatCode>0.0%</c:formatCode>
                <c:ptCount val="5"/>
                <c:pt idx="0">
                  <c:v>0.22061855670103092</c:v>
                </c:pt>
                <c:pt idx="1">
                  <c:v>0.19594594594594594</c:v>
                </c:pt>
                <c:pt idx="2">
                  <c:v>0.20437956204379562</c:v>
                </c:pt>
                <c:pt idx="3">
                  <c:v>0.20279720279720279</c:v>
                </c:pt>
                <c:pt idx="4">
                  <c:v>0.17016317016317017</c:v>
                </c:pt>
              </c:numCache>
            </c:numRef>
          </c:val>
          <c:smooth val="1"/>
        </c:ser>
        <c:ser>
          <c:idx val="1"/>
          <c:order val="1"/>
          <c:tx>
            <c:strRef>
              <c:f>Summary!$A$9</c:f>
              <c:strCache>
                <c:ptCount val="1"/>
                <c:pt idx="0">
                  <c:v>90-Day Readmission</c:v>
                </c:pt>
              </c:strCache>
            </c:strRef>
          </c:tx>
          <c:marker>
            <c:symbol val="none"/>
          </c:marker>
          <c:dLbls>
            <c:dLbl>
              <c:idx val="4"/>
              <c:layout>
                <c:manualLayout>
                  <c:x val="-4.3937121437784839E-2"/>
                  <c:y val="-3.2834665827836493E-2"/>
                </c:manualLayout>
              </c:layout>
              <c:dLblPos val="r"/>
              <c:showLegendKey val="0"/>
              <c:showVal val="1"/>
              <c:showCatName val="0"/>
              <c:showSerName val="0"/>
              <c:showPercent val="0"/>
              <c:showBubbleSize val="0"/>
            </c:dLbl>
            <c:txPr>
              <a:bodyPr/>
              <a:lstStyle/>
              <a:p>
                <a:pPr>
                  <a:defRPr b="1">
                    <a:solidFill>
                      <a:srgbClr val="C00000"/>
                    </a:solidFill>
                  </a:defRPr>
                </a:pPr>
                <a:endParaRPr lang="en-US"/>
              </a:p>
            </c:txPr>
            <c:dLblPos val="t"/>
            <c:showLegendKey val="0"/>
            <c:showVal val="1"/>
            <c:showCatName val="0"/>
            <c:showSerName val="0"/>
            <c:showPercent val="0"/>
            <c:showBubbleSize val="0"/>
            <c:showLeaderLines val="0"/>
          </c:dLbls>
          <c:cat>
            <c:strRef>
              <c:f>Summary!$C$1:$G$1</c:f>
              <c:strCache>
                <c:ptCount val="5"/>
                <c:pt idx="0">
                  <c:v>FY10</c:v>
                </c:pt>
                <c:pt idx="1">
                  <c:v>FY11</c:v>
                </c:pt>
                <c:pt idx="2">
                  <c:v>FY12</c:v>
                </c:pt>
                <c:pt idx="3">
                  <c:v>FY13</c:v>
                </c:pt>
                <c:pt idx="4">
                  <c:v>FY14</c:v>
                </c:pt>
              </c:strCache>
            </c:strRef>
          </c:cat>
          <c:val>
            <c:numRef>
              <c:f>Summary!$C$11:$G$11</c:f>
              <c:numCache>
                <c:formatCode>0.0%</c:formatCode>
                <c:ptCount val="5"/>
                <c:pt idx="0">
                  <c:v>0.12989690721649486</c:v>
                </c:pt>
                <c:pt idx="1">
                  <c:v>0.11711711711711711</c:v>
                </c:pt>
                <c:pt idx="2">
                  <c:v>0.12895377128953772</c:v>
                </c:pt>
                <c:pt idx="3">
                  <c:v>0.13752913752913754</c:v>
                </c:pt>
                <c:pt idx="4">
                  <c:v>8.6247086247086241E-2</c:v>
                </c:pt>
              </c:numCache>
            </c:numRef>
          </c:val>
          <c:smooth val="1"/>
        </c:ser>
        <c:ser>
          <c:idx val="0"/>
          <c:order val="2"/>
          <c:tx>
            <c:strRef>
              <c:f>Summary!$A$4</c:f>
              <c:strCache>
                <c:ptCount val="1"/>
                <c:pt idx="0">
                  <c:v>30-Day Readmission</c:v>
                </c:pt>
              </c:strCache>
            </c:strRef>
          </c:tx>
          <c:marker>
            <c:symbol val="none"/>
          </c:marker>
          <c:dLbls>
            <c:txPr>
              <a:bodyPr/>
              <a:lstStyle/>
              <a:p>
                <a:pPr>
                  <a:defRPr b="1">
                    <a:solidFill>
                      <a:schemeClr val="tx2"/>
                    </a:solidFill>
                  </a:defRPr>
                </a:pPr>
                <a:endParaRPr lang="en-US"/>
              </a:p>
            </c:txPr>
            <c:dLblPos val="t"/>
            <c:showLegendKey val="0"/>
            <c:showVal val="1"/>
            <c:showCatName val="0"/>
            <c:showSerName val="0"/>
            <c:showPercent val="0"/>
            <c:showBubbleSize val="0"/>
            <c:showLeaderLines val="0"/>
          </c:dLbls>
          <c:cat>
            <c:strRef>
              <c:f>Summary!$C$1:$G$1</c:f>
              <c:strCache>
                <c:ptCount val="5"/>
                <c:pt idx="0">
                  <c:v>FY10</c:v>
                </c:pt>
                <c:pt idx="1">
                  <c:v>FY11</c:v>
                </c:pt>
                <c:pt idx="2">
                  <c:v>FY12</c:v>
                </c:pt>
                <c:pt idx="3">
                  <c:v>FY13</c:v>
                </c:pt>
                <c:pt idx="4">
                  <c:v>FY14</c:v>
                </c:pt>
              </c:strCache>
            </c:strRef>
          </c:cat>
          <c:val>
            <c:numRef>
              <c:f>Summary!$C$6:$G$6</c:f>
              <c:numCache>
                <c:formatCode>0.0%</c:formatCode>
                <c:ptCount val="5"/>
                <c:pt idx="0">
                  <c:v>6.8041237113402056E-2</c:v>
                </c:pt>
                <c:pt idx="1">
                  <c:v>5.18018018018018E-2</c:v>
                </c:pt>
                <c:pt idx="2">
                  <c:v>5.3527980535279802E-2</c:v>
                </c:pt>
                <c:pt idx="3">
                  <c:v>5.5944055944055944E-2</c:v>
                </c:pt>
                <c:pt idx="4">
                  <c:v>2.3310023310023312E-2</c:v>
                </c:pt>
              </c:numCache>
            </c:numRef>
          </c:val>
          <c:smooth val="1"/>
        </c:ser>
        <c:dLbls>
          <c:showLegendKey val="0"/>
          <c:showVal val="0"/>
          <c:showCatName val="0"/>
          <c:showSerName val="0"/>
          <c:showPercent val="0"/>
          <c:showBubbleSize val="0"/>
        </c:dLbls>
        <c:marker val="1"/>
        <c:smooth val="0"/>
        <c:axId val="262094336"/>
        <c:axId val="285504000"/>
      </c:lineChart>
      <c:catAx>
        <c:axId val="262094336"/>
        <c:scaling>
          <c:orientation val="minMax"/>
        </c:scaling>
        <c:delete val="0"/>
        <c:axPos val="b"/>
        <c:majorTickMark val="out"/>
        <c:minorTickMark val="none"/>
        <c:tickLblPos val="nextTo"/>
        <c:txPr>
          <a:bodyPr/>
          <a:lstStyle/>
          <a:p>
            <a:pPr>
              <a:defRPr b="1"/>
            </a:pPr>
            <a:endParaRPr lang="en-US"/>
          </a:p>
        </c:txPr>
        <c:crossAx val="285504000"/>
        <c:crosses val="autoZero"/>
        <c:auto val="1"/>
        <c:lblAlgn val="ctr"/>
        <c:lblOffset val="100"/>
        <c:noMultiLvlLbl val="0"/>
      </c:catAx>
      <c:valAx>
        <c:axId val="285504000"/>
        <c:scaling>
          <c:orientation val="minMax"/>
          <c:max val="0.24000000000000002"/>
          <c:min val="2.0000000000000004E-2"/>
        </c:scaling>
        <c:delete val="0"/>
        <c:axPos val="l"/>
        <c:numFmt formatCode="0.0%" sourceLinked="1"/>
        <c:majorTickMark val="none"/>
        <c:minorTickMark val="none"/>
        <c:tickLblPos val="none"/>
        <c:spPr>
          <a:ln>
            <a:noFill/>
          </a:ln>
        </c:spPr>
        <c:crossAx val="262094336"/>
        <c:crosses val="autoZero"/>
        <c:crossBetween val="between"/>
      </c:valAx>
    </c:plotArea>
    <c:legend>
      <c:legendPos val="r"/>
      <c:legendEntry>
        <c:idx val="0"/>
        <c:txPr>
          <a:bodyPr/>
          <a:lstStyle/>
          <a:p>
            <a:pPr>
              <a:defRPr b="1">
                <a:solidFill>
                  <a:schemeClr val="accent3">
                    <a:lumMod val="50000"/>
                  </a:schemeClr>
                </a:solidFill>
              </a:defRPr>
            </a:pPr>
            <a:endParaRPr lang="en-US"/>
          </a:p>
        </c:txPr>
      </c:legendEntry>
      <c:legendEntry>
        <c:idx val="1"/>
        <c:txPr>
          <a:bodyPr/>
          <a:lstStyle/>
          <a:p>
            <a:pPr>
              <a:defRPr b="1">
                <a:solidFill>
                  <a:srgbClr val="C00000"/>
                </a:solidFill>
              </a:defRPr>
            </a:pPr>
            <a:endParaRPr lang="en-US"/>
          </a:p>
        </c:txPr>
      </c:legendEntry>
      <c:legendEntry>
        <c:idx val="2"/>
        <c:txPr>
          <a:bodyPr/>
          <a:lstStyle/>
          <a:p>
            <a:pPr>
              <a:defRPr b="1">
                <a:solidFill>
                  <a:schemeClr val="tx2"/>
                </a:solidFill>
              </a:defRPr>
            </a:pPr>
            <a:endParaRPr lang="en-US"/>
          </a:p>
        </c:txPr>
      </c:legendEntry>
      <c:layout>
        <c:manualLayout>
          <c:xMode val="edge"/>
          <c:yMode val="edge"/>
          <c:x val="0.68660222147699645"/>
          <c:y val="9.6551162519620162E-2"/>
          <c:w val="0.29438359097355848"/>
          <c:h val="0.85061211715732377"/>
        </c:manualLayout>
      </c:layout>
      <c:overlay val="0"/>
      <c:txPr>
        <a:bodyPr/>
        <a:lstStyle/>
        <a:p>
          <a:pPr>
            <a:defRPr b="1"/>
          </a:pPr>
          <a:endParaRPr lang="en-US"/>
        </a:p>
      </c:txPr>
    </c:legend>
    <c:plotVisOnly val="1"/>
    <c:dispBlanksAs val="gap"/>
    <c:showDLblsOverMax val="0"/>
  </c:chart>
  <c:spPr>
    <a:noFill/>
    <a:ln>
      <a:noFill/>
    </a:ln>
  </c:spPr>
  <c:txPr>
    <a:bodyPr/>
    <a:lstStyle/>
    <a:p>
      <a:pPr>
        <a:defRPr sz="1100"/>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6414202714355947E-2"/>
          <c:y val="2.7741806369680336E-2"/>
          <c:w val="0.73199797393746835"/>
          <c:h val="0.86343039334848248"/>
        </c:manualLayout>
      </c:layout>
      <c:lineChart>
        <c:grouping val="standard"/>
        <c:varyColors val="0"/>
        <c:ser>
          <c:idx val="2"/>
          <c:order val="0"/>
          <c:tx>
            <c:strRef>
              <c:f>Summary!$E$21</c:f>
              <c:strCache>
                <c:ptCount val="1"/>
                <c:pt idx="0">
                  <c:v>Post-trial (n=38)</c:v>
                </c:pt>
              </c:strCache>
            </c:strRef>
          </c:tx>
          <c:spPr>
            <a:ln>
              <a:solidFill>
                <a:schemeClr val="accent3">
                  <a:lumMod val="50000"/>
                </a:schemeClr>
              </a:solidFill>
            </a:ln>
          </c:spPr>
          <c:marker>
            <c:symbol val="star"/>
            <c:size val="5"/>
            <c:spPr>
              <a:solidFill>
                <a:schemeClr val="accent3">
                  <a:lumMod val="40000"/>
                  <a:lumOff val="60000"/>
                </a:schemeClr>
              </a:solidFill>
              <a:ln>
                <a:solidFill>
                  <a:schemeClr val="accent3">
                    <a:lumMod val="50000"/>
                  </a:schemeClr>
                </a:solidFill>
              </a:ln>
            </c:spPr>
          </c:marker>
          <c:dLbls>
            <c:dLbl>
              <c:idx val="2"/>
              <c:layout>
                <c:manualLayout>
                  <c:x val="-6.5417653281369281E-2"/>
                  <c:y val="-4.67923066993675E-2"/>
                </c:manualLayout>
              </c:layout>
              <c:dLblPos val="r"/>
              <c:showLegendKey val="0"/>
              <c:showVal val="1"/>
              <c:showCatName val="0"/>
              <c:showSerName val="0"/>
              <c:showPercent val="0"/>
              <c:showBubbleSize val="0"/>
            </c:dLbl>
            <c:numFmt formatCode="0.0%" sourceLinked="0"/>
            <c:txPr>
              <a:bodyPr/>
              <a:lstStyle/>
              <a:p>
                <a:pPr>
                  <a:defRPr b="1">
                    <a:solidFill>
                      <a:schemeClr val="accent3">
                        <a:lumMod val="50000"/>
                      </a:schemeClr>
                    </a:solidFill>
                  </a:defRPr>
                </a:pPr>
                <a:endParaRPr lang="en-US"/>
              </a:p>
            </c:txPr>
            <c:dLblPos val="t"/>
            <c:showLegendKey val="0"/>
            <c:showVal val="1"/>
            <c:showCatName val="0"/>
            <c:showSerName val="0"/>
            <c:showPercent val="0"/>
            <c:showBubbleSize val="0"/>
            <c:showLeaderLines val="0"/>
          </c:dLbls>
          <c:cat>
            <c:strRef>
              <c:f>Summary!$B$28:$B$30</c:f>
              <c:strCache>
                <c:ptCount val="3"/>
                <c:pt idx="0">
                  <c:v>30-day</c:v>
                </c:pt>
                <c:pt idx="1">
                  <c:v>90-day</c:v>
                </c:pt>
                <c:pt idx="2">
                  <c:v>180-day</c:v>
                </c:pt>
              </c:strCache>
            </c:strRef>
          </c:cat>
          <c:val>
            <c:numRef>
              <c:f>Summary!$E$28:$E$30</c:f>
              <c:numCache>
                <c:formatCode>0.0%</c:formatCode>
                <c:ptCount val="3"/>
                <c:pt idx="0">
                  <c:v>5.2631578947368418E-2</c:v>
                </c:pt>
                <c:pt idx="1">
                  <c:v>0.15789473684210525</c:v>
                </c:pt>
                <c:pt idx="2">
                  <c:v>0.23684210526315788</c:v>
                </c:pt>
              </c:numCache>
            </c:numRef>
          </c:val>
          <c:smooth val="1"/>
        </c:ser>
        <c:ser>
          <c:idx val="1"/>
          <c:order val="1"/>
          <c:tx>
            <c:strRef>
              <c:f>Summary!$D$21</c:f>
              <c:strCache>
                <c:ptCount val="1"/>
                <c:pt idx="0">
                  <c:v>Pre-trial (n=178)</c:v>
                </c:pt>
              </c:strCache>
            </c:strRef>
          </c:tx>
          <c:marker>
            <c:symbol val="circle"/>
            <c:size val="5"/>
          </c:marker>
          <c:dLbls>
            <c:dLbl>
              <c:idx val="0"/>
              <c:layout>
                <c:manualLayout>
                  <c:x val="-0.11034477432297375"/>
                  <c:y val="1.092896174863398E-2"/>
                </c:manualLayout>
              </c:layout>
              <c:dLblPos val="r"/>
              <c:showLegendKey val="0"/>
              <c:showVal val="1"/>
              <c:showCatName val="0"/>
              <c:showSerName val="0"/>
              <c:showPercent val="0"/>
              <c:showBubbleSize val="0"/>
            </c:dLbl>
            <c:dLbl>
              <c:idx val="1"/>
              <c:layout>
                <c:manualLayout>
                  <c:x val="-9.1953978602478687E-3"/>
                  <c:y val="1.092896174863388E-2"/>
                </c:manualLayout>
              </c:layout>
              <c:dLblPos val="r"/>
              <c:showLegendKey val="0"/>
              <c:showVal val="1"/>
              <c:showCatName val="0"/>
              <c:showSerName val="0"/>
              <c:showPercent val="0"/>
              <c:showBubbleSize val="0"/>
            </c:dLbl>
            <c:dLbl>
              <c:idx val="2"/>
              <c:layout>
                <c:manualLayout>
                  <c:x val="-1.5325663100413021E-2"/>
                  <c:y val="-1.6393442622950821E-2"/>
                </c:manualLayout>
              </c:layout>
              <c:dLblPos val="r"/>
              <c:showLegendKey val="0"/>
              <c:showVal val="1"/>
              <c:showCatName val="0"/>
              <c:showSerName val="0"/>
              <c:showPercent val="0"/>
              <c:showBubbleSize val="0"/>
            </c:dLbl>
            <c:txPr>
              <a:bodyPr/>
              <a:lstStyle/>
              <a:p>
                <a:pPr>
                  <a:defRPr b="1">
                    <a:solidFill>
                      <a:srgbClr val="C00000"/>
                    </a:solidFill>
                  </a:defRPr>
                </a:pPr>
                <a:endParaRPr lang="en-US"/>
              </a:p>
            </c:txPr>
            <c:dLblPos val="r"/>
            <c:showLegendKey val="0"/>
            <c:showVal val="1"/>
            <c:showCatName val="0"/>
            <c:showSerName val="0"/>
            <c:showPercent val="0"/>
            <c:showBubbleSize val="0"/>
            <c:showLeaderLines val="0"/>
          </c:dLbls>
          <c:cat>
            <c:strRef>
              <c:f>Summary!$B$28:$B$30</c:f>
              <c:strCache>
                <c:ptCount val="3"/>
                <c:pt idx="0">
                  <c:v>30-day</c:v>
                </c:pt>
                <c:pt idx="1">
                  <c:v>90-day</c:v>
                </c:pt>
                <c:pt idx="2">
                  <c:v>180-day</c:v>
                </c:pt>
              </c:strCache>
            </c:strRef>
          </c:cat>
          <c:val>
            <c:numRef>
              <c:f>Summary!$D$28:$D$30</c:f>
              <c:numCache>
                <c:formatCode>0.0%</c:formatCode>
                <c:ptCount val="3"/>
                <c:pt idx="0">
                  <c:v>2.8089887640449437E-2</c:v>
                </c:pt>
                <c:pt idx="1">
                  <c:v>6.1797752808988762E-2</c:v>
                </c:pt>
                <c:pt idx="2">
                  <c:v>0.16853932584269662</c:v>
                </c:pt>
              </c:numCache>
            </c:numRef>
          </c:val>
          <c:smooth val="1"/>
        </c:ser>
        <c:ser>
          <c:idx val="0"/>
          <c:order val="2"/>
          <c:tx>
            <c:strRef>
              <c:f>Summary!$C$21</c:f>
              <c:strCache>
                <c:ptCount val="1"/>
                <c:pt idx="0">
                  <c:v>Civil (n=213)</c:v>
                </c:pt>
              </c:strCache>
            </c:strRef>
          </c:tx>
          <c:marker>
            <c:symbol val="square"/>
            <c:size val="5"/>
          </c:marker>
          <c:dLbls>
            <c:dLbl>
              <c:idx val="0"/>
              <c:layout>
                <c:manualLayout>
                  <c:x val="-1.2597695068539503E-2"/>
                  <c:y val="1.639344262295072E-2"/>
                </c:manualLayout>
              </c:layout>
              <c:dLblPos val="r"/>
              <c:showLegendKey val="0"/>
              <c:showVal val="1"/>
              <c:showCatName val="0"/>
              <c:showSerName val="0"/>
              <c:showPercent val="0"/>
              <c:showBubbleSize val="0"/>
            </c:dLbl>
            <c:dLbl>
              <c:idx val="1"/>
              <c:layout>
                <c:manualLayout>
                  <c:x val="-0.10148654105093502"/>
                  <c:y val="-1.6393442622950821E-2"/>
                </c:manualLayout>
              </c:layout>
              <c:dLblPos val="r"/>
              <c:showLegendKey val="0"/>
              <c:showVal val="1"/>
              <c:showCatName val="0"/>
              <c:showSerName val="0"/>
              <c:showPercent val="0"/>
              <c:showBubbleSize val="0"/>
            </c:dLbl>
            <c:dLbl>
              <c:idx val="2"/>
              <c:layout>
                <c:manualLayout>
                  <c:x val="-4.5011593200425644E-2"/>
                  <c:y val="4.3715846994535519E-2"/>
                </c:manualLayout>
              </c:layout>
              <c:dLblPos val="r"/>
              <c:showLegendKey val="0"/>
              <c:showVal val="1"/>
              <c:showCatName val="0"/>
              <c:showSerName val="0"/>
              <c:showPercent val="0"/>
              <c:showBubbleSize val="0"/>
            </c:dLbl>
            <c:txPr>
              <a:bodyPr/>
              <a:lstStyle/>
              <a:p>
                <a:pPr>
                  <a:defRPr b="1">
                    <a:solidFill>
                      <a:schemeClr val="tx2"/>
                    </a:solidFill>
                  </a:defRPr>
                </a:pPr>
                <a:endParaRPr lang="en-US"/>
              </a:p>
            </c:txPr>
            <c:dLblPos val="l"/>
            <c:showLegendKey val="0"/>
            <c:showVal val="1"/>
            <c:showCatName val="0"/>
            <c:showSerName val="0"/>
            <c:showPercent val="0"/>
            <c:showBubbleSize val="0"/>
            <c:showLeaderLines val="0"/>
          </c:dLbls>
          <c:cat>
            <c:strRef>
              <c:f>Summary!$B$28:$B$30</c:f>
              <c:strCache>
                <c:ptCount val="3"/>
                <c:pt idx="0">
                  <c:v>30-day</c:v>
                </c:pt>
                <c:pt idx="1">
                  <c:v>90-day</c:v>
                </c:pt>
                <c:pt idx="2">
                  <c:v>180-day</c:v>
                </c:pt>
              </c:strCache>
            </c:strRef>
          </c:cat>
          <c:val>
            <c:numRef>
              <c:f>Summary!$C$28:$C$30</c:f>
              <c:numCache>
                <c:formatCode>0.0%</c:formatCode>
                <c:ptCount val="3"/>
                <c:pt idx="0">
                  <c:v>1.4084507042253521E-2</c:v>
                </c:pt>
                <c:pt idx="1">
                  <c:v>9.3896713615023469E-2</c:v>
                </c:pt>
                <c:pt idx="2">
                  <c:v>0.15962441314553991</c:v>
                </c:pt>
              </c:numCache>
            </c:numRef>
          </c:val>
          <c:smooth val="1"/>
        </c:ser>
        <c:dLbls>
          <c:showLegendKey val="0"/>
          <c:showVal val="0"/>
          <c:showCatName val="0"/>
          <c:showSerName val="0"/>
          <c:showPercent val="0"/>
          <c:showBubbleSize val="0"/>
        </c:dLbls>
        <c:marker val="1"/>
        <c:smooth val="0"/>
        <c:axId val="262111232"/>
        <c:axId val="285633920"/>
      </c:lineChart>
      <c:catAx>
        <c:axId val="262111232"/>
        <c:scaling>
          <c:orientation val="minMax"/>
        </c:scaling>
        <c:delete val="0"/>
        <c:axPos val="b"/>
        <c:majorTickMark val="out"/>
        <c:minorTickMark val="none"/>
        <c:tickLblPos val="nextTo"/>
        <c:txPr>
          <a:bodyPr/>
          <a:lstStyle/>
          <a:p>
            <a:pPr>
              <a:defRPr b="1"/>
            </a:pPr>
            <a:endParaRPr lang="en-US"/>
          </a:p>
        </c:txPr>
        <c:crossAx val="285633920"/>
        <c:crosses val="autoZero"/>
        <c:auto val="1"/>
        <c:lblAlgn val="ctr"/>
        <c:lblOffset val="100"/>
        <c:noMultiLvlLbl val="0"/>
      </c:catAx>
      <c:valAx>
        <c:axId val="285633920"/>
        <c:scaling>
          <c:orientation val="minMax"/>
          <c:max val="0.28000000000000003"/>
          <c:min val="0"/>
        </c:scaling>
        <c:delete val="0"/>
        <c:axPos val="l"/>
        <c:numFmt formatCode="0.0%" sourceLinked="1"/>
        <c:majorTickMark val="none"/>
        <c:minorTickMark val="none"/>
        <c:tickLblPos val="none"/>
        <c:spPr>
          <a:ln>
            <a:noFill/>
          </a:ln>
        </c:spPr>
        <c:crossAx val="262111232"/>
        <c:crosses val="autoZero"/>
        <c:crossBetween val="between"/>
      </c:valAx>
    </c:plotArea>
    <c:legend>
      <c:legendPos val="r"/>
      <c:legendEntry>
        <c:idx val="0"/>
        <c:txPr>
          <a:bodyPr/>
          <a:lstStyle/>
          <a:p>
            <a:pPr>
              <a:defRPr b="1">
                <a:solidFill>
                  <a:schemeClr val="accent3">
                    <a:lumMod val="50000"/>
                  </a:schemeClr>
                </a:solidFill>
              </a:defRPr>
            </a:pPr>
            <a:endParaRPr lang="en-US"/>
          </a:p>
        </c:txPr>
      </c:legendEntry>
      <c:legendEntry>
        <c:idx val="1"/>
        <c:txPr>
          <a:bodyPr/>
          <a:lstStyle/>
          <a:p>
            <a:pPr>
              <a:defRPr b="1">
                <a:solidFill>
                  <a:srgbClr val="C00000"/>
                </a:solidFill>
              </a:defRPr>
            </a:pPr>
            <a:endParaRPr lang="en-US"/>
          </a:p>
        </c:txPr>
      </c:legendEntry>
      <c:legendEntry>
        <c:idx val="2"/>
        <c:txPr>
          <a:bodyPr/>
          <a:lstStyle/>
          <a:p>
            <a:pPr>
              <a:defRPr b="1">
                <a:solidFill>
                  <a:schemeClr val="tx2"/>
                </a:solidFill>
              </a:defRPr>
            </a:pPr>
            <a:endParaRPr lang="en-US"/>
          </a:p>
        </c:txPr>
      </c:legendEntry>
      <c:layout>
        <c:manualLayout>
          <c:xMode val="edge"/>
          <c:yMode val="edge"/>
          <c:x val="0.7233838484888051"/>
          <c:y val="0.17461555010541716"/>
          <c:w val="0.27292761435901203"/>
          <c:h val="0.60061211098612677"/>
        </c:manualLayout>
      </c:layout>
      <c:overlay val="0"/>
      <c:txPr>
        <a:bodyPr/>
        <a:lstStyle/>
        <a:p>
          <a:pPr>
            <a:defRPr b="1"/>
          </a:pPr>
          <a:endParaRPr lang="en-US"/>
        </a:p>
      </c:txPr>
    </c:legend>
    <c:plotVisOnly val="1"/>
    <c:dispBlanksAs val="gap"/>
    <c:showDLblsOverMax val="0"/>
  </c:chart>
  <c:spPr>
    <a:ln>
      <a:noFill/>
    </a:ln>
  </c:spPr>
  <c:txPr>
    <a:bodyPr/>
    <a:lstStyle/>
    <a:p>
      <a:pPr>
        <a:defRPr sz="1100"/>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0"/>
    </mc:Choice>
    <mc:Fallback>
      <c:style val="20"/>
    </mc:Fallback>
  </mc:AlternateContent>
  <c:chart>
    <c:autoTitleDeleted val="0"/>
    <c:plotArea>
      <c:layout>
        <c:manualLayout>
          <c:layoutTarget val="inner"/>
          <c:xMode val="edge"/>
          <c:yMode val="edge"/>
          <c:x val="4.8014773776546629E-2"/>
          <c:y val="0"/>
          <c:w val="0.91135734072022156"/>
          <c:h val="0.81051617492394235"/>
        </c:manualLayout>
      </c:layout>
      <c:barChart>
        <c:barDir val="col"/>
        <c:grouping val="clustered"/>
        <c:varyColors val="0"/>
        <c:ser>
          <c:idx val="0"/>
          <c:order val="0"/>
          <c:invertIfNegative val="0"/>
          <c:dPt>
            <c:idx val="0"/>
            <c:invertIfNegative val="0"/>
            <c:bubble3D val="0"/>
            <c:spPr>
              <a:solidFill>
                <a:schemeClr val="tx1"/>
              </a:solidFill>
            </c:spPr>
          </c:dPt>
          <c:dLbls>
            <c:txPr>
              <a:bodyPr/>
              <a:lstStyle/>
              <a:p>
                <a:pPr>
                  <a:defRPr sz="1200" b="1">
                    <a:solidFill>
                      <a:schemeClr val="bg1"/>
                    </a:solidFill>
                  </a:defRPr>
                </a:pPr>
                <a:endParaRPr lang="en-US"/>
              </a:p>
            </c:txPr>
            <c:dLblPos val="inEnd"/>
            <c:showLegendKey val="0"/>
            <c:showVal val="1"/>
            <c:showCatName val="0"/>
            <c:showSerName val="0"/>
            <c:showPercent val="0"/>
            <c:showBubbleSize val="0"/>
            <c:showLeaderLines val="0"/>
          </c:dLbls>
          <c:cat>
            <c:strRef>
              <c:f>Summary!$C$86:$F$86</c:f>
              <c:strCache>
                <c:ptCount val="4"/>
                <c:pt idx="0">
                  <c:v>All
Discharged</c:v>
                </c:pt>
                <c:pt idx="1">
                  <c:v>30-day
Readmission</c:v>
                </c:pt>
                <c:pt idx="2">
                  <c:v>90-day
Readmission</c:v>
                </c:pt>
                <c:pt idx="3">
                  <c:v>180-day
Readmission</c:v>
                </c:pt>
              </c:strCache>
            </c:strRef>
          </c:cat>
          <c:val>
            <c:numRef>
              <c:f>Summary!$C$93:$F$93</c:f>
              <c:numCache>
                <c:formatCode>0%</c:formatCode>
                <c:ptCount val="4"/>
                <c:pt idx="0">
                  <c:v>0.30069930069930068</c:v>
                </c:pt>
                <c:pt idx="1">
                  <c:v>0.1</c:v>
                </c:pt>
                <c:pt idx="2">
                  <c:v>0.21621621621621623</c:v>
                </c:pt>
                <c:pt idx="3">
                  <c:v>0.19178082191780821</c:v>
                </c:pt>
              </c:numCache>
            </c:numRef>
          </c:val>
        </c:ser>
        <c:dLbls>
          <c:showLegendKey val="0"/>
          <c:showVal val="0"/>
          <c:showCatName val="0"/>
          <c:showSerName val="0"/>
          <c:showPercent val="0"/>
          <c:showBubbleSize val="0"/>
        </c:dLbls>
        <c:gapWidth val="50"/>
        <c:axId val="262112768"/>
        <c:axId val="285635072"/>
      </c:barChart>
      <c:catAx>
        <c:axId val="262112768"/>
        <c:scaling>
          <c:orientation val="minMax"/>
        </c:scaling>
        <c:delete val="0"/>
        <c:axPos val="b"/>
        <c:majorTickMark val="out"/>
        <c:minorTickMark val="none"/>
        <c:tickLblPos val="nextTo"/>
        <c:crossAx val="285635072"/>
        <c:crosses val="autoZero"/>
        <c:auto val="1"/>
        <c:lblAlgn val="ctr"/>
        <c:lblOffset val="100"/>
        <c:noMultiLvlLbl val="0"/>
      </c:catAx>
      <c:valAx>
        <c:axId val="285635072"/>
        <c:scaling>
          <c:orientation val="minMax"/>
          <c:max val="0.35000000000000003"/>
        </c:scaling>
        <c:delete val="0"/>
        <c:axPos val="l"/>
        <c:numFmt formatCode="0%" sourceLinked="1"/>
        <c:majorTickMark val="none"/>
        <c:minorTickMark val="none"/>
        <c:tickLblPos val="none"/>
        <c:spPr>
          <a:ln>
            <a:noFill/>
          </a:ln>
        </c:spPr>
        <c:crossAx val="262112768"/>
        <c:crosses val="autoZero"/>
        <c:crossBetween val="between"/>
      </c:valAx>
    </c:plotArea>
    <c:plotVisOnly val="1"/>
    <c:dispBlanksAs val="gap"/>
    <c:showDLblsOverMax val="0"/>
  </c:chart>
  <c:spPr>
    <a:ln>
      <a:noFill/>
    </a:ln>
  </c:spPr>
  <c:externalData r:id="rId1">
    <c:autoUpdate val="0"/>
  </c:externalData>
  <c:userShapes r:id="rId2"/>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0"/>
    </mc:Choice>
    <mc:Fallback>
      <c:style val="20"/>
    </mc:Fallback>
  </mc:AlternateContent>
  <c:chart>
    <c:autoTitleDeleted val="0"/>
    <c:plotArea>
      <c:layout>
        <c:manualLayout>
          <c:layoutTarget val="inner"/>
          <c:xMode val="edge"/>
          <c:yMode val="edge"/>
          <c:x val="4.8014773776546629E-2"/>
          <c:y val="5.9259221553558755E-2"/>
          <c:w val="0.91135734072022156"/>
          <c:h val="0.74003144938214738"/>
        </c:manualLayout>
      </c:layout>
      <c:barChart>
        <c:barDir val="col"/>
        <c:grouping val="clustered"/>
        <c:varyColors val="0"/>
        <c:ser>
          <c:idx val="0"/>
          <c:order val="0"/>
          <c:invertIfNegative val="0"/>
          <c:dPt>
            <c:idx val="0"/>
            <c:invertIfNegative val="0"/>
            <c:bubble3D val="0"/>
            <c:spPr>
              <a:solidFill>
                <a:schemeClr val="tx1"/>
              </a:solidFill>
            </c:spPr>
          </c:dPt>
          <c:dLbls>
            <c:txPr>
              <a:bodyPr/>
              <a:lstStyle/>
              <a:p>
                <a:pPr>
                  <a:defRPr sz="1200" b="1">
                    <a:solidFill>
                      <a:schemeClr val="bg1"/>
                    </a:solidFill>
                  </a:defRPr>
                </a:pPr>
                <a:endParaRPr lang="en-US"/>
              </a:p>
            </c:txPr>
            <c:dLblPos val="inEnd"/>
            <c:showLegendKey val="0"/>
            <c:showVal val="1"/>
            <c:showCatName val="0"/>
            <c:showSerName val="0"/>
            <c:showPercent val="0"/>
            <c:showBubbleSize val="0"/>
            <c:showLeaderLines val="0"/>
          </c:dLbls>
          <c:cat>
            <c:strRef>
              <c:f>Summary!$C$86:$F$86</c:f>
              <c:strCache>
                <c:ptCount val="4"/>
                <c:pt idx="0">
                  <c:v>All
Discharged</c:v>
                </c:pt>
                <c:pt idx="1">
                  <c:v>30-day
Readmission</c:v>
                </c:pt>
                <c:pt idx="2">
                  <c:v>90-day
Readmission</c:v>
                </c:pt>
                <c:pt idx="3">
                  <c:v>180-day
Readmission</c:v>
                </c:pt>
              </c:strCache>
            </c:strRef>
          </c:cat>
          <c:val>
            <c:numRef>
              <c:f>Summary!$C$97:$F$97</c:f>
              <c:numCache>
                <c:formatCode>0\ "yrs"</c:formatCode>
                <c:ptCount val="4"/>
                <c:pt idx="0">
                  <c:v>48</c:v>
                </c:pt>
                <c:pt idx="1">
                  <c:v>52</c:v>
                </c:pt>
                <c:pt idx="2">
                  <c:v>54</c:v>
                </c:pt>
                <c:pt idx="3">
                  <c:v>53</c:v>
                </c:pt>
              </c:numCache>
            </c:numRef>
          </c:val>
        </c:ser>
        <c:dLbls>
          <c:showLegendKey val="0"/>
          <c:showVal val="0"/>
          <c:showCatName val="0"/>
          <c:showSerName val="0"/>
          <c:showPercent val="0"/>
          <c:showBubbleSize val="0"/>
        </c:dLbls>
        <c:gapWidth val="50"/>
        <c:axId val="262113280"/>
        <c:axId val="285637376"/>
      </c:barChart>
      <c:catAx>
        <c:axId val="262113280"/>
        <c:scaling>
          <c:orientation val="minMax"/>
        </c:scaling>
        <c:delete val="0"/>
        <c:axPos val="b"/>
        <c:majorTickMark val="out"/>
        <c:minorTickMark val="none"/>
        <c:tickLblPos val="nextTo"/>
        <c:crossAx val="285637376"/>
        <c:crosses val="autoZero"/>
        <c:auto val="1"/>
        <c:lblAlgn val="ctr"/>
        <c:lblOffset val="100"/>
        <c:noMultiLvlLbl val="0"/>
      </c:catAx>
      <c:valAx>
        <c:axId val="285637376"/>
        <c:scaling>
          <c:orientation val="minMax"/>
          <c:max val="55"/>
          <c:min val="30"/>
        </c:scaling>
        <c:delete val="0"/>
        <c:axPos val="l"/>
        <c:numFmt formatCode="0\ &quot;yrs&quot;" sourceLinked="1"/>
        <c:majorTickMark val="none"/>
        <c:minorTickMark val="none"/>
        <c:tickLblPos val="none"/>
        <c:spPr>
          <a:ln>
            <a:noFill/>
          </a:ln>
        </c:spPr>
        <c:crossAx val="262113280"/>
        <c:crosses val="autoZero"/>
        <c:crossBetween val="between"/>
      </c:valAx>
    </c:plotArea>
    <c:plotVisOnly val="1"/>
    <c:dispBlanksAs val="gap"/>
    <c:showDLblsOverMax val="0"/>
  </c:chart>
  <c:spPr>
    <a:ln>
      <a:noFill/>
    </a:ln>
  </c:spPr>
  <c:externalData r:id="rId1">
    <c:autoUpdate val="0"/>
  </c:externalData>
  <c:userShapes r:id="rId2"/>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0"/>
    </mc:Choice>
    <mc:Fallback>
      <c:style val="20"/>
    </mc:Fallback>
  </mc:AlternateContent>
  <c:chart>
    <c:autoTitleDeleted val="0"/>
    <c:plotArea>
      <c:layout>
        <c:manualLayout>
          <c:layoutTarget val="inner"/>
          <c:xMode val="edge"/>
          <c:yMode val="edge"/>
          <c:x val="1.9731806251491287E-2"/>
          <c:y val="5.9259105769673533E-2"/>
          <c:w val="0.963882605583393"/>
          <c:h val="0.74003177234424655"/>
        </c:manualLayout>
      </c:layout>
      <c:barChart>
        <c:barDir val="col"/>
        <c:grouping val="clustered"/>
        <c:varyColors val="0"/>
        <c:ser>
          <c:idx val="0"/>
          <c:order val="0"/>
          <c:invertIfNegative val="0"/>
          <c:dPt>
            <c:idx val="0"/>
            <c:invertIfNegative val="0"/>
            <c:bubble3D val="0"/>
            <c:spPr>
              <a:solidFill>
                <a:schemeClr val="tx1"/>
              </a:solidFill>
            </c:spPr>
          </c:dPt>
          <c:dLbls>
            <c:txPr>
              <a:bodyPr/>
              <a:lstStyle/>
              <a:p>
                <a:pPr>
                  <a:defRPr sz="1200" b="1">
                    <a:solidFill>
                      <a:schemeClr val="bg1"/>
                    </a:solidFill>
                  </a:defRPr>
                </a:pPr>
                <a:endParaRPr lang="en-US"/>
              </a:p>
            </c:txPr>
            <c:dLblPos val="inEnd"/>
            <c:showLegendKey val="0"/>
            <c:showVal val="1"/>
            <c:showCatName val="0"/>
            <c:showSerName val="0"/>
            <c:showPercent val="0"/>
            <c:showBubbleSize val="0"/>
            <c:showLeaderLines val="0"/>
          </c:dLbls>
          <c:cat>
            <c:strRef>
              <c:f>Summary!$C$59:$F$59</c:f>
              <c:strCache>
                <c:ptCount val="4"/>
                <c:pt idx="0">
                  <c:v>All
Discharged</c:v>
                </c:pt>
                <c:pt idx="1">
                  <c:v>30-day
Readmission</c:v>
                </c:pt>
                <c:pt idx="2">
                  <c:v>90-day
Readmission</c:v>
                </c:pt>
                <c:pt idx="3">
                  <c:v>180-day
Readmission</c:v>
                </c:pt>
              </c:strCache>
            </c:strRef>
          </c:cat>
          <c:val>
            <c:numRef>
              <c:f>Summary!$C$73:$F$73</c:f>
              <c:numCache>
                <c:formatCode>0\ "days"</c:formatCode>
                <c:ptCount val="4"/>
                <c:pt idx="0">
                  <c:v>55</c:v>
                </c:pt>
                <c:pt idx="1">
                  <c:v>39</c:v>
                </c:pt>
                <c:pt idx="2">
                  <c:v>42</c:v>
                </c:pt>
                <c:pt idx="3">
                  <c:v>40</c:v>
                </c:pt>
              </c:numCache>
            </c:numRef>
          </c:val>
        </c:ser>
        <c:dLbls>
          <c:showLegendKey val="0"/>
          <c:showVal val="0"/>
          <c:showCatName val="0"/>
          <c:showSerName val="0"/>
          <c:showPercent val="0"/>
          <c:showBubbleSize val="0"/>
        </c:dLbls>
        <c:gapWidth val="50"/>
        <c:axId val="262114304"/>
        <c:axId val="241541696"/>
      </c:barChart>
      <c:catAx>
        <c:axId val="262114304"/>
        <c:scaling>
          <c:orientation val="minMax"/>
        </c:scaling>
        <c:delete val="0"/>
        <c:axPos val="b"/>
        <c:majorTickMark val="out"/>
        <c:minorTickMark val="none"/>
        <c:tickLblPos val="nextTo"/>
        <c:crossAx val="241541696"/>
        <c:crosses val="autoZero"/>
        <c:auto val="1"/>
        <c:lblAlgn val="ctr"/>
        <c:lblOffset val="100"/>
        <c:noMultiLvlLbl val="0"/>
      </c:catAx>
      <c:valAx>
        <c:axId val="241541696"/>
        <c:scaling>
          <c:orientation val="minMax"/>
          <c:max val="60"/>
          <c:min val="20"/>
        </c:scaling>
        <c:delete val="0"/>
        <c:axPos val="l"/>
        <c:numFmt formatCode="0\ &quot;days&quot;" sourceLinked="1"/>
        <c:majorTickMark val="none"/>
        <c:minorTickMark val="none"/>
        <c:tickLblPos val="none"/>
        <c:spPr>
          <a:ln>
            <a:noFill/>
          </a:ln>
        </c:spPr>
        <c:crossAx val="262114304"/>
        <c:crosses val="autoZero"/>
        <c:crossBetween val="between"/>
      </c:valAx>
    </c:plotArea>
    <c:plotVisOnly val="1"/>
    <c:dispBlanksAs val="gap"/>
    <c:showDLblsOverMax val="0"/>
  </c:chart>
  <c:spPr>
    <a:ln>
      <a:noFill/>
    </a:ln>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6.6467681055040445E-2"/>
          <c:y val="3.6810307802433787E-2"/>
          <c:w val="0.82168998976755159"/>
          <c:h val="0.78505023079011671"/>
        </c:manualLayout>
      </c:layout>
      <c:barChart>
        <c:barDir val="col"/>
        <c:grouping val="percentStacked"/>
        <c:varyColors val="0"/>
        <c:ser>
          <c:idx val="0"/>
          <c:order val="0"/>
          <c:tx>
            <c:v>Civil</c:v>
          </c:tx>
          <c:invertIfNegative val="0"/>
          <c:dLbls>
            <c:txPr>
              <a:bodyPr/>
              <a:lstStyle/>
              <a:p>
                <a:pPr>
                  <a:defRPr sz="1100" b="1">
                    <a:solidFill>
                      <a:schemeClr val="bg1"/>
                    </a:solidFill>
                    <a:effectLst>
                      <a:glow rad="76200">
                        <a:srgbClr val="1F497D"/>
                      </a:glow>
                    </a:effectLst>
                  </a:defRPr>
                </a:pPr>
                <a:endParaRPr lang="en-US"/>
              </a:p>
            </c:txPr>
            <c:showLegendKey val="0"/>
            <c:showVal val="1"/>
            <c:showCatName val="0"/>
            <c:showSerName val="0"/>
            <c:showPercent val="0"/>
            <c:showBubbleSize val="0"/>
            <c:showLeaderLines val="0"/>
          </c:dLbls>
          <c:cat>
            <c:strRef>
              <c:f>'Demographics %'!$C$45:$N$45</c:f>
              <c:strCache>
                <c:ptCount val="12"/>
                <c:pt idx="0">
                  <c:v>10/31/13 (n=261)</c:v>
                </c:pt>
                <c:pt idx="1">
                  <c:v>11/30/13 (n=256)</c:v>
                </c:pt>
                <c:pt idx="2">
                  <c:v>12/31/13 (n=266)</c:v>
                </c:pt>
                <c:pt idx="3">
                  <c:v>1/31/14 (n=273)</c:v>
                </c:pt>
                <c:pt idx="4">
                  <c:v>2/28/14 (n=268)</c:v>
                </c:pt>
                <c:pt idx="5">
                  <c:v>3/31/14 (n=263)</c:v>
                </c:pt>
                <c:pt idx="6">
                  <c:v>4/30/14 (n=270)</c:v>
                </c:pt>
                <c:pt idx="7">
                  <c:v>5/31/14 (n=268)</c:v>
                </c:pt>
                <c:pt idx="8">
                  <c:v>6/30/14 (n=271)</c:v>
                </c:pt>
                <c:pt idx="9">
                  <c:v>7/31/14 (n=272)</c:v>
                </c:pt>
                <c:pt idx="10">
                  <c:v>8/31/14 (n=276)</c:v>
                </c:pt>
                <c:pt idx="11">
                  <c:v>9/30/14 (n=278)</c:v>
                </c:pt>
              </c:strCache>
            </c:strRef>
          </c:cat>
          <c:val>
            <c:numRef>
              <c:f>'Demographics %'!$C$20:$N$20</c:f>
              <c:numCache>
                <c:formatCode>0%</c:formatCode>
                <c:ptCount val="12"/>
                <c:pt idx="0">
                  <c:v>0.41762452107279696</c:v>
                </c:pt>
                <c:pt idx="1">
                  <c:v>0.4140625</c:v>
                </c:pt>
                <c:pt idx="2">
                  <c:v>0.42105263157894735</c:v>
                </c:pt>
                <c:pt idx="3">
                  <c:v>0.45054945054945056</c:v>
                </c:pt>
                <c:pt idx="4">
                  <c:v>0.48507462686567165</c:v>
                </c:pt>
                <c:pt idx="5">
                  <c:v>0.52471482889733845</c:v>
                </c:pt>
                <c:pt idx="6">
                  <c:v>0.43703703703703706</c:v>
                </c:pt>
                <c:pt idx="7">
                  <c:v>0.47014925373134331</c:v>
                </c:pt>
                <c:pt idx="8">
                  <c:v>0.45756457564575648</c:v>
                </c:pt>
                <c:pt idx="9">
                  <c:v>0.47058823529411764</c:v>
                </c:pt>
                <c:pt idx="10">
                  <c:v>0.46014492753623187</c:v>
                </c:pt>
                <c:pt idx="11">
                  <c:v>0.43525179856115109</c:v>
                </c:pt>
              </c:numCache>
            </c:numRef>
          </c:val>
        </c:ser>
        <c:ser>
          <c:idx val="1"/>
          <c:order val="1"/>
          <c:tx>
            <c:v>Pre-trial</c:v>
          </c:tx>
          <c:invertIfNegative val="0"/>
          <c:dLbls>
            <c:txPr>
              <a:bodyPr/>
              <a:lstStyle/>
              <a:p>
                <a:pPr>
                  <a:defRPr sz="1100" b="1">
                    <a:solidFill>
                      <a:schemeClr val="bg1"/>
                    </a:solidFill>
                  </a:defRPr>
                </a:pPr>
                <a:endParaRPr lang="en-US"/>
              </a:p>
            </c:txPr>
            <c:showLegendKey val="0"/>
            <c:showVal val="1"/>
            <c:showCatName val="0"/>
            <c:showSerName val="0"/>
            <c:showPercent val="0"/>
            <c:showBubbleSize val="0"/>
            <c:showLeaderLines val="0"/>
          </c:dLbls>
          <c:cat>
            <c:strRef>
              <c:f>'Demographics %'!$C$45:$N$45</c:f>
              <c:strCache>
                <c:ptCount val="12"/>
                <c:pt idx="0">
                  <c:v>10/31/13 (n=261)</c:v>
                </c:pt>
                <c:pt idx="1">
                  <c:v>11/30/13 (n=256)</c:v>
                </c:pt>
                <c:pt idx="2">
                  <c:v>12/31/13 (n=266)</c:v>
                </c:pt>
                <c:pt idx="3">
                  <c:v>1/31/14 (n=273)</c:v>
                </c:pt>
                <c:pt idx="4">
                  <c:v>2/28/14 (n=268)</c:v>
                </c:pt>
                <c:pt idx="5">
                  <c:v>3/31/14 (n=263)</c:v>
                </c:pt>
                <c:pt idx="6">
                  <c:v>4/30/14 (n=270)</c:v>
                </c:pt>
                <c:pt idx="7">
                  <c:v>5/31/14 (n=268)</c:v>
                </c:pt>
                <c:pt idx="8">
                  <c:v>6/30/14 (n=271)</c:v>
                </c:pt>
                <c:pt idx="9">
                  <c:v>7/31/14 (n=272)</c:v>
                </c:pt>
                <c:pt idx="10">
                  <c:v>8/31/14 (n=276)</c:v>
                </c:pt>
                <c:pt idx="11">
                  <c:v>9/30/14 (n=278)</c:v>
                </c:pt>
              </c:strCache>
            </c:strRef>
          </c:cat>
          <c:val>
            <c:numRef>
              <c:f>'Demographics %'!$C$23:$N$23</c:f>
              <c:numCache>
                <c:formatCode>0%</c:formatCode>
                <c:ptCount val="12"/>
                <c:pt idx="0">
                  <c:v>0.19157088122605365</c:v>
                </c:pt>
                <c:pt idx="1">
                  <c:v>0.1953125</c:v>
                </c:pt>
                <c:pt idx="2">
                  <c:v>0.20676691729323307</c:v>
                </c:pt>
                <c:pt idx="3">
                  <c:v>0.20146520146520147</c:v>
                </c:pt>
                <c:pt idx="4">
                  <c:v>0.15671641791044777</c:v>
                </c:pt>
                <c:pt idx="5">
                  <c:v>0.15209125475285171</c:v>
                </c:pt>
                <c:pt idx="6">
                  <c:v>0.2074074074074074</c:v>
                </c:pt>
                <c:pt idx="7">
                  <c:v>0.17537313432835822</c:v>
                </c:pt>
                <c:pt idx="8">
                  <c:v>0.18819188191881919</c:v>
                </c:pt>
                <c:pt idx="9">
                  <c:v>0.20220588235294118</c:v>
                </c:pt>
                <c:pt idx="10">
                  <c:v>0.21014492753623187</c:v>
                </c:pt>
                <c:pt idx="11">
                  <c:v>0.24100719424460432</c:v>
                </c:pt>
              </c:numCache>
            </c:numRef>
          </c:val>
        </c:ser>
        <c:ser>
          <c:idx val="2"/>
          <c:order val="2"/>
          <c:tx>
            <c:v>Post-trial</c:v>
          </c:tx>
          <c:invertIfNegative val="0"/>
          <c:dLbls>
            <c:txPr>
              <a:bodyPr/>
              <a:lstStyle/>
              <a:p>
                <a:pPr>
                  <a:defRPr sz="1100" b="1"/>
                </a:pPr>
                <a:endParaRPr lang="en-US"/>
              </a:p>
            </c:txPr>
            <c:showLegendKey val="0"/>
            <c:showVal val="1"/>
            <c:showCatName val="0"/>
            <c:showSerName val="0"/>
            <c:showPercent val="0"/>
            <c:showBubbleSize val="0"/>
            <c:showLeaderLines val="0"/>
          </c:dLbls>
          <c:cat>
            <c:strRef>
              <c:f>'Demographics %'!$C$45:$N$45</c:f>
              <c:strCache>
                <c:ptCount val="12"/>
                <c:pt idx="0">
                  <c:v>10/31/13 (n=261)</c:v>
                </c:pt>
                <c:pt idx="1">
                  <c:v>11/30/13 (n=256)</c:v>
                </c:pt>
                <c:pt idx="2">
                  <c:v>12/31/13 (n=266)</c:v>
                </c:pt>
                <c:pt idx="3">
                  <c:v>1/31/14 (n=273)</c:v>
                </c:pt>
                <c:pt idx="4">
                  <c:v>2/28/14 (n=268)</c:v>
                </c:pt>
                <c:pt idx="5">
                  <c:v>3/31/14 (n=263)</c:v>
                </c:pt>
                <c:pt idx="6">
                  <c:v>4/30/14 (n=270)</c:v>
                </c:pt>
                <c:pt idx="7">
                  <c:v>5/31/14 (n=268)</c:v>
                </c:pt>
                <c:pt idx="8">
                  <c:v>6/30/14 (n=271)</c:v>
                </c:pt>
                <c:pt idx="9">
                  <c:v>7/31/14 (n=272)</c:v>
                </c:pt>
                <c:pt idx="10">
                  <c:v>8/31/14 (n=276)</c:v>
                </c:pt>
                <c:pt idx="11">
                  <c:v>9/30/14 (n=278)</c:v>
                </c:pt>
              </c:strCache>
            </c:strRef>
          </c:cat>
          <c:val>
            <c:numRef>
              <c:f>'Demographics %'!$C$29:$N$29</c:f>
              <c:numCache>
                <c:formatCode>0%</c:formatCode>
                <c:ptCount val="12"/>
                <c:pt idx="0">
                  <c:v>0.39080459770114945</c:v>
                </c:pt>
                <c:pt idx="1">
                  <c:v>0.390625</c:v>
                </c:pt>
                <c:pt idx="2">
                  <c:v>0.37218045112781956</c:v>
                </c:pt>
                <c:pt idx="3">
                  <c:v>0.34798534798534797</c:v>
                </c:pt>
                <c:pt idx="4">
                  <c:v>0.35820895522388058</c:v>
                </c:pt>
                <c:pt idx="5">
                  <c:v>0.36121673003802279</c:v>
                </c:pt>
                <c:pt idx="6">
                  <c:v>0.35555555555555557</c:v>
                </c:pt>
                <c:pt idx="7">
                  <c:v>0.35447761194029853</c:v>
                </c:pt>
                <c:pt idx="8">
                  <c:v>0.35424354243542433</c:v>
                </c:pt>
                <c:pt idx="9">
                  <c:v>0.32720588235294118</c:v>
                </c:pt>
                <c:pt idx="10">
                  <c:v>0.32971014492753625</c:v>
                </c:pt>
                <c:pt idx="11">
                  <c:v>0.32374100719424459</c:v>
                </c:pt>
              </c:numCache>
            </c:numRef>
          </c:val>
        </c:ser>
        <c:dLbls>
          <c:showLegendKey val="0"/>
          <c:showVal val="0"/>
          <c:showCatName val="0"/>
          <c:showSerName val="0"/>
          <c:showPercent val="0"/>
          <c:showBubbleSize val="0"/>
        </c:dLbls>
        <c:gapWidth val="30"/>
        <c:overlap val="100"/>
        <c:axId val="237939712"/>
        <c:axId val="168154752"/>
      </c:barChart>
      <c:catAx>
        <c:axId val="237939712"/>
        <c:scaling>
          <c:orientation val="minMax"/>
        </c:scaling>
        <c:delete val="0"/>
        <c:axPos val="b"/>
        <c:numFmt formatCode="mm/dd/yy;@" sourceLinked="0"/>
        <c:majorTickMark val="out"/>
        <c:minorTickMark val="none"/>
        <c:tickLblPos val="nextTo"/>
        <c:txPr>
          <a:bodyPr rot="0" vert="horz"/>
          <a:lstStyle/>
          <a:p>
            <a:pPr>
              <a:defRPr sz="900" b="1"/>
            </a:pPr>
            <a:endParaRPr lang="en-US"/>
          </a:p>
        </c:txPr>
        <c:crossAx val="168154752"/>
        <c:crosses val="autoZero"/>
        <c:auto val="0"/>
        <c:lblAlgn val="ctr"/>
        <c:lblOffset val="100"/>
        <c:noMultiLvlLbl val="0"/>
      </c:catAx>
      <c:valAx>
        <c:axId val="168154752"/>
        <c:scaling>
          <c:orientation val="minMax"/>
        </c:scaling>
        <c:delete val="0"/>
        <c:axPos val="l"/>
        <c:majorGridlines/>
        <c:numFmt formatCode="0%" sourceLinked="1"/>
        <c:majorTickMark val="out"/>
        <c:minorTickMark val="none"/>
        <c:tickLblPos val="nextTo"/>
        <c:crossAx val="237939712"/>
        <c:crosses val="autoZero"/>
        <c:crossBetween val="between"/>
      </c:valAx>
    </c:plotArea>
    <c:legend>
      <c:legendPos val="r"/>
      <c:legendEntry>
        <c:idx val="0"/>
        <c:txPr>
          <a:bodyPr/>
          <a:lstStyle/>
          <a:p>
            <a:pPr>
              <a:defRPr sz="1100" b="1">
                <a:solidFill>
                  <a:schemeClr val="accent3">
                    <a:lumMod val="50000"/>
                  </a:schemeClr>
                </a:solidFill>
              </a:defRPr>
            </a:pPr>
            <a:endParaRPr lang="en-US"/>
          </a:p>
        </c:txPr>
      </c:legendEntry>
      <c:legendEntry>
        <c:idx val="1"/>
        <c:txPr>
          <a:bodyPr/>
          <a:lstStyle/>
          <a:p>
            <a:pPr>
              <a:defRPr sz="1100" b="1">
                <a:solidFill>
                  <a:srgbClr val="C00000"/>
                </a:solidFill>
              </a:defRPr>
            </a:pPr>
            <a:endParaRPr lang="en-US"/>
          </a:p>
        </c:txPr>
      </c:legendEntry>
      <c:legendEntry>
        <c:idx val="2"/>
        <c:txPr>
          <a:bodyPr/>
          <a:lstStyle/>
          <a:p>
            <a:pPr>
              <a:defRPr sz="1100" b="1">
                <a:solidFill>
                  <a:schemeClr val="tx2"/>
                </a:solidFill>
              </a:defRPr>
            </a:pPr>
            <a:endParaRPr lang="en-US"/>
          </a:p>
        </c:txPr>
      </c:legendEntry>
      <c:layout>
        <c:manualLayout>
          <c:xMode val="edge"/>
          <c:yMode val="edge"/>
          <c:x val="0.88565664977361258"/>
          <c:y val="0.21162270365318503"/>
          <c:w val="0.10973367090164114"/>
          <c:h val="0.44414905823774353"/>
        </c:manualLayout>
      </c:layout>
      <c:overlay val="0"/>
      <c:txPr>
        <a:bodyPr/>
        <a:lstStyle/>
        <a:p>
          <a:pPr>
            <a:defRPr sz="1100" b="1"/>
          </a:pPr>
          <a:endParaRPr lang="en-US"/>
        </a:p>
      </c:txPr>
    </c:legend>
    <c:plotVisOnly val="1"/>
    <c:dispBlanksAs val="gap"/>
    <c:showDLblsOverMax val="0"/>
  </c:chart>
  <c:spPr>
    <a:ln>
      <a:noFill/>
    </a:ln>
  </c:sp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0"/>
    </mc:Choice>
    <mc:Fallback>
      <c:style val="20"/>
    </mc:Fallback>
  </mc:AlternateContent>
  <c:chart>
    <c:autoTitleDeleted val="0"/>
    <c:plotArea>
      <c:layout>
        <c:manualLayout>
          <c:layoutTarget val="inner"/>
          <c:xMode val="edge"/>
          <c:yMode val="edge"/>
          <c:x val="4.8014773776546629E-2"/>
          <c:y val="7.0919049229275791E-2"/>
          <c:w val="0.91135734072022156"/>
          <c:h val="0.72837153024583567"/>
        </c:manualLayout>
      </c:layout>
      <c:barChart>
        <c:barDir val="col"/>
        <c:grouping val="clustered"/>
        <c:varyColors val="0"/>
        <c:ser>
          <c:idx val="0"/>
          <c:order val="0"/>
          <c:invertIfNegative val="0"/>
          <c:dPt>
            <c:idx val="0"/>
            <c:invertIfNegative val="0"/>
            <c:bubble3D val="0"/>
            <c:spPr>
              <a:solidFill>
                <a:schemeClr val="tx1"/>
              </a:solidFill>
            </c:spPr>
          </c:dPt>
          <c:dLbls>
            <c:dLbl>
              <c:idx val="1"/>
              <c:layout>
                <c:manualLayout>
                  <c:x val="6.9444444444444441E-3"/>
                  <c:y val="0.15584802497952063"/>
                </c:manualLayout>
              </c:layout>
              <c:dLblPos val="outEnd"/>
              <c:showLegendKey val="0"/>
              <c:showVal val="1"/>
              <c:showCatName val="0"/>
              <c:showSerName val="0"/>
              <c:showPercent val="0"/>
              <c:showBubbleSize val="0"/>
            </c:dLbl>
            <c:dLbl>
              <c:idx val="2"/>
              <c:layout>
                <c:manualLayout>
                  <c:x val="0"/>
                  <c:y val="0.15373032819004845"/>
                </c:manualLayout>
              </c:layout>
              <c:dLblPos val="outEnd"/>
              <c:showLegendKey val="0"/>
              <c:showVal val="1"/>
              <c:showCatName val="0"/>
              <c:showSerName val="0"/>
              <c:showPercent val="0"/>
              <c:showBubbleSize val="0"/>
            </c:dLbl>
            <c:dLbl>
              <c:idx val="3"/>
              <c:layout>
                <c:manualLayout>
                  <c:x val="3.472219033845259E-3"/>
                  <c:y val="0.12358659114979048"/>
                </c:manualLayout>
              </c:layout>
              <c:dLblPos val="outEnd"/>
              <c:showLegendKey val="0"/>
              <c:showVal val="1"/>
              <c:showCatName val="0"/>
              <c:showSerName val="0"/>
              <c:showPercent val="0"/>
              <c:showBubbleSize val="0"/>
            </c:dLbl>
            <c:txPr>
              <a:bodyPr/>
              <a:lstStyle/>
              <a:p>
                <a:pPr>
                  <a:defRPr sz="1200" b="1">
                    <a:solidFill>
                      <a:schemeClr val="bg1"/>
                    </a:solidFill>
                  </a:defRPr>
                </a:pPr>
                <a:endParaRPr lang="en-US"/>
              </a:p>
            </c:txPr>
            <c:dLblPos val="inEnd"/>
            <c:showLegendKey val="0"/>
            <c:showVal val="1"/>
            <c:showCatName val="0"/>
            <c:showSerName val="0"/>
            <c:showPercent val="0"/>
            <c:showBubbleSize val="0"/>
            <c:showLeaderLines val="0"/>
          </c:dLbls>
          <c:cat>
            <c:strRef>
              <c:f>Summary!$C$86:$F$86</c:f>
              <c:strCache>
                <c:ptCount val="4"/>
                <c:pt idx="0">
                  <c:v>All
Discharged</c:v>
                </c:pt>
                <c:pt idx="1">
                  <c:v>30-day
Readmission</c:v>
                </c:pt>
                <c:pt idx="2">
                  <c:v>90-day
Readmission</c:v>
                </c:pt>
                <c:pt idx="3">
                  <c:v>180-day
Readmission</c:v>
                </c:pt>
              </c:strCache>
            </c:strRef>
          </c:cat>
          <c:val>
            <c:numRef>
              <c:f>Summary!$C$100:$F$100</c:f>
              <c:numCache>
                <c:formatCode>0\ "days"</c:formatCode>
                <c:ptCount val="4"/>
                <c:pt idx="0">
                  <c:v>58</c:v>
                </c:pt>
                <c:pt idx="1">
                  <c:v>44</c:v>
                </c:pt>
                <c:pt idx="2">
                  <c:v>56</c:v>
                </c:pt>
                <c:pt idx="3">
                  <c:v>58</c:v>
                </c:pt>
              </c:numCache>
            </c:numRef>
          </c:val>
        </c:ser>
        <c:dLbls>
          <c:showLegendKey val="0"/>
          <c:showVal val="0"/>
          <c:showCatName val="0"/>
          <c:showSerName val="0"/>
          <c:showPercent val="0"/>
          <c:showBubbleSize val="0"/>
        </c:dLbls>
        <c:gapWidth val="50"/>
        <c:axId val="265324032"/>
        <c:axId val="241543424"/>
      </c:barChart>
      <c:catAx>
        <c:axId val="265324032"/>
        <c:scaling>
          <c:orientation val="minMax"/>
        </c:scaling>
        <c:delete val="0"/>
        <c:axPos val="b"/>
        <c:majorTickMark val="out"/>
        <c:minorTickMark val="none"/>
        <c:tickLblPos val="nextTo"/>
        <c:crossAx val="241543424"/>
        <c:crosses val="autoZero"/>
        <c:auto val="1"/>
        <c:lblAlgn val="ctr"/>
        <c:lblOffset val="100"/>
        <c:noMultiLvlLbl val="0"/>
      </c:catAx>
      <c:valAx>
        <c:axId val="241543424"/>
        <c:scaling>
          <c:orientation val="minMax"/>
          <c:max val="60"/>
          <c:min val="20"/>
        </c:scaling>
        <c:delete val="0"/>
        <c:axPos val="l"/>
        <c:numFmt formatCode="0\ &quot;days&quot;" sourceLinked="1"/>
        <c:majorTickMark val="none"/>
        <c:minorTickMark val="none"/>
        <c:tickLblPos val="none"/>
        <c:spPr>
          <a:ln>
            <a:noFill/>
          </a:ln>
        </c:spPr>
        <c:crossAx val="265324032"/>
        <c:crosses val="autoZero"/>
        <c:crossBetween val="between"/>
      </c:valAx>
    </c:plotArea>
    <c:plotVisOnly val="1"/>
    <c:dispBlanksAs val="gap"/>
    <c:showDLblsOverMax val="0"/>
  </c:chart>
  <c:spPr>
    <a:ln>
      <a:noFill/>
    </a:ln>
  </c:spPr>
  <c:externalData r:id="rId1">
    <c:autoUpdate val="0"/>
  </c:externalData>
  <c:userShapes r:id="rId2"/>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1.9162835859390555E-2"/>
          <c:y val="3.8057120330314435E-2"/>
          <c:w val="0.95563166598394855"/>
          <c:h val="0.74037034361530496"/>
        </c:manualLayout>
      </c:layout>
      <c:barChart>
        <c:barDir val="col"/>
        <c:grouping val="clustered"/>
        <c:varyColors val="0"/>
        <c:ser>
          <c:idx val="1"/>
          <c:order val="0"/>
          <c:tx>
            <c:v>FY12 (n=279 on 9/30/12)</c:v>
          </c:tx>
          <c:spPr>
            <a:gradFill>
              <a:gsLst>
                <a:gs pos="0">
                  <a:schemeClr val="accent3">
                    <a:lumMod val="75000"/>
                  </a:schemeClr>
                </a:gs>
                <a:gs pos="50000">
                  <a:schemeClr val="accent3">
                    <a:lumMod val="60000"/>
                    <a:lumOff val="40000"/>
                  </a:schemeClr>
                </a:gs>
                <a:gs pos="100000">
                  <a:schemeClr val="accent3">
                    <a:lumMod val="40000"/>
                    <a:lumOff val="60000"/>
                  </a:schemeClr>
                </a:gs>
              </a:gsLst>
              <a:lin ang="5400000" scaled="0"/>
            </a:gradFill>
          </c:spPr>
          <c:invertIfNegative val="0"/>
          <c:dLbls>
            <c:txPr>
              <a:bodyPr/>
              <a:lstStyle/>
              <a:p>
                <a:pPr>
                  <a:defRPr b="1">
                    <a:solidFill>
                      <a:schemeClr val="accent3">
                        <a:lumMod val="50000"/>
                      </a:schemeClr>
                    </a:solidFill>
                  </a:defRPr>
                </a:pPr>
                <a:endParaRPr lang="en-US"/>
              </a:p>
            </c:txPr>
            <c:showLegendKey val="0"/>
            <c:showVal val="1"/>
            <c:showCatName val="0"/>
            <c:showSerName val="0"/>
            <c:showPercent val="0"/>
            <c:showBubbleSize val="0"/>
            <c:showLeaderLines val="0"/>
          </c:dLbls>
          <c:cat>
            <c:strRef>
              <c:f>'Axis I~V Summary'!$B$11:$B$16</c:f>
              <c:strCache>
                <c:ptCount val="6"/>
                <c:pt idx="0">
                  <c:v>Cognitive D/O</c:v>
                </c:pt>
                <c:pt idx="1">
                  <c:v>Psychotic D/O</c:v>
                </c:pt>
                <c:pt idx="2">
                  <c:v>Mood D/O</c:v>
                </c:pt>
                <c:pt idx="3">
                  <c:v>Substance Related D/O</c:v>
                </c:pt>
                <c:pt idx="4">
                  <c:v>Non-Compliance with TX</c:v>
                </c:pt>
                <c:pt idx="5">
                  <c:v>NOS diagnosis</c:v>
                </c:pt>
              </c:strCache>
            </c:strRef>
          </c:cat>
          <c:val>
            <c:numRef>
              <c:f>'Axis I~V Summary'!$J$11:$J$16</c:f>
              <c:numCache>
                <c:formatCode>0%</c:formatCode>
                <c:ptCount val="6"/>
                <c:pt idx="0">
                  <c:v>0.18279569892473119</c:v>
                </c:pt>
                <c:pt idx="1">
                  <c:v>0.88888888888888884</c:v>
                </c:pt>
                <c:pt idx="2">
                  <c:v>0.14695340501792115</c:v>
                </c:pt>
                <c:pt idx="3">
                  <c:v>0.59498207885304655</c:v>
                </c:pt>
                <c:pt idx="4">
                  <c:v>1.7921146953405017E-2</c:v>
                </c:pt>
                <c:pt idx="5">
                  <c:v>0.22939068100358423</c:v>
                </c:pt>
              </c:numCache>
            </c:numRef>
          </c:val>
        </c:ser>
        <c:ser>
          <c:idx val="0"/>
          <c:order val="1"/>
          <c:tx>
            <c:v>FY13 (n=273 on 9/30/13)</c:v>
          </c:tx>
          <c:spPr>
            <a:gradFill>
              <a:gsLst>
                <a:gs pos="0">
                  <a:schemeClr val="tx2"/>
                </a:gs>
                <a:gs pos="50000">
                  <a:schemeClr val="tx2">
                    <a:lumMod val="60000"/>
                    <a:lumOff val="40000"/>
                  </a:schemeClr>
                </a:gs>
                <a:gs pos="100000">
                  <a:schemeClr val="tx2">
                    <a:lumMod val="40000"/>
                    <a:lumOff val="60000"/>
                  </a:schemeClr>
                </a:gs>
              </a:gsLst>
              <a:lin ang="5400000" scaled="0"/>
            </a:gradFill>
          </c:spPr>
          <c:invertIfNegative val="0"/>
          <c:dLbls>
            <c:dLbl>
              <c:idx val="10"/>
              <c:layout>
                <c:manualLayout>
                  <c:x val="0"/>
                  <c:y val="8.6862106406080507E-3"/>
                </c:manualLayout>
              </c:layout>
              <c:showLegendKey val="0"/>
              <c:showVal val="1"/>
              <c:showCatName val="0"/>
              <c:showSerName val="0"/>
              <c:showPercent val="0"/>
              <c:showBubbleSize val="0"/>
            </c:dLbl>
            <c:txPr>
              <a:bodyPr/>
              <a:lstStyle/>
              <a:p>
                <a:pPr>
                  <a:defRPr b="1">
                    <a:solidFill>
                      <a:schemeClr val="tx2"/>
                    </a:solidFill>
                  </a:defRPr>
                </a:pPr>
                <a:endParaRPr lang="en-US"/>
              </a:p>
            </c:txPr>
            <c:showLegendKey val="0"/>
            <c:showVal val="1"/>
            <c:showCatName val="0"/>
            <c:showSerName val="0"/>
            <c:showPercent val="0"/>
            <c:showBubbleSize val="0"/>
            <c:showLeaderLines val="0"/>
          </c:dLbls>
          <c:cat>
            <c:strRef>
              <c:f>'Axis I~V Summary'!$B$11:$B$16</c:f>
              <c:strCache>
                <c:ptCount val="6"/>
                <c:pt idx="0">
                  <c:v>Cognitive D/O</c:v>
                </c:pt>
                <c:pt idx="1">
                  <c:v>Psychotic D/O</c:v>
                </c:pt>
                <c:pt idx="2">
                  <c:v>Mood D/O</c:v>
                </c:pt>
                <c:pt idx="3">
                  <c:v>Substance Related D/O</c:v>
                </c:pt>
                <c:pt idx="4">
                  <c:v>Non-Compliance with TX</c:v>
                </c:pt>
                <c:pt idx="5">
                  <c:v>NOS diagnosis</c:v>
                </c:pt>
              </c:strCache>
            </c:strRef>
          </c:cat>
          <c:val>
            <c:numRef>
              <c:f>'Axis I~V Summary'!$H$11:$H$16</c:f>
              <c:numCache>
                <c:formatCode>0%</c:formatCode>
                <c:ptCount val="6"/>
                <c:pt idx="0">
                  <c:v>0.19047619047619047</c:v>
                </c:pt>
                <c:pt idx="1">
                  <c:v>0.90842490842490842</c:v>
                </c:pt>
                <c:pt idx="2">
                  <c:v>0.10256410256410256</c:v>
                </c:pt>
                <c:pt idx="3">
                  <c:v>0.5494505494505495</c:v>
                </c:pt>
                <c:pt idx="4">
                  <c:v>3.2967032967032968E-2</c:v>
                </c:pt>
                <c:pt idx="5">
                  <c:v>0.25274725274725274</c:v>
                </c:pt>
              </c:numCache>
            </c:numRef>
          </c:val>
        </c:ser>
        <c:ser>
          <c:idx val="2"/>
          <c:order val="2"/>
          <c:tx>
            <c:v>FY14 (n=278 on 9/30/14)</c:v>
          </c:tx>
          <c:spPr>
            <a:gradFill>
              <a:gsLst>
                <a:gs pos="0">
                  <a:srgbClr val="C00000"/>
                </a:gs>
                <a:gs pos="50000">
                  <a:schemeClr val="accent2">
                    <a:lumMod val="60000"/>
                    <a:lumOff val="40000"/>
                  </a:schemeClr>
                </a:gs>
                <a:gs pos="100000">
                  <a:schemeClr val="accent2">
                    <a:lumMod val="40000"/>
                    <a:lumOff val="60000"/>
                  </a:schemeClr>
                </a:gs>
              </a:gsLst>
              <a:lin ang="5400000" scaled="0"/>
            </a:gradFill>
          </c:spPr>
          <c:invertIfNegative val="0"/>
          <c:dLbls>
            <c:txPr>
              <a:bodyPr/>
              <a:lstStyle/>
              <a:p>
                <a:pPr>
                  <a:defRPr b="1" u="sng">
                    <a:solidFill>
                      <a:srgbClr val="C00000"/>
                    </a:solidFill>
                  </a:defRPr>
                </a:pPr>
                <a:endParaRPr lang="en-US"/>
              </a:p>
            </c:txPr>
            <c:showLegendKey val="0"/>
            <c:showVal val="1"/>
            <c:showCatName val="0"/>
            <c:showSerName val="0"/>
            <c:showPercent val="0"/>
            <c:showBubbleSize val="0"/>
            <c:showLeaderLines val="0"/>
          </c:dLbls>
          <c:cat>
            <c:strRef>
              <c:f>'Axis I~V Summary'!$B$11:$B$16</c:f>
              <c:strCache>
                <c:ptCount val="6"/>
                <c:pt idx="0">
                  <c:v>Cognitive D/O</c:v>
                </c:pt>
                <c:pt idx="1">
                  <c:v>Psychotic D/O</c:v>
                </c:pt>
                <c:pt idx="2">
                  <c:v>Mood D/O</c:v>
                </c:pt>
                <c:pt idx="3">
                  <c:v>Substance Related D/O</c:v>
                </c:pt>
                <c:pt idx="4">
                  <c:v>Non-Compliance with TX</c:v>
                </c:pt>
                <c:pt idx="5">
                  <c:v>NOS diagnosis</c:v>
                </c:pt>
              </c:strCache>
            </c:strRef>
          </c:cat>
          <c:val>
            <c:numRef>
              <c:f>'Axis I~V Summary'!$F$11:$F$16</c:f>
              <c:numCache>
                <c:formatCode>0%</c:formatCode>
                <c:ptCount val="6"/>
                <c:pt idx="0">
                  <c:v>0.17266187050359713</c:v>
                </c:pt>
                <c:pt idx="1">
                  <c:v>0.90647482014388492</c:v>
                </c:pt>
                <c:pt idx="2">
                  <c:v>0.12589928057553956</c:v>
                </c:pt>
                <c:pt idx="3">
                  <c:v>0.50359712230215825</c:v>
                </c:pt>
                <c:pt idx="4">
                  <c:v>3.237410071942446E-2</c:v>
                </c:pt>
                <c:pt idx="5">
                  <c:v>0.2733812949640288</c:v>
                </c:pt>
              </c:numCache>
            </c:numRef>
          </c:val>
        </c:ser>
        <c:dLbls>
          <c:showLegendKey val="0"/>
          <c:showVal val="0"/>
          <c:showCatName val="0"/>
          <c:showSerName val="0"/>
          <c:showPercent val="0"/>
          <c:showBubbleSize val="0"/>
        </c:dLbls>
        <c:gapWidth val="50"/>
        <c:axId val="265326080"/>
        <c:axId val="285631040"/>
      </c:barChart>
      <c:catAx>
        <c:axId val="265326080"/>
        <c:scaling>
          <c:orientation val="minMax"/>
        </c:scaling>
        <c:delete val="0"/>
        <c:axPos val="b"/>
        <c:numFmt formatCode="General" sourceLinked="1"/>
        <c:majorTickMark val="none"/>
        <c:minorTickMark val="none"/>
        <c:tickLblPos val="nextTo"/>
        <c:txPr>
          <a:bodyPr rot="0" vert="horz"/>
          <a:lstStyle/>
          <a:p>
            <a:pPr>
              <a:defRPr sz="1000"/>
            </a:pPr>
            <a:endParaRPr lang="en-US"/>
          </a:p>
        </c:txPr>
        <c:crossAx val="285631040"/>
        <c:crosses val="autoZero"/>
        <c:auto val="1"/>
        <c:lblAlgn val="ctr"/>
        <c:lblOffset val="100"/>
        <c:tickLblSkip val="1"/>
        <c:tickMarkSkip val="1"/>
        <c:noMultiLvlLbl val="0"/>
      </c:catAx>
      <c:valAx>
        <c:axId val="285631040"/>
        <c:scaling>
          <c:orientation val="minMax"/>
        </c:scaling>
        <c:delete val="1"/>
        <c:axPos val="l"/>
        <c:numFmt formatCode="0%" sourceLinked="1"/>
        <c:majorTickMark val="out"/>
        <c:minorTickMark val="none"/>
        <c:tickLblPos val="none"/>
        <c:crossAx val="265326080"/>
        <c:crosses val="autoZero"/>
        <c:crossBetween val="between"/>
      </c:valAx>
    </c:plotArea>
    <c:legend>
      <c:legendPos val="t"/>
      <c:legendEntry>
        <c:idx val="0"/>
        <c:txPr>
          <a:bodyPr/>
          <a:lstStyle/>
          <a:p>
            <a:pPr>
              <a:defRPr sz="1100" b="1">
                <a:solidFill>
                  <a:schemeClr val="accent3">
                    <a:lumMod val="50000"/>
                  </a:schemeClr>
                </a:solidFill>
              </a:defRPr>
            </a:pPr>
            <a:endParaRPr lang="en-US"/>
          </a:p>
        </c:txPr>
      </c:legendEntry>
      <c:legendEntry>
        <c:idx val="1"/>
        <c:txPr>
          <a:bodyPr/>
          <a:lstStyle/>
          <a:p>
            <a:pPr>
              <a:defRPr sz="1100" b="1">
                <a:solidFill>
                  <a:schemeClr val="tx2"/>
                </a:solidFill>
              </a:defRPr>
            </a:pPr>
            <a:endParaRPr lang="en-US"/>
          </a:p>
        </c:txPr>
      </c:legendEntry>
      <c:legendEntry>
        <c:idx val="2"/>
        <c:txPr>
          <a:bodyPr/>
          <a:lstStyle/>
          <a:p>
            <a:pPr>
              <a:defRPr sz="1100" b="1" u="sng">
                <a:solidFill>
                  <a:srgbClr val="C00000"/>
                </a:solidFill>
              </a:defRPr>
            </a:pPr>
            <a:endParaRPr lang="en-US"/>
          </a:p>
        </c:txPr>
      </c:legendEntry>
      <c:layout>
        <c:manualLayout>
          <c:xMode val="edge"/>
          <c:yMode val="edge"/>
          <c:x val="0.68615531228036741"/>
          <c:y val="6.3241106719367585E-2"/>
          <c:w val="0.28157035589915863"/>
          <c:h val="0.36934341705310553"/>
        </c:manualLayout>
      </c:layout>
      <c:overlay val="0"/>
      <c:txPr>
        <a:bodyPr/>
        <a:lstStyle/>
        <a:p>
          <a:pPr>
            <a:defRPr sz="1100" b="1"/>
          </a:pPr>
          <a:endParaRPr lang="en-US"/>
        </a:p>
      </c:txPr>
    </c:legend>
    <c:plotVisOnly val="1"/>
    <c:dispBlanksAs val="gap"/>
    <c:showDLblsOverMax val="0"/>
  </c:chart>
  <c:spPr>
    <a:ln>
      <a:noFill/>
    </a:ln>
  </c:sp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6222894604135148E-2"/>
          <c:y val="5.1346256136587574E-2"/>
          <c:w val="0.95410914029089788"/>
          <c:h val="0.56763509499584153"/>
        </c:manualLayout>
      </c:layout>
      <c:barChart>
        <c:barDir val="col"/>
        <c:grouping val="clustered"/>
        <c:varyColors val="0"/>
        <c:ser>
          <c:idx val="1"/>
          <c:order val="0"/>
          <c:tx>
            <c:v>FY12 (n=279 on 9/30/12)</c:v>
          </c:tx>
          <c:spPr>
            <a:gradFill>
              <a:gsLst>
                <a:gs pos="0">
                  <a:schemeClr val="accent3">
                    <a:lumMod val="75000"/>
                  </a:schemeClr>
                </a:gs>
                <a:gs pos="50000">
                  <a:schemeClr val="accent3">
                    <a:lumMod val="60000"/>
                    <a:lumOff val="40000"/>
                  </a:schemeClr>
                </a:gs>
                <a:gs pos="100000">
                  <a:schemeClr val="accent3">
                    <a:lumMod val="40000"/>
                    <a:lumOff val="60000"/>
                  </a:schemeClr>
                </a:gs>
              </a:gsLst>
              <a:lin ang="5400000" scaled="0"/>
            </a:gradFill>
          </c:spPr>
          <c:invertIfNegative val="0"/>
          <c:dLbls>
            <c:dLbl>
              <c:idx val="3"/>
              <c:layout>
                <c:manualLayout>
                  <c:x val="-5.8309037900874635E-3"/>
                  <c:y val="0"/>
                </c:manualLayout>
              </c:layout>
              <c:showLegendKey val="0"/>
              <c:showVal val="1"/>
              <c:showCatName val="0"/>
              <c:showSerName val="0"/>
              <c:showPercent val="0"/>
              <c:showBubbleSize val="0"/>
            </c:dLbl>
            <c:dLbl>
              <c:idx val="9"/>
              <c:layout>
                <c:manualLayout>
                  <c:x val="-1.9436345966958211E-3"/>
                  <c:y val="-9.3896713615023476E-3"/>
                </c:manualLayout>
              </c:layout>
              <c:showLegendKey val="0"/>
              <c:showVal val="1"/>
              <c:showCatName val="0"/>
              <c:showSerName val="0"/>
              <c:showPercent val="0"/>
              <c:showBubbleSize val="0"/>
            </c:dLbl>
            <c:txPr>
              <a:bodyPr/>
              <a:lstStyle/>
              <a:p>
                <a:pPr>
                  <a:defRPr sz="900" b="1">
                    <a:solidFill>
                      <a:schemeClr val="accent3">
                        <a:lumMod val="50000"/>
                      </a:schemeClr>
                    </a:solidFill>
                  </a:defRPr>
                </a:pPr>
                <a:endParaRPr lang="en-US"/>
              </a:p>
            </c:txPr>
            <c:showLegendKey val="0"/>
            <c:showVal val="1"/>
            <c:showCatName val="0"/>
            <c:showSerName val="0"/>
            <c:showPercent val="0"/>
            <c:showBubbleSize val="0"/>
            <c:showLeaderLines val="0"/>
          </c:dLbls>
          <c:cat>
            <c:strRef>
              <c:f>'Axis I~V Summary'!$B$72:$B$81</c:f>
              <c:strCache>
                <c:ptCount val="10"/>
                <c:pt idx="0">
                  <c:v>Nicotine</c:v>
                </c:pt>
                <c:pt idx="1">
                  <c:v>Alcohol</c:v>
                </c:pt>
                <c:pt idx="2">
                  <c:v>Cannabis (Marijuana)</c:v>
                </c:pt>
                <c:pt idx="3">
                  <c:v>Cocaine</c:v>
                </c:pt>
                <c:pt idx="4">
                  <c:v>PCP (Phencyclidine)</c:v>
                </c:pt>
                <c:pt idx="5">
                  <c:v>Opioid</c:v>
                </c:pt>
                <c:pt idx="6">
                  <c:v>Amphetamine</c:v>
                </c:pt>
                <c:pt idx="7">
                  <c:v>Hallucinogen</c:v>
                </c:pt>
                <c:pt idx="8">
                  <c:v>Inhalant</c:v>
                </c:pt>
                <c:pt idx="9">
                  <c:v>PolySubstance (&gt;1 subtances involved)</c:v>
                </c:pt>
              </c:strCache>
            </c:strRef>
          </c:cat>
          <c:val>
            <c:numRef>
              <c:f>'Axis I~V Summary'!$J$72:$J$81</c:f>
              <c:numCache>
                <c:formatCode>0%</c:formatCode>
                <c:ptCount val="10"/>
                <c:pt idx="0">
                  <c:v>0.27240143369175629</c:v>
                </c:pt>
                <c:pt idx="1">
                  <c:v>0.37275985663082439</c:v>
                </c:pt>
                <c:pt idx="2">
                  <c:v>0.28673835125448027</c:v>
                </c:pt>
                <c:pt idx="3">
                  <c:v>0.18279569892473119</c:v>
                </c:pt>
                <c:pt idx="4">
                  <c:v>7.8853046594982074E-2</c:v>
                </c:pt>
                <c:pt idx="5">
                  <c:v>6.093189964157706E-2</c:v>
                </c:pt>
                <c:pt idx="6">
                  <c:v>3.2258064516129031E-2</c:v>
                </c:pt>
                <c:pt idx="7">
                  <c:v>3.9426523297491037E-2</c:v>
                </c:pt>
                <c:pt idx="8">
                  <c:v>2.8673835125448029E-2</c:v>
                </c:pt>
                <c:pt idx="9">
                  <c:v>0.42293906810035842</c:v>
                </c:pt>
              </c:numCache>
            </c:numRef>
          </c:val>
        </c:ser>
        <c:ser>
          <c:idx val="0"/>
          <c:order val="1"/>
          <c:tx>
            <c:v>FY13 (n=273 on 9/30/13)</c:v>
          </c:tx>
          <c:spPr>
            <a:gradFill>
              <a:gsLst>
                <a:gs pos="0">
                  <a:schemeClr val="tx2"/>
                </a:gs>
                <a:gs pos="50000">
                  <a:schemeClr val="tx2">
                    <a:lumMod val="60000"/>
                    <a:lumOff val="40000"/>
                  </a:schemeClr>
                </a:gs>
                <a:gs pos="100000">
                  <a:schemeClr val="tx2">
                    <a:lumMod val="40000"/>
                    <a:lumOff val="60000"/>
                  </a:schemeClr>
                </a:gs>
              </a:gsLst>
              <a:lin ang="5400000" scaled="0"/>
            </a:gradFill>
          </c:spPr>
          <c:invertIfNegative val="0"/>
          <c:dLbls>
            <c:dLbl>
              <c:idx val="10"/>
              <c:layout>
                <c:manualLayout>
                  <c:x val="0"/>
                  <c:y val="8.6862106406080507E-3"/>
                </c:manualLayout>
              </c:layout>
              <c:showLegendKey val="0"/>
              <c:showVal val="1"/>
              <c:showCatName val="0"/>
              <c:showSerName val="0"/>
              <c:showPercent val="0"/>
              <c:showBubbleSize val="0"/>
            </c:dLbl>
            <c:txPr>
              <a:bodyPr/>
              <a:lstStyle/>
              <a:p>
                <a:pPr>
                  <a:defRPr sz="900" b="1">
                    <a:solidFill>
                      <a:schemeClr val="tx2"/>
                    </a:solidFill>
                  </a:defRPr>
                </a:pPr>
                <a:endParaRPr lang="en-US"/>
              </a:p>
            </c:txPr>
            <c:showLegendKey val="0"/>
            <c:showVal val="1"/>
            <c:showCatName val="0"/>
            <c:showSerName val="0"/>
            <c:showPercent val="0"/>
            <c:showBubbleSize val="0"/>
            <c:showLeaderLines val="0"/>
          </c:dLbls>
          <c:cat>
            <c:strRef>
              <c:f>'Axis I~V Summary'!$B$72:$B$81</c:f>
              <c:strCache>
                <c:ptCount val="10"/>
                <c:pt idx="0">
                  <c:v>Nicotine</c:v>
                </c:pt>
                <c:pt idx="1">
                  <c:v>Alcohol</c:v>
                </c:pt>
                <c:pt idx="2">
                  <c:v>Cannabis (Marijuana)</c:v>
                </c:pt>
                <c:pt idx="3">
                  <c:v>Cocaine</c:v>
                </c:pt>
                <c:pt idx="4">
                  <c:v>PCP (Phencyclidine)</c:v>
                </c:pt>
                <c:pt idx="5">
                  <c:v>Opioid</c:v>
                </c:pt>
                <c:pt idx="6">
                  <c:v>Amphetamine</c:v>
                </c:pt>
                <c:pt idx="7">
                  <c:v>Hallucinogen</c:v>
                </c:pt>
                <c:pt idx="8">
                  <c:v>Inhalant</c:v>
                </c:pt>
                <c:pt idx="9">
                  <c:v>PolySubstance (&gt;1 subtances involved)</c:v>
                </c:pt>
              </c:strCache>
            </c:strRef>
          </c:cat>
          <c:val>
            <c:numRef>
              <c:f>'Axis I~V Summary'!$H$72:$H$81</c:f>
              <c:numCache>
                <c:formatCode>0%</c:formatCode>
                <c:ptCount val="10"/>
                <c:pt idx="0">
                  <c:v>0.32234432234432236</c:v>
                </c:pt>
                <c:pt idx="1">
                  <c:v>0.30036630036630035</c:v>
                </c:pt>
                <c:pt idx="2">
                  <c:v>0.25274725274725274</c:v>
                </c:pt>
                <c:pt idx="3">
                  <c:v>0.18315018315018314</c:v>
                </c:pt>
                <c:pt idx="4">
                  <c:v>9.8901098901098897E-2</c:v>
                </c:pt>
                <c:pt idx="5">
                  <c:v>5.128205128205128E-2</c:v>
                </c:pt>
                <c:pt idx="6">
                  <c:v>2.9304029304029304E-2</c:v>
                </c:pt>
                <c:pt idx="7">
                  <c:v>2.564102564102564E-2</c:v>
                </c:pt>
                <c:pt idx="8">
                  <c:v>1.4652014652014652E-2</c:v>
                </c:pt>
                <c:pt idx="9">
                  <c:v>0.41025641025641024</c:v>
                </c:pt>
              </c:numCache>
            </c:numRef>
          </c:val>
        </c:ser>
        <c:ser>
          <c:idx val="2"/>
          <c:order val="2"/>
          <c:tx>
            <c:v>FY14 (n=278 on 9/30/14)</c:v>
          </c:tx>
          <c:spPr>
            <a:gradFill>
              <a:gsLst>
                <a:gs pos="0">
                  <a:srgbClr val="C00000"/>
                </a:gs>
                <a:gs pos="50000">
                  <a:schemeClr val="accent2">
                    <a:lumMod val="60000"/>
                    <a:lumOff val="40000"/>
                  </a:schemeClr>
                </a:gs>
                <a:gs pos="100000">
                  <a:schemeClr val="accent2">
                    <a:lumMod val="40000"/>
                    <a:lumOff val="60000"/>
                  </a:schemeClr>
                </a:gs>
              </a:gsLst>
              <a:lin ang="5400000" scaled="0"/>
            </a:gradFill>
          </c:spPr>
          <c:invertIfNegative val="0"/>
          <c:dLbls>
            <c:dLbl>
              <c:idx val="0"/>
              <c:layout>
                <c:manualLayout>
                  <c:x val="6.0514372163388806E-3"/>
                  <c:y val="4.4296788482834993E-3"/>
                </c:manualLayout>
              </c:layout>
              <c:showLegendKey val="0"/>
              <c:showVal val="1"/>
              <c:showCatName val="0"/>
              <c:showSerName val="0"/>
              <c:showPercent val="0"/>
              <c:showBubbleSize val="0"/>
            </c:dLbl>
            <c:dLbl>
              <c:idx val="1"/>
              <c:layout>
                <c:manualLayout>
                  <c:x val="6.0514372163388806E-3"/>
                  <c:y val="0"/>
                </c:manualLayout>
              </c:layout>
              <c:showLegendKey val="0"/>
              <c:showVal val="1"/>
              <c:showCatName val="0"/>
              <c:showSerName val="0"/>
              <c:showPercent val="0"/>
              <c:showBubbleSize val="0"/>
            </c:dLbl>
            <c:dLbl>
              <c:idx val="2"/>
              <c:layout>
                <c:manualLayout>
                  <c:x val="8.0685829551185081E-3"/>
                  <c:y val="4.4296788482834993E-3"/>
                </c:manualLayout>
              </c:layout>
              <c:showLegendKey val="0"/>
              <c:showVal val="1"/>
              <c:showCatName val="0"/>
              <c:showSerName val="0"/>
              <c:showPercent val="0"/>
              <c:showBubbleSize val="0"/>
            </c:dLbl>
            <c:dLbl>
              <c:idx val="4"/>
              <c:layout>
                <c:manualLayout>
                  <c:x val="1.9436345966958211E-3"/>
                  <c:y val="9.3896713615023476E-3"/>
                </c:manualLayout>
              </c:layout>
              <c:showLegendKey val="0"/>
              <c:showVal val="1"/>
              <c:showCatName val="0"/>
              <c:showSerName val="0"/>
              <c:showPercent val="0"/>
              <c:showBubbleSize val="0"/>
            </c:dLbl>
            <c:dLbl>
              <c:idx val="9"/>
              <c:layout>
                <c:manualLayout>
                  <c:x val="6.0514372163388806E-3"/>
                  <c:y val="8.8593576965669985E-3"/>
                </c:manualLayout>
              </c:layout>
              <c:showLegendKey val="0"/>
              <c:showVal val="1"/>
              <c:showCatName val="0"/>
              <c:showSerName val="0"/>
              <c:showPercent val="0"/>
              <c:showBubbleSize val="0"/>
            </c:dLbl>
            <c:txPr>
              <a:bodyPr/>
              <a:lstStyle/>
              <a:p>
                <a:pPr>
                  <a:defRPr b="1" u="sng">
                    <a:solidFill>
                      <a:srgbClr val="C00000"/>
                    </a:solidFill>
                  </a:defRPr>
                </a:pPr>
                <a:endParaRPr lang="en-US"/>
              </a:p>
            </c:txPr>
            <c:showLegendKey val="0"/>
            <c:showVal val="1"/>
            <c:showCatName val="0"/>
            <c:showSerName val="0"/>
            <c:showPercent val="0"/>
            <c:showBubbleSize val="0"/>
            <c:showLeaderLines val="0"/>
          </c:dLbls>
          <c:val>
            <c:numRef>
              <c:f>'Axis I~V Summary'!$F$72:$F$81</c:f>
              <c:numCache>
                <c:formatCode>0%</c:formatCode>
                <c:ptCount val="10"/>
                <c:pt idx="0">
                  <c:v>0.23741007194244604</c:v>
                </c:pt>
                <c:pt idx="1">
                  <c:v>0.26258992805755393</c:v>
                </c:pt>
                <c:pt idx="2">
                  <c:v>0.24820143884892087</c:v>
                </c:pt>
                <c:pt idx="3">
                  <c:v>0.16546762589928057</c:v>
                </c:pt>
                <c:pt idx="4">
                  <c:v>8.9928057553956831E-2</c:v>
                </c:pt>
                <c:pt idx="5">
                  <c:v>3.5971223021582732E-2</c:v>
                </c:pt>
                <c:pt idx="6">
                  <c:v>1.7985611510791366E-2</c:v>
                </c:pt>
                <c:pt idx="7">
                  <c:v>1.7985611510791366E-2</c:v>
                </c:pt>
                <c:pt idx="8">
                  <c:v>7.1942446043165471E-3</c:v>
                </c:pt>
                <c:pt idx="9">
                  <c:v>0.36690647482014388</c:v>
                </c:pt>
              </c:numCache>
            </c:numRef>
          </c:val>
        </c:ser>
        <c:dLbls>
          <c:showLegendKey val="0"/>
          <c:showVal val="0"/>
          <c:showCatName val="0"/>
          <c:showSerName val="0"/>
          <c:showPercent val="0"/>
          <c:showBubbleSize val="0"/>
        </c:dLbls>
        <c:gapWidth val="50"/>
        <c:axId val="266726400"/>
        <c:axId val="241547456"/>
      </c:barChart>
      <c:catAx>
        <c:axId val="266726400"/>
        <c:scaling>
          <c:orientation val="minMax"/>
        </c:scaling>
        <c:delete val="0"/>
        <c:axPos val="b"/>
        <c:numFmt formatCode="General" sourceLinked="1"/>
        <c:majorTickMark val="none"/>
        <c:minorTickMark val="none"/>
        <c:tickLblPos val="nextTo"/>
        <c:txPr>
          <a:bodyPr rot="5400000" vert="horz"/>
          <a:lstStyle/>
          <a:p>
            <a:pPr>
              <a:defRPr sz="1000"/>
            </a:pPr>
            <a:endParaRPr lang="en-US"/>
          </a:p>
        </c:txPr>
        <c:crossAx val="241547456"/>
        <c:crosses val="autoZero"/>
        <c:auto val="1"/>
        <c:lblAlgn val="ctr"/>
        <c:lblOffset val="100"/>
        <c:tickLblSkip val="1"/>
        <c:tickMarkSkip val="1"/>
        <c:noMultiLvlLbl val="0"/>
      </c:catAx>
      <c:valAx>
        <c:axId val="241547456"/>
        <c:scaling>
          <c:orientation val="minMax"/>
        </c:scaling>
        <c:delete val="1"/>
        <c:axPos val="l"/>
        <c:numFmt formatCode="0%" sourceLinked="1"/>
        <c:majorTickMark val="out"/>
        <c:minorTickMark val="none"/>
        <c:tickLblPos val="none"/>
        <c:crossAx val="266726400"/>
        <c:crosses val="autoZero"/>
        <c:crossBetween val="between"/>
      </c:valAx>
    </c:plotArea>
    <c:legend>
      <c:legendPos val="t"/>
      <c:legendEntry>
        <c:idx val="0"/>
        <c:txPr>
          <a:bodyPr/>
          <a:lstStyle/>
          <a:p>
            <a:pPr>
              <a:defRPr sz="1100" b="1">
                <a:solidFill>
                  <a:schemeClr val="accent3">
                    <a:lumMod val="50000"/>
                  </a:schemeClr>
                </a:solidFill>
              </a:defRPr>
            </a:pPr>
            <a:endParaRPr lang="en-US"/>
          </a:p>
        </c:txPr>
      </c:legendEntry>
      <c:legendEntry>
        <c:idx val="1"/>
        <c:txPr>
          <a:bodyPr/>
          <a:lstStyle/>
          <a:p>
            <a:pPr>
              <a:defRPr sz="1100" b="1">
                <a:solidFill>
                  <a:schemeClr val="tx2"/>
                </a:solidFill>
              </a:defRPr>
            </a:pPr>
            <a:endParaRPr lang="en-US"/>
          </a:p>
        </c:txPr>
      </c:legendEntry>
      <c:legendEntry>
        <c:idx val="2"/>
        <c:txPr>
          <a:bodyPr/>
          <a:lstStyle/>
          <a:p>
            <a:pPr>
              <a:defRPr sz="1100" b="1" u="sng">
                <a:solidFill>
                  <a:srgbClr val="C00000"/>
                </a:solidFill>
              </a:defRPr>
            </a:pPr>
            <a:endParaRPr lang="en-US"/>
          </a:p>
        </c:txPr>
      </c:legendEntry>
      <c:layout>
        <c:manualLayout>
          <c:xMode val="edge"/>
          <c:yMode val="edge"/>
          <c:x val="0.45620069805948993"/>
          <c:y val="0.10753795310469912"/>
          <c:w val="0.28157035589915863"/>
          <c:h val="0.29846862165485127"/>
        </c:manualLayout>
      </c:layout>
      <c:overlay val="0"/>
      <c:txPr>
        <a:bodyPr/>
        <a:lstStyle/>
        <a:p>
          <a:pPr>
            <a:defRPr sz="1100" b="1"/>
          </a:pPr>
          <a:endParaRPr lang="en-US"/>
        </a:p>
      </c:txPr>
    </c:legend>
    <c:plotVisOnly val="1"/>
    <c:dispBlanksAs val="gap"/>
    <c:showDLblsOverMax val="0"/>
  </c:chart>
  <c:spPr>
    <a:ln>
      <a:noFill/>
    </a:ln>
  </c:sp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9162835859390555E-2"/>
          <c:y val="2.751693587708651E-2"/>
          <c:w val="0.95563166598394855"/>
          <c:h val="0.80248731754380509"/>
        </c:manualLayout>
      </c:layout>
      <c:barChart>
        <c:barDir val="col"/>
        <c:grouping val="clustered"/>
        <c:varyColors val="0"/>
        <c:ser>
          <c:idx val="1"/>
          <c:order val="0"/>
          <c:tx>
            <c:v>FY12 (n=279 on 9/30/12)</c:v>
          </c:tx>
          <c:spPr>
            <a:gradFill>
              <a:gsLst>
                <a:gs pos="0">
                  <a:schemeClr val="accent3">
                    <a:lumMod val="75000"/>
                  </a:schemeClr>
                </a:gs>
                <a:gs pos="50000">
                  <a:schemeClr val="accent3">
                    <a:lumMod val="60000"/>
                    <a:lumOff val="40000"/>
                  </a:schemeClr>
                </a:gs>
                <a:gs pos="100000">
                  <a:schemeClr val="accent3">
                    <a:lumMod val="40000"/>
                    <a:lumOff val="60000"/>
                  </a:schemeClr>
                </a:gs>
              </a:gsLst>
              <a:lin ang="5400000" scaled="0"/>
            </a:gradFill>
          </c:spPr>
          <c:invertIfNegative val="0"/>
          <c:dLbls>
            <c:txPr>
              <a:bodyPr/>
              <a:lstStyle/>
              <a:p>
                <a:pPr>
                  <a:defRPr b="1">
                    <a:solidFill>
                      <a:schemeClr val="accent3">
                        <a:lumMod val="50000"/>
                      </a:schemeClr>
                    </a:solidFill>
                  </a:defRPr>
                </a:pPr>
                <a:endParaRPr lang="en-US"/>
              </a:p>
            </c:txPr>
            <c:showLegendKey val="0"/>
            <c:showVal val="1"/>
            <c:showCatName val="0"/>
            <c:showSerName val="0"/>
            <c:showPercent val="0"/>
            <c:showBubbleSize val="0"/>
            <c:showLeaderLines val="0"/>
          </c:dLbls>
          <c:cat>
            <c:strRef>
              <c:f>'Axis I~V Summary'!$C$20:$C$25</c:f>
              <c:strCache>
                <c:ptCount val="6"/>
                <c:pt idx="0">
                  <c:v>No DX on Axis-II</c:v>
                </c:pt>
                <c:pt idx="1">
                  <c:v>DX Deferred (799.9)</c:v>
                </c:pt>
                <c:pt idx="2">
                  <c:v>Mental Retardation</c:v>
                </c:pt>
                <c:pt idx="3">
                  <c:v>BIF</c:v>
                </c:pt>
                <c:pt idx="4">
                  <c:v>Personality D/O</c:v>
                </c:pt>
                <c:pt idx="5">
                  <c:v>NOS DX</c:v>
                </c:pt>
              </c:strCache>
            </c:strRef>
          </c:cat>
          <c:val>
            <c:numRef>
              <c:f>'Axis I~V Summary'!$J$20:$J$25</c:f>
              <c:numCache>
                <c:formatCode>0%</c:formatCode>
                <c:ptCount val="6"/>
                <c:pt idx="0">
                  <c:v>0.4050179211469534</c:v>
                </c:pt>
                <c:pt idx="1">
                  <c:v>0.16487455197132617</c:v>
                </c:pt>
                <c:pt idx="2">
                  <c:v>8.2437275985663083E-2</c:v>
                </c:pt>
                <c:pt idx="3">
                  <c:v>0.11827956989247312</c:v>
                </c:pt>
                <c:pt idx="4">
                  <c:v>0.28315412186379929</c:v>
                </c:pt>
                <c:pt idx="5">
                  <c:v>3.9426523297491037E-2</c:v>
                </c:pt>
              </c:numCache>
            </c:numRef>
          </c:val>
        </c:ser>
        <c:ser>
          <c:idx val="0"/>
          <c:order val="1"/>
          <c:tx>
            <c:v>FY13 (n=273 on 9/30/13)</c:v>
          </c:tx>
          <c:spPr>
            <a:gradFill>
              <a:gsLst>
                <a:gs pos="0">
                  <a:schemeClr val="tx2"/>
                </a:gs>
                <a:gs pos="50000">
                  <a:schemeClr val="tx2">
                    <a:lumMod val="60000"/>
                    <a:lumOff val="40000"/>
                  </a:schemeClr>
                </a:gs>
                <a:gs pos="100000">
                  <a:schemeClr val="tx2">
                    <a:lumMod val="40000"/>
                    <a:lumOff val="60000"/>
                  </a:schemeClr>
                </a:gs>
              </a:gsLst>
              <a:lin ang="5400000" scaled="0"/>
            </a:gradFill>
          </c:spPr>
          <c:invertIfNegative val="0"/>
          <c:dLbls>
            <c:dLbl>
              <c:idx val="10"/>
              <c:layout>
                <c:manualLayout>
                  <c:x val="0"/>
                  <c:y val="8.6862106406080507E-3"/>
                </c:manualLayout>
              </c:layout>
              <c:showLegendKey val="0"/>
              <c:showVal val="1"/>
              <c:showCatName val="0"/>
              <c:showSerName val="0"/>
              <c:showPercent val="0"/>
              <c:showBubbleSize val="0"/>
            </c:dLbl>
            <c:txPr>
              <a:bodyPr/>
              <a:lstStyle/>
              <a:p>
                <a:pPr>
                  <a:defRPr b="1">
                    <a:solidFill>
                      <a:schemeClr val="tx2"/>
                    </a:solidFill>
                  </a:defRPr>
                </a:pPr>
                <a:endParaRPr lang="en-US"/>
              </a:p>
            </c:txPr>
            <c:showLegendKey val="0"/>
            <c:showVal val="1"/>
            <c:showCatName val="0"/>
            <c:showSerName val="0"/>
            <c:showPercent val="0"/>
            <c:showBubbleSize val="0"/>
            <c:showLeaderLines val="0"/>
          </c:dLbls>
          <c:cat>
            <c:strRef>
              <c:f>'Axis I~V Summary'!$C$20:$C$25</c:f>
              <c:strCache>
                <c:ptCount val="6"/>
                <c:pt idx="0">
                  <c:v>No DX on Axis-II</c:v>
                </c:pt>
                <c:pt idx="1">
                  <c:v>DX Deferred (799.9)</c:v>
                </c:pt>
                <c:pt idx="2">
                  <c:v>Mental Retardation</c:v>
                </c:pt>
                <c:pt idx="3">
                  <c:v>BIF</c:v>
                </c:pt>
                <c:pt idx="4">
                  <c:v>Personality D/O</c:v>
                </c:pt>
                <c:pt idx="5">
                  <c:v>NOS DX</c:v>
                </c:pt>
              </c:strCache>
            </c:strRef>
          </c:cat>
          <c:val>
            <c:numRef>
              <c:f>'Axis I~V Summary'!$H$20:$H$25</c:f>
              <c:numCache>
                <c:formatCode>0%</c:formatCode>
                <c:ptCount val="6"/>
                <c:pt idx="0">
                  <c:v>0.41391941391941389</c:v>
                </c:pt>
                <c:pt idx="1">
                  <c:v>0.20512820512820512</c:v>
                </c:pt>
                <c:pt idx="2">
                  <c:v>6.95970695970696E-2</c:v>
                </c:pt>
                <c:pt idx="3">
                  <c:v>0.11721611721611722</c:v>
                </c:pt>
                <c:pt idx="4">
                  <c:v>0.25274725274725274</c:v>
                </c:pt>
                <c:pt idx="5">
                  <c:v>4.7619047619047616E-2</c:v>
                </c:pt>
              </c:numCache>
            </c:numRef>
          </c:val>
        </c:ser>
        <c:ser>
          <c:idx val="2"/>
          <c:order val="2"/>
          <c:tx>
            <c:v>FY14 (n=278 on 9/30/14)</c:v>
          </c:tx>
          <c:spPr>
            <a:gradFill>
              <a:gsLst>
                <a:gs pos="0">
                  <a:srgbClr val="C00000"/>
                </a:gs>
                <a:gs pos="50000">
                  <a:schemeClr val="accent2">
                    <a:lumMod val="60000"/>
                    <a:lumOff val="40000"/>
                  </a:schemeClr>
                </a:gs>
                <a:gs pos="100000">
                  <a:schemeClr val="accent2">
                    <a:lumMod val="40000"/>
                    <a:lumOff val="60000"/>
                  </a:schemeClr>
                </a:gs>
              </a:gsLst>
              <a:lin ang="5400000" scaled="0"/>
            </a:gradFill>
          </c:spPr>
          <c:invertIfNegative val="0"/>
          <c:dLbls>
            <c:txPr>
              <a:bodyPr/>
              <a:lstStyle/>
              <a:p>
                <a:pPr>
                  <a:defRPr b="1" u="sng">
                    <a:solidFill>
                      <a:srgbClr val="C00000"/>
                    </a:solidFill>
                  </a:defRPr>
                </a:pPr>
                <a:endParaRPr lang="en-US"/>
              </a:p>
            </c:txPr>
            <c:showLegendKey val="0"/>
            <c:showVal val="1"/>
            <c:showCatName val="0"/>
            <c:showSerName val="0"/>
            <c:showPercent val="0"/>
            <c:showBubbleSize val="0"/>
            <c:showLeaderLines val="0"/>
          </c:dLbls>
          <c:cat>
            <c:strRef>
              <c:f>'Axis I~V Summary'!$C$20:$C$25</c:f>
              <c:strCache>
                <c:ptCount val="6"/>
                <c:pt idx="0">
                  <c:v>No DX on Axis-II</c:v>
                </c:pt>
                <c:pt idx="1">
                  <c:v>DX Deferred (799.9)</c:v>
                </c:pt>
                <c:pt idx="2">
                  <c:v>Mental Retardation</c:v>
                </c:pt>
                <c:pt idx="3">
                  <c:v>BIF</c:v>
                </c:pt>
                <c:pt idx="4">
                  <c:v>Personality D/O</c:v>
                </c:pt>
                <c:pt idx="5">
                  <c:v>NOS DX</c:v>
                </c:pt>
              </c:strCache>
            </c:strRef>
          </c:cat>
          <c:val>
            <c:numRef>
              <c:f>'Axis I~V Summary'!$F$20:$F$25</c:f>
              <c:numCache>
                <c:formatCode>0%</c:formatCode>
                <c:ptCount val="6"/>
                <c:pt idx="0">
                  <c:v>0.43884892086330934</c:v>
                </c:pt>
                <c:pt idx="1">
                  <c:v>0.21942446043165467</c:v>
                </c:pt>
                <c:pt idx="2">
                  <c:v>5.0359712230215826E-2</c:v>
                </c:pt>
                <c:pt idx="3">
                  <c:v>0.10071942446043165</c:v>
                </c:pt>
                <c:pt idx="4">
                  <c:v>0.23741007194244604</c:v>
                </c:pt>
                <c:pt idx="5">
                  <c:v>4.3165467625899283E-2</c:v>
                </c:pt>
              </c:numCache>
            </c:numRef>
          </c:val>
        </c:ser>
        <c:dLbls>
          <c:showLegendKey val="0"/>
          <c:showVal val="0"/>
          <c:showCatName val="0"/>
          <c:showSerName val="0"/>
          <c:showPercent val="0"/>
          <c:showBubbleSize val="0"/>
        </c:dLbls>
        <c:gapWidth val="50"/>
        <c:axId val="277256192"/>
        <c:axId val="241546304"/>
      </c:barChart>
      <c:catAx>
        <c:axId val="277256192"/>
        <c:scaling>
          <c:orientation val="minMax"/>
        </c:scaling>
        <c:delete val="0"/>
        <c:axPos val="b"/>
        <c:numFmt formatCode="General" sourceLinked="1"/>
        <c:majorTickMark val="none"/>
        <c:minorTickMark val="none"/>
        <c:tickLblPos val="nextTo"/>
        <c:txPr>
          <a:bodyPr rot="0" vert="horz"/>
          <a:lstStyle/>
          <a:p>
            <a:pPr>
              <a:defRPr/>
            </a:pPr>
            <a:endParaRPr lang="en-US"/>
          </a:p>
        </c:txPr>
        <c:crossAx val="241546304"/>
        <c:crosses val="autoZero"/>
        <c:auto val="1"/>
        <c:lblAlgn val="ctr"/>
        <c:lblOffset val="100"/>
        <c:tickLblSkip val="1"/>
        <c:tickMarkSkip val="1"/>
        <c:noMultiLvlLbl val="0"/>
      </c:catAx>
      <c:valAx>
        <c:axId val="241546304"/>
        <c:scaling>
          <c:orientation val="minMax"/>
        </c:scaling>
        <c:delete val="1"/>
        <c:axPos val="l"/>
        <c:numFmt formatCode="0%" sourceLinked="1"/>
        <c:majorTickMark val="out"/>
        <c:minorTickMark val="none"/>
        <c:tickLblPos val="none"/>
        <c:crossAx val="277256192"/>
        <c:crosses val="autoZero"/>
        <c:crossBetween val="between"/>
      </c:valAx>
    </c:plotArea>
    <c:legend>
      <c:legendPos val="t"/>
      <c:legendEntry>
        <c:idx val="0"/>
        <c:txPr>
          <a:bodyPr/>
          <a:lstStyle/>
          <a:p>
            <a:pPr>
              <a:defRPr sz="1100" b="1">
                <a:solidFill>
                  <a:schemeClr val="accent3">
                    <a:lumMod val="50000"/>
                  </a:schemeClr>
                </a:solidFill>
              </a:defRPr>
            </a:pPr>
            <a:endParaRPr lang="en-US"/>
          </a:p>
        </c:txPr>
      </c:legendEntry>
      <c:legendEntry>
        <c:idx val="1"/>
        <c:txPr>
          <a:bodyPr/>
          <a:lstStyle/>
          <a:p>
            <a:pPr>
              <a:defRPr sz="1100" b="1">
                <a:solidFill>
                  <a:schemeClr val="tx2"/>
                </a:solidFill>
              </a:defRPr>
            </a:pPr>
            <a:endParaRPr lang="en-US"/>
          </a:p>
        </c:txPr>
      </c:legendEntry>
      <c:legendEntry>
        <c:idx val="2"/>
        <c:txPr>
          <a:bodyPr/>
          <a:lstStyle/>
          <a:p>
            <a:pPr>
              <a:defRPr sz="1100" b="1" u="sng">
                <a:solidFill>
                  <a:srgbClr val="C00000"/>
                </a:solidFill>
              </a:defRPr>
            </a:pPr>
            <a:endParaRPr lang="en-US"/>
          </a:p>
        </c:txPr>
      </c:legendEntry>
      <c:layout>
        <c:manualLayout>
          <c:xMode val="edge"/>
          <c:yMode val="edge"/>
          <c:x val="0.33718909947149195"/>
          <c:y val="4.2160737812911728E-2"/>
          <c:w val="0.28157035589915863"/>
          <c:h val="0.32191258701357983"/>
        </c:manualLayout>
      </c:layout>
      <c:overlay val="0"/>
      <c:txPr>
        <a:bodyPr/>
        <a:lstStyle/>
        <a:p>
          <a:pPr>
            <a:defRPr sz="1100" b="1"/>
          </a:pPr>
          <a:endParaRPr lang="en-US"/>
        </a:p>
      </c:txPr>
    </c:legend>
    <c:plotVisOnly val="1"/>
    <c:dispBlanksAs val="gap"/>
    <c:showDLblsOverMax val="0"/>
  </c:chart>
  <c:spPr>
    <a:ln>
      <a:noFill/>
    </a:ln>
  </c:sp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1094301563287948E-2"/>
          <c:y val="4.6105632144819109E-2"/>
          <c:w val="0.97580314563553994"/>
          <c:h val="0.62777234241068702"/>
        </c:manualLayout>
      </c:layout>
      <c:barChart>
        <c:barDir val="col"/>
        <c:grouping val="clustered"/>
        <c:varyColors val="0"/>
        <c:ser>
          <c:idx val="1"/>
          <c:order val="0"/>
          <c:tx>
            <c:v>FY12 (n=279 on 9/30/12)</c:v>
          </c:tx>
          <c:spPr>
            <a:gradFill>
              <a:gsLst>
                <a:gs pos="0">
                  <a:schemeClr val="accent3">
                    <a:lumMod val="75000"/>
                  </a:schemeClr>
                </a:gs>
                <a:gs pos="50000">
                  <a:schemeClr val="accent3">
                    <a:lumMod val="60000"/>
                    <a:lumOff val="40000"/>
                  </a:schemeClr>
                </a:gs>
                <a:gs pos="100000">
                  <a:schemeClr val="accent3">
                    <a:lumMod val="40000"/>
                    <a:lumOff val="60000"/>
                  </a:schemeClr>
                </a:gs>
              </a:gsLst>
              <a:lin ang="5400000" scaled="0"/>
            </a:gradFill>
          </c:spPr>
          <c:invertIfNegative val="0"/>
          <c:dLbls>
            <c:dLbl>
              <c:idx val="1"/>
              <c:layout>
                <c:manualLayout>
                  <c:x val="-5.7306590257879654E-3"/>
                  <c:y val="0"/>
                </c:manualLayout>
              </c:layout>
              <c:showLegendKey val="0"/>
              <c:showVal val="1"/>
              <c:showCatName val="0"/>
              <c:showSerName val="0"/>
              <c:showPercent val="0"/>
              <c:showBubbleSize val="0"/>
            </c:dLbl>
            <c:dLbl>
              <c:idx val="3"/>
              <c:layout>
                <c:manualLayout>
                  <c:x val="-5.7306590257879654E-3"/>
                  <c:y val="4.7961630695443642E-3"/>
                </c:manualLayout>
              </c:layout>
              <c:showLegendKey val="0"/>
              <c:showVal val="1"/>
              <c:showCatName val="0"/>
              <c:showSerName val="0"/>
              <c:showPercent val="0"/>
              <c:showBubbleSize val="0"/>
            </c:dLbl>
            <c:dLbl>
              <c:idx val="4"/>
              <c:layout>
                <c:manualLayout>
                  <c:x val="-5.7306590257879654E-3"/>
                  <c:y val="9.5923261390887284E-3"/>
                </c:manualLayout>
              </c:layout>
              <c:showLegendKey val="0"/>
              <c:showVal val="1"/>
              <c:showCatName val="0"/>
              <c:showSerName val="0"/>
              <c:showPercent val="0"/>
              <c:showBubbleSize val="0"/>
            </c:dLbl>
            <c:dLbl>
              <c:idx val="6"/>
              <c:layout>
                <c:manualLayout>
                  <c:x val="-5.7306590257880357E-3"/>
                  <c:y val="0"/>
                </c:manualLayout>
              </c:layout>
              <c:showLegendKey val="0"/>
              <c:showVal val="1"/>
              <c:showCatName val="0"/>
              <c:showSerName val="0"/>
              <c:showPercent val="0"/>
              <c:showBubbleSize val="0"/>
            </c:dLbl>
            <c:dLbl>
              <c:idx val="9"/>
              <c:layout>
                <c:manualLayout>
                  <c:x val="-5.7306590257879654E-3"/>
                  <c:y val="0"/>
                </c:manualLayout>
              </c:layout>
              <c:showLegendKey val="0"/>
              <c:showVal val="1"/>
              <c:showCatName val="0"/>
              <c:showSerName val="0"/>
              <c:showPercent val="0"/>
              <c:showBubbleSize val="0"/>
            </c:dLbl>
            <c:txPr>
              <a:bodyPr/>
              <a:lstStyle/>
              <a:p>
                <a:pPr>
                  <a:defRPr sz="900" b="1">
                    <a:solidFill>
                      <a:schemeClr val="accent3">
                        <a:lumMod val="50000"/>
                      </a:schemeClr>
                    </a:solidFill>
                  </a:defRPr>
                </a:pPr>
                <a:endParaRPr lang="en-US"/>
              </a:p>
            </c:txPr>
            <c:showLegendKey val="0"/>
            <c:showVal val="1"/>
            <c:showCatName val="0"/>
            <c:showSerName val="0"/>
            <c:showPercent val="0"/>
            <c:showBubbleSize val="0"/>
            <c:showLeaderLines val="0"/>
          </c:dLbls>
          <c:cat>
            <c:strRef>
              <c:f>'Axis I~V Summary'!$B$29:$B$40</c:f>
              <c:strCache>
                <c:ptCount val="12"/>
                <c:pt idx="0">
                  <c:v>Obesity/
Overweight</c:v>
                </c:pt>
                <c:pt idx="1">
                  <c:v>Diabetes
Type 2</c:v>
                </c:pt>
                <c:pt idx="2">
                  <c:v>Seizure D/O</c:v>
                </c:pt>
                <c:pt idx="3">
                  <c:v>Tardive
Dyskinesia</c:v>
                </c:pt>
                <c:pt idx="4">
                  <c:v>Anemias/
Blood Disease</c:v>
                </c:pt>
                <c:pt idx="5">
                  <c:v>Asthma</c:v>
                </c:pt>
                <c:pt idx="6">
                  <c:v>GERD</c:v>
                </c:pt>
                <c:pt idx="7">
                  <c:v>Glaucoma</c:v>
                </c:pt>
                <c:pt idx="8">
                  <c:v>HIV/AIDS</c:v>
                </c:pt>
                <c:pt idx="9">
                  <c:v>Hyperlipidemia/
D/O of Lipoid
Metabolism</c:v>
                </c:pt>
                <c:pt idx="10">
                  <c:v>Hypertension</c:v>
                </c:pt>
                <c:pt idx="11">
                  <c:v>Thyroid</c:v>
                </c:pt>
              </c:strCache>
            </c:strRef>
          </c:cat>
          <c:val>
            <c:numRef>
              <c:f>'Axis I~V Summary'!$J$29:$J$40</c:f>
              <c:numCache>
                <c:formatCode>0%</c:formatCode>
                <c:ptCount val="12"/>
                <c:pt idx="0">
                  <c:v>0.37634408602150538</c:v>
                </c:pt>
                <c:pt idx="1">
                  <c:v>0.24731182795698925</c:v>
                </c:pt>
                <c:pt idx="2">
                  <c:v>7.1684587813620068E-2</c:v>
                </c:pt>
                <c:pt idx="3">
                  <c:v>0.12544802867383512</c:v>
                </c:pt>
                <c:pt idx="4">
                  <c:v>0.12186379928315412</c:v>
                </c:pt>
                <c:pt idx="5">
                  <c:v>7.5268817204301078E-2</c:v>
                </c:pt>
                <c:pt idx="6">
                  <c:v>0.13261648745519714</c:v>
                </c:pt>
                <c:pt idx="7">
                  <c:v>5.3763440860215055E-2</c:v>
                </c:pt>
                <c:pt idx="8">
                  <c:v>2.1505376344086023E-2</c:v>
                </c:pt>
                <c:pt idx="9">
                  <c:v>0.29390681003584229</c:v>
                </c:pt>
                <c:pt idx="10">
                  <c:v>0.4838709677419355</c:v>
                </c:pt>
                <c:pt idx="11">
                  <c:v>0.13620071684587814</c:v>
                </c:pt>
              </c:numCache>
            </c:numRef>
          </c:val>
        </c:ser>
        <c:ser>
          <c:idx val="0"/>
          <c:order val="1"/>
          <c:tx>
            <c:v>FY13 (n=273 on 9/30/13)</c:v>
          </c:tx>
          <c:spPr>
            <a:gradFill>
              <a:gsLst>
                <a:gs pos="0">
                  <a:schemeClr val="tx2"/>
                </a:gs>
                <a:gs pos="50000">
                  <a:schemeClr val="tx2">
                    <a:lumMod val="60000"/>
                    <a:lumOff val="40000"/>
                  </a:schemeClr>
                </a:gs>
                <a:gs pos="100000">
                  <a:schemeClr val="tx2">
                    <a:lumMod val="40000"/>
                    <a:lumOff val="60000"/>
                  </a:schemeClr>
                </a:gs>
              </a:gsLst>
              <a:lin ang="5400000" scaled="0"/>
            </a:gradFill>
          </c:spPr>
          <c:invertIfNegative val="0"/>
          <c:dLbls>
            <c:dLbl>
              <c:idx val="10"/>
              <c:layout>
                <c:manualLayout>
                  <c:x val="0"/>
                  <c:y val="8.6862106406080507E-3"/>
                </c:manualLayout>
              </c:layout>
              <c:showLegendKey val="0"/>
              <c:showVal val="1"/>
              <c:showCatName val="0"/>
              <c:showSerName val="0"/>
              <c:showPercent val="0"/>
              <c:showBubbleSize val="0"/>
            </c:dLbl>
            <c:txPr>
              <a:bodyPr/>
              <a:lstStyle/>
              <a:p>
                <a:pPr>
                  <a:defRPr sz="900" b="1">
                    <a:solidFill>
                      <a:schemeClr val="tx2"/>
                    </a:solidFill>
                  </a:defRPr>
                </a:pPr>
                <a:endParaRPr lang="en-US"/>
              </a:p>
            </c:txPr>
            <c:showLegendKey val="0"/>
            <c:showVal val="1"/>
            <c:showCatName val="0"/>
            <c:showSerName val="0"/>
            <c:showPercent val="0"/>
            <c:showBubbleSize val="0"/>
            <c:showLeaderLines val="0"/>
          </c:dLbls>
          <c:cat>
            <c:strRef>
              <c:f>'Axis I~V Summary'!$B$29:$B$40</c:f>
              <c:strCache>
                <c:ptCount val="12"/>
                <c:pt idx="0">
                  <c:v>Obesity/
Overweight</c:v>
                </c:pt>
                <c:pt idx="1">
                  <c:v>Diabetes
Type 2</c:v>
                </c:pt>
                <c:pt idx="2">
                  <c:v>Seizure D/O</c:v>
                </c:pt>
                <c:pt idx="3">
                  <c:v>Tardive
Dyskinesia</c:v>
                </c:pt>
                <c:pt idx="4">
                  <c:v>Anemias/
Blood Disease</c:v>
                </c:pt>
                <c:pt idx="5">
                  <c:v>Asthma</c:v>
                </c:pt>
                <c:pt idx="6">
                  <c:v>GERD</c:v>
                </c:pt>
                <c:pt idx="7">
                  <c:v>Glaucoma</c:v>
                </c:pt>
                <c:pt idx="8">
                  <c:v>HIV/AIDS</c:v>
                </c:pt>
                <c:pt idx="9">
                  <c:v>Hyperlipidemia/
D/O of Lipoid
Metabolism</c:v>
                </c:pt>
                <c:pt idx="10">
                  <c:v>Hypertension</c:v>
                </c:pt>
                <c:pt idx="11">
                  <c:v>Thyroid</c:v>
                </c:pt>
              </c:strCache>
            </c:strRef>
          </c:cat>
          <c:val>
            <c:numRef>
              <c:f>'Axis I~V Summary'!$H$29:$H$40</c:f>
              <c:numCache>
                <c:formatCode>0%</c:formatCode>
                <c:ptCount val="12"/>
                <c:pt idx="0">
                  <c:v>0.34432234432234432</c:v>
                </c:pt>
                <c:pt idx="1">
                  <c:v>0.25274725274725274</c:v>
                </c:pt>
                <c:pt idx="2">
                  <c:v>7.6923076923076927E-2</c:v>
                </c:pt>
                <c:pt idx="3">
                  <c:v>0.12454212454212454</c:v>
                </c:pt>
                <c:pt idx="4">
                  <c:v>0.12454212454212454</c:v>
                </c:pt>
                <c:pt idx="5">
                  <c:v>8.4249084249084255E-2</c:v>
                </c:pt>
                <c:pt idx="6">
                  <c:v>0.13553113553113552</c:v>
                </c:pt>
                <c:pt idx="7">
                  <c:v>6.5934065934065936E-2</c:v>
                </c:pt>
                <c:pt idx="8">
                  <c:v>2.564102564102564E-2</c:v>
                </c:pt>
                <c:pt idx="9">
                  <c:v>0.2893772893772894</c:v>
                </c:pt>
                <c:pt idx="10">
                  <c:v>0.48717948717948717</c:v>
                </c:pt>
                <c:pt idx="11">
                  <c:v>0.10989010989010989</c:v>
                </c:pt>
              </c:numCache>
            </c:numRef>
          </c:val>
        </c:ser>
        <c:ser>
          <c:idx val="2"/>
          <c:order val="2"/>
          <c:tx>
            <c:v>FY14 (n=278 on 9/30/14)</c:v>
          </c:tx>
          <c:spPr>
            <a:gradFill>
              <a:gsLst>
                <a:gs pos="0">
                  <a:srgbClr val="C00000"/>
                </a:gs>
                <a:gs pos="50000">
                  <a:schemeClr val="accent2">
                    <a:lumMod val="60000"/>
                    <a:lumOff val="40000"/>
                  </a:schemeClr>
                </a:gs>
                <a:gs pos="100000">
                  <a:schemeClr val="accent2">
                    <a:lumMod val="40000"/>
                    <a:lumOff val="60000"/>
                  </a:schemeClr>
                </a:gs>
              </a:gsLst>
              <a:lin ang="5400000" scaled="0"/>
            </a:gradFill>
          </c:spPr>
          <c:invertIfNegative val="0"/>
          <c:dLbls>
            <c:dLbl>
              <c:idx val="0"/>
              <c:layout>
                <c:manualLayout>
                  <c:x val="6.0514372163388806E-3"/>
                  <c:y val="2.0302460185546832E-17"/>
                </c:manualLayout>
              </c:layout>
              <c:showLegendKey val="0"/>
              <c:showVal val="1"/>
              <c:showCatName val="0"/>
              <c:showSerName val="0"/>
              <c:showPercent val="0"/>
              <c:showBubbleSize val="0"/>
            </c:dLbl>
            <c:dLbl>
              <c:idx val="4"/>
              <c:layout>
                <c:manualLayout>
                  <c:x val="3.8204393505253103E-3"/>
                  <c:y val="0"/>
                </c:manualLayout>
              </c:layout>
              <c:showLegendKey val="0"/>
              <c:showVal val="1"/>
              <c:showCatName val="0"/>
              <c:showSerName val="0"/>
              <c:showPercent val="0"/>
              <c:showBubbleSize val="0"/>
            </c:dLbl>
            <c:dLbl>
              <c:idx val="7"/>
              <c:layout>
                <c:manualLayout>
                  <c:x val="3.8204393505253103E-3"/>
                  <c:y val="0"/>
                </c:manualLayout>
              </c:layout>
              <c:showLegendKey val="0"/>
              <c:showVal val="1"/>
              <c:showCatName val="0"/>
              <c:showSerName val="0"/>
              <c:showPercent val="0"/>
              <c:showBubbleSize val="0"/>
            </c:dLbl>
            <c:dLbl>
              <c:idx val="9"/>
              <c:layout>
                <c:manualLayout>
                  <c:x val="0"/>
                  <c:y val="2.6578073089700997E-2"/>
                </c:manualLayout>
              </c:layout>
              <c:showLegendKey val="0"/>
              <c:showVal val="1"/>
              <c:showCatName val="0"/>
              <c:showSerName val="0"/>
              <c:showPercent val="0"/>
              <c:showBubbleSize val="0"/>
            </c:dLbl>
            <c:dLbl>
              <c:idx val="10"/>
              <c:layout>
                <c:manualLayout>
                  <c:x val="8.0685829551185081E-3"/>
                  <c:y val="1.7718715393133997E-2"/>
                </c:manualLayout>
              </c:layout>
              <c:showLegendKey val="0"/>
              <c:showVal val="1"/>
              <c:showCatName val="0"/>
              <c:showSerName val="0"/>
              <c:showPercent val="0"/>
              <c:showBubbleSize val="0"/>
            </c:dLbl>
            <c:txPr>
              <a:bodyPr/>
              <a:lstStyle/>
              <a:p>
                <a:pPr>
                  <a:defRPr b="1" u="sng">
                    <a:solidFill>
                      <a:srgbClr val="C00000"/>
                    </a:solidFill>
                    <a:effectLst>
                      <a:glow rad="38100">
                        <a:sysClr val="window" lastClr="FFFFFF"/>
                      </a:glow>
                    </a:effectLst>
                  </a:defRPr>
                </a:pPr>
                <a:endParaRPr lang="en-US"/>
              </a:p>
            </c:txPr>
            <c:showLegendKey val="0"/>
            <c:showVal val="1"/>
            <c:showCatName val="0"/>
            <c:showSerName val="0"/>
            <c:showPercent val="0"/>
            <c:showBubbleSize val="0"/>
            <c:showLeaderLines val="0"/>
          </c:dLbls>
          <c:cat>
            <c:strRef>
              <c:f>'Axis I~V Summary'!$B$29:$B$40</c:f>
              <c:strCache>
                <c:ptCount val="12"/>
                <c:pt idx="0">
                  <c:v>Obesity/
Overweight</c:v>
                </c:pt>
                <c:pt idx="1">
                  <c:v>Diabetes
Type 2</c:v>
                </c:pt>
                <c:pt idx="2">
                  <c:v>Seizure D/O</c:v>
                </c:pt>
                <c:pt idx="3">
                  <c:v>Tardive
Dyskinesia</c:v>
                </c:pt>
                <c:pt idx="4">
                  <c:v>Anemias/
Blood Disease</c:v>
                </c:pt>
                <c:pt idx="5">
                  <c:v>Asthma</c:v>
                </c:pt>
                <c:pt idx="6">
                  <c:v>GERD</c:v>
                </c:pt>
                <c:pt idx="7">
                  <c:v>Glaucoma</c:v>
                </c:pt>
                <c:pt idx="8">
                  <c:v>HIV/AIDS</c:v>
                </c:pt>
                <c:pt idx="9">
                  <c:v>Hyperlipidemia/
D/O of Lipoid
Metabolism</c:v>
                </c:pt>
                <c:pt idx="10">
                  <c:v>Hypertension</c:v>
                </c:pt>
                <c:pt idx="11">
                  <c:v>Thyroid</c:v>
                </c:pt>
              </c:strCache>
            </c:strRef>
          </c:cat>
          <c:val>
            <c:numRef>
              <c:f>'Axis I~V Summary'!$F$29:$F$40</c:f>
              <c:numCache>
                <c:formatCode>0%</c:formatCode>
                <c:ptCount val="12"/>
                <c:pt idx="0">
                  <c:v>0.28776978417266186</c:v>
                </c:pt>
                <c:pt idx="1">
                  <c:v>0.21942446043165467</c:v>
                </c:pt>
                <c:pt idx="2">
                  <c:v>6.4748201438848921E-2</c:v>
                </c:pt>
                <c:pt idx="3">
                  <c:v>0.10071942446043165</c:v>
                </c:pt>
                <c:pt idx="4">
                  <c:v>0.12949640287769784</c:v>
                </c:pt>
                <c:pt idx="5">
                  <c:v>7.1942446043165464E-2</c:v>
                </c:pt>
                <c:pt idx="6">
                  <c:v>0.11510791366906475</c:v>
                </c:pt>
                <c:pt idx="7">
                  <c:v>5.0359712230215826E-2</c:v>
                </c:pt>
                <c:pt idx="8">
                  <c:v>2.8776978417266189E-2</c:v>
                </c:pt>
                <c:pt idx="9">
                  <c:v>0.2446043165467626</c:v>
                </c:pt>
                <c:pt idx="10">
                  <c:v>0.46762589928057552</c:v>
                </c:pt>
                <c:pt idx="11">
                  <c:v>8.9928057553956831E-2</c:v>
                </c:pt>
              </c:numCache>
            </c:numRef>
          </c:val>
        </c:ser>
        <c:dLbls>
          <c:showLegendKey val="0"/>
          <c:showVal val="0"/>
          <c:showCatName val="0"/>
          <c:showSerName val="0"/>
          <c:showPercent val="0"/>
          <c:showBubbleSize val="0"/>
        </c:dLbls>
        <c:gapWidth val="50"/>
        <c:axId val="277257728"/>
        <c:axId val="285460736"/>
      </c:barChart>
      <c:catAx>
        <c:axId val="277257728"/>
        <c:scaling>
          <c:orientation val="minMax"/>
        </c:scaling>
        <c:delete val="0"/>
        <c:axPos val="b"/>
        <c:numFmt formatCode="General" sourceLinked="1"/>
        <c:majorTickMark val="none"/>
        <c:minorTickMark val="none"/>
        <c:tickLblPos val="nextTo"/>
        <c:txPr>
          <a:bodyPr rot="5400000" vert="horz"/>
          <a:lstStyle/>
          <a:p>
            <a:pPr>
              <a:defRPr sz="1000"/>
            </a:pPr>
            <a:endParaRPr lang="en-US"/>
          </a:p>
        </c:txPr>
        <c:crossAx val="285460736"/>
        <c:crosses val="autoZero"/>
        <c:auto val="1"/>
        <c:lblAlgn val="ctr"/>
        <c:lblOffset val="100"/>
        <c:tickLblSkip val="1"/>
        <c:tickMarkSkip val="1"/>
        <c:noMultiLvlLbl val="0"/>
      </c:catAx>
      <c:valAx>
        <c:axId val="285460736"/>
        <c:scaling>
          <c:orientation val="minMax"/>
          <c:max val="0.5"/>
          <c:min val="0"/>
        </c:scaling>
        <c:delete val="0"/>
        <c:axPos val="l"/>
        <c:numFmt formatCode="0%" sourceLinked="1"/>
        <c:majorTickMark val="none"/>
        <c:minorTickMark val="none"/>
        <c:tickLblPos val="none"/>
        <c:spPr>
          <a:ln>
            <a:noFill/>
          </a:ln>
        </c:spPr>
        <c:crossAx val="277257728"/>
        <c:crosses val="autoZero"/>
        <c:crossBetween val="between"/>
      </c:valAx>
    </c:plotArea>
    <c:legend>
      <c:legendPos val="t"/>
      <c:legendEntry>
        <c:idx val="0"/>
        <c:txPr>
          <a:bodyPr/>
          <a:lstStyle/>
          <a:p>
            <a:pPr>
              <a:defRPr sz="1100" b="1">
                <a:solidFill>
                  <a:schemeClr val="accent3">
                    <a:lumMod val="50000"/>
                  </a:schemeClr>
                </a:solidFill>
              </a:defRPr>
            </a:pPr>
            <a:endParaRPr lang="en-US"/>
          </a:p>
        </c:txPr>
      </c:legendEntry>
      <c:legendEntry>
        <c:idx val="1"/>
        <c:txPr>
          <a:bodyPr/>
          <a:lstStyle/>
          <a:p>
            <a:pPr>
              <a:defRPr sz="1100" b="1">
                <a:solidFill>
                  <a:schemeClr val="tx2"/>
                </a:solidFill>
              </a:defRPr>
            </a:pPr>
            <a:endParaRPr lang="en-US"/>
          </a:p>
        </c:txPr>
      </c:legendEntry>
      <c:legendEntry>
        <c:idx val="2"/>
        <c:txPr>
          <a:bodyPr/>
          <a:lstStyle/>
          <a:p>
            <a:pPr>
              <a:defRPr sz="1100" b="1" u="sng">
                <a:solidFill>
                  <a:srgbClr val="C00000"/>
                </a:solidFill>
              </a:defRPr>
            </a:pPr>
            <a:endParaRPr lang="en-US"/>
          </a:p>
        </c:txPr>
      </c:legendEntry>
      <c:layout>
        <c:manualLayout>
          <c:xMode val="edge"/>
          <c:yMode val="edge"/>
          <c:x val="0.33718909947149195"/>
          <c:y val="4.2160737812911728E-2"/>
          <c:w val="0.28157035589915863"/>
          <c:h val="0.26432661033649862"/>
        </c:manualLayout>
      </c:layout>
      <c:overlay val="0"/>
      <c:txPr>
        <a:bodyPr/>
        <a:lstStyle/>
        <a:p>
          <a:pPr>
            <a:defRPr sz="1100" b="1"/>
          </a:pPr>
          <a:endParaRPr lang="en-US"/>
        </a:p>
      </c:txPr>
    </c:legend>
    <c:plotVisOnly val="1"/>
    <c:dispBlanksAs val="gap"/>
    <c:showDLblsOverMax val="0"/>
  </c:chart>
  <c:spPr>
    <a:ln>
      <a:noFill/>
    </a:ln>
  </c:sp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0"/>
    </mc:Choice>
    <mc:Fallback>
      <c:style val="20"/>
    </mc:Fallback>
  </mc:AlternateContent>
  <c:chart>
    <c:autoTitleDeleted val="1"/>
    <c:plotArea>
      <c:layout>
        <c:manualLayout>
          <c:layoutTarget val="inner"/>
          <c:xMode val="edge"/>
          <c:yMode val="edge"/>
          <c:x val="1.3111447302067581E-2"/>
          <c:y val="2.5000479591213889E-2"/>
          <c:w val="0.96957095945458238"/>
          <c:h val="0.65242123804291907"/>
        </c:manualLayout>
      </c:layout>
      <c:barChart>
        <c:barDir val="col"/>
        <c:grouping val="clustered"/>
        <c:varyColors val="0"/>
        <c:ser>
          <c:idx val="0"/>
          <c:order val="0"/>
          <c:tx>
            <c:v>Axis-III</c:v>
          </c:tx>
          <c:invertIfNegative val="0"/>
          <c:dLbls>
            <c:dLbl>
              <c:idx val="10"/>
              <c:layout>
                <c:manualLayout>
                  <c:x val="0"/>
                  <c:y val="0"/>
                </c:manualLayout>
              </c:layout>
              <c:showLegendKey val="0"/>
              <c:showVal val="1"/>
              <c:showCatName val="0"/>
              <c:showSerName val="0"/>
              <c:showPercent val="0"/>
              <c:showBubbleSize val="0"/>
            </c:dLbl>
            <c:txPr>
              <a:bodyPr/>
              <a:lstStyle/>
              <a:p>
                <a:pPr>
                  <a:defRPr sz="1100" b="1">
                    <a:solidFill>
                      <a:srgbClr val="C00000"/>
                    </a:solidFill>
                  </a:defRPr>
                </a:pPr>
                <a:endParaRPr lang="en-US"/>
              </a:p>
            </c:txPr>
            <c:showLegendKey val="0"/>
            <c:showVal val="1"/>
            <c:showCatName val="0"/>
            <c:showSerName val="0"/>
            <c:showPercent val="0"/>
            <c:showBubbleSize val="0"/>
            <c:showLeaderLines val="0"/>
          </c:dLbls>
          <c:cat>
            <c:strRef>
              <c:f>'Axis I~V Summary'!$D$29:$D$40</c:f>
              <c:strCache>
                <c:ptCount val="12"/>
                <c:pt idx="0">
                  <c:v>Obesity/Overweight (29%)</c:v>
                </c:pt>
                <c:pt idx="1">
                  <c:v>Diabetes II (22%)</c:v>
                </c:pt>
                <c:pt idx="2">
                  <c:v>Seizure D/O (6%)</c:v>
                </c:pt>
                <c:pt idx="3">
                  <c:v>TD (10%)</c:v>
                </c:pt>
                <c:pt idx="4">
                  <c:v>Anemia (13%)</c:v>
                </c:pt>
                <c:pt idx="5">
                  <c:v>Asthma (7%)</c:v>
                </c:pt>
                <c:pt idx="6">
                  <c:v>GERD (12%)</c:v>
                </c:pt>
                <c:pt idx="7">
                  <c:v>Glaucoma (5%)</c:v>
                </c:pt>
                <c:pt idx="8">
                  <c:v>HIV/AIDS (3%)</c:v>
                </c:pt>
                <c:pt idx="9">
                  <c:v>Hyper-lipidemia (24%)</c:v>
                </c:pt>
                <c:pt idx="10">
                  <c:v>Hyper-tension (47%)</c:v>
                </c:pt>
                <c:pt idx="11">
                  <c:v>Thyroid (9%)</c:v>
                </c:pt>
              </c:strCache>
            </c:strRef>
          </c:cat>
          <c:val>
            <c:numRef>
              <c:f>'Axis I~V Summary'!$E$29:$E$40</c:f>
              <c:numCache>
                <c:formatCode>0</c:formatCode>
                <c:ptCount val="12"/>
                <c:pt idx="0">
                  <c:v>80</c:v>
                </c:pt>
                <c:pt idx="1">
                  <c:v>61</c:v>
                </c:pt>
                <c:pt idx="2">
                  <c:v>18</c:v>
                </c:pt>
                <c:pt idx="3">
                  <c:v>28</c:v>
                </c:pt>
                <c:pt idx="4">
                  <c:v>36</c:v>
                </c:pt>
                <c:pt idx="5">
                  <c:v>20</c:v>
                </c:pt>
                <c:pt idx="6">
                  <c:v>32</c:v>
                </c:pt>
                <c:pt idx="7">
                  <c:v>14</c:v>
                </c:pt>
                <c:pt idx="8">
                  <c:v>8</c:v>
                </c:pt>
                <c:pt idx="9">
                  <c:v>68</c:v>
                </c:pt>
                <c:pt idx="10">
                  <c:v>130</c:v>
                </c:pt>
                <c:pt idx="11">
                  <c:v>25</c:v>
                </c:pt>
              </c:numCache>
            </c:numRef>
          </c:val>
        </c:ser>
        <c:dLbls>
          <c:showLegendKey val="0"/>
          <c:showVal val="0"/>
          <c:showCatName val="0"/>
          <c:showSerName val="0"/>
          <c:showPercent val="0"/>
          <c:showBubbleSize val="0"/>
        </c:dLbls>
        <c:gapWidth val="50"/>
        <c:axId val="277254144"/>
        <c:axId val="285635648"/>
      </c:barChart>
      <c:catAx>
        <c:axId val="277254144"/>
        <c:scaling>
          <c:orientation val="minMax"/>
        </c:scaling>
        <c:delete val="0"/>
        <c:axPos val="b"/>
        <c:numFmt formatCode="General" sourceLinked="1"/>
        <c:majorTickMark val="none"/>
        <c:minorTickMark val="none"/>
        <c:tickLblPos val="nextTo"/>
        <c:txPr>
          <a:bodyPr rot="-5400000" vert="horz"/>
          <a:lstStyle/>
          <a:p>
            <a:pPr>
              <a:defRPr/>
            </a:pPr>
            <a:endParaRPr lang="en-US"/>
          </a:p>
        </c:txPr>
        <c:crossAx val="285635648"/>
        <c:crosses val="autoZero"/>
        <c:auto val="1"/>
        <c:lblAlgn val="ctr"/>
        <c:lblOffset val="100"/>
        <c:tickLblSkip val="1"/>
        <c:tickMarkSkip val="1"/>
        <c:noMultiLvlLbl val="0"/>
      </c:catAx>
      <c:valAx>
        <c:axId val="285635648"/>
        <c:scaling>
          <c:orientation val="minMax"/>
        </c:scaling>
        <c:delete val="1"/>
        <c:axPos val="l"/>
        <c:numFmt formatCode="0" sourceLinked="1"/>
        <c:majorTickMark val="out"/>
        <c:minorTickMark val="none"/>
        <c:tickLblPos val="none"/>
        <c:crossAx val="277254144"/>
        <c:crosses val="autoZero"/>
        <c:crossBetween val="between"/>
      </c:valAx>
    </c:plotArea>
    <c:plotVisOnly val="1"/>
    <c:dispBlanksAs val="gap"/>
    <c:showDLblsOverMax val="0"/>
  </c:chart>
  <c:spPr>
    <a:ln>
      <a:noFill/>
    </a:ln>
  </c:spPr>
  <c:externalData r:id="rId1">
    <c:autoUpdate val="0"/>
  </c:externalData>
  <c:userShapes r:id="rId2"/>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2"/>
    </mc:Choice>
    <mc:Fallback>
      <c:style val="12"/>
    </mc:Fallback>
  </mc:AlternateContent>
  <c:chart>
    <c:autoTitleDeleted val="1"/>
    <c:plotArea>
      <c:layout>
        <c:manualLayout>
          <c:layoutTarget val="inner"/>
          <c:xMode val="edge"/>
          <c:yMode val="edge"/>
          <c:x val="0.11128741149169956"/>
          <c:y val="3.0084235860409467E-2"/>
          <c:w val="0.62064116040910489"/>
          <c:h val="0.82502609587594655"/>
        </c:manualLayout>
      </c:layout>
      <c:barChart>
        <c:barDir val="col"/>
        <c:grouping val="percentStacked"/>
        <c:varyColors val="0"/>
        <c:ser>
          <c:idx val="1"/>
          <c:order val="0"/>
          <c:tx>
            <c:strRef>
              <c:f>'Axis I~V Summary'!$B$54</c:f>
              <c:strCache>
                <c:ptCount val="1"/>
                <c:pt idx="0">
                  <c:v>&lt;=20</c:v>
                </c:pt>
              </c:strCache>
            </c:strRef>
          </c:tx>
          <c:spPr>
            <a:solidFill>
              <a:schemeClr val="accent2">
                <a:lumMod val="50000"/>
              </a:schemeClr>
            </a:solidFill>
          </c:spPr>
          <c:invertIfNegative val="0"/>
          <c:dLbls>
            <c:txPr>
              <a:bodyPr/>
              <a:lstStyle/>
              <a:p>
                <a:pPr>
                  <a:defRPr b="1">
                    <a:solidFill>
                      <a:schemeClr val="bg1"/>
                    </a:solidFill>
                  </a:defRPr>
                </a:pPr>
                <a:endParaRPr lang="en-US"/>
              </a:p>
            </c:txPr>
            <c:showLegendKey val="0"/>
            <c:showVal val="1"/>
            <c:showCatName val="0"/>
            <c:showSerName val="0"/>
            <c:showPercent val="0"/>
            <c:showBubbleSize val="0"/>
            <c:showLeaderLines val="0"/>
          </c:dLbls>
          <c:cat>
            <c:strRef>
              <c:f>('Axis I~V Summary'!$M$52,'Axis I~V Summary'!$K$52,'Axis I~V Summary'!$I$52,'Axis I~V Summary'!$G$52,'Axis I~V Summary'!$E$52)</c:f>
              <c:strCache>
                <c:ptCount val="5"/>
                <c:pt idx="0">
                  <c:v>9/30/10 (n=309)</c:v>
                </c:pt>
                <c:pt idx="1">
                  <c:v>9/30/11 (n=288)</c:v>
                </c:pt>
                <c:pt idx="2">
                  <c:v>9/30/12 (n=277)</c:v>
                </c:pt>
                <c:pt idx="3">
                  <c:v>9/30/13 (n=270)</c:v>
                </c:pt>
                <c:pt idx="4">
                  <c:v>9/30/14 (n=274)</c:v>
                </c:pt>
              </c:strCache>
            </c:strRef>
          </c:cat>
          <c:val>
            <c:numRef>
              <c:f>('Axis I~V Summary'!$N$54,'Axis I~V Summary'!$L$54,'Axis I~V Summary'!$J$54,'Axis I~V Summary'!$H$54,'Axis I~V Summary'!$F$54)</c:f>
              <c:numCache>
                <c:formatCode>0%</c:formatCode>
                <c:ptCount val="5"/>
                <c:pt idx="0">
                  <c:v>6.4724919093851127E-2</c:v>
                </c:pt>
                <c:pt idx="1">
                  <c:v>4.8611111111111112E-2</c:v>
                </c:pt>
                <c:pt idx="2">
                  <c:v>0.1003584229390681</c:v>
                </c:pt>
                <c:pt idx="3">
                  <c:v>8.0586080586080591E-2</c:v>
                </c:pt>
                <c:pt idx="4">
                  <c:v>6.4748201438848921E-2</c:v>
                </c:pt>
              </c:numCache>
            </c:numRef>
          </c:val>
        </c:ser>
        <c:ser>
          <c:idx val="0"/>
          <c:order val="1"/>
          <c:tx>
            <c:strRef>
              <c:f>'Axis I~V Summary'!$B$55</c:f>
              <c:strCache>
                <c:ptCount val="1"/>
                <c:pt idx="0">
                  <c:v>21-30</c:v>
                </c:pt>
              </c:strCache>
            </c:strRef>
          </c:tx>
          <c:spPr>
            <a:solidFill>
              <a:schemeClr val="accent2"/>
            </a:solidFill>
          </c:spPr>
          <c:invertIfNegative val="0"/>
          <c:dLbls>
            <c:txPr>
              <a:bodyPr/>
              <a:lstStyle/>
              <a:p>
                <a:pPr>
                  <a:defRPr b="1">
                    <a:solidFill>
                      <a:schemeClr val="bg1"/>
                    </a:solidFill>
                  </a:defRPr>
                </a:pPr>
                <a:endParaRPr lang="en-US"/>
              </a:p>
            </c:txPr>
            <c:showLegendKey val="0"/>
            <c:showVal val="1"/>
            <c:showCatName val="0"/>
            <c:showSerName val="0"/>
            <c:showPercent val="0"/>
            <c:showBubbleSize val="0"/>
            <c:showLeaderLines val="0"/>
          </c:dLbls>
          <c:cat>
            <c:strRef>
              <c:f>('Axis I~V Summary'!$M$52,'Axis I~V Summary'!$K$52,'Axis I~V Summary'!$I$52,'Axis I~V Summary'!$G$52,'Axis I~V Summary'!$E$52)</c:f>
              <c:strCache>
                <c:ptCount val="5"/>
                <c:pt idx="0">
                  <c:v>9/30/10 (n=309)</c:v>
                </c:pt>
                <c:pt idx="1">
                  <c:v>9/30/11 (n=288)</c:v>
                </c:pt>
                <c:pt idx="2">
                  <c:v>9/30/12 (n=277)</c:v>
                </c:pt>
                <c:pt idx="3">
                  <c:v>9/30/13 (n=270)</c:v>
                </c:pt>
                <c:pt idx="4">
                  <c:v>9/30/14 (n=274)</c:v>
                </c:pt>
              </c:strCache>
            </c:strRef>
          </c:cat>
          <c:val>
            <c:numRef>
              <c:f>('Axis I~V Summary'!$N$55,'Axis I~V Summary'!$L$55,'Axis I~V Summary'!$J$55,'Axis I~V Summary'!$H$55,'Axis I~V Summary'!$F$55)</c:f>
              <c:numCache>
                <c:formatCode>0%</c:formatCode>
                <c:ptCount val="5"/>
                <c:pt idx="0">
                  <c:v>0.29773462783171523</c:v>
                </c:pt>
                <c:pt idx="1">
                  <c:v>0.34722222222222221</c:v>
                </c:pt>
                <c:pt idx="2">
                  <c:v>0.25806451612903225</c:v>
                </c:pt>
                <c:pt idx="3">
                  <c:v>0.30769230769230771</c:v>
                </c:pt>
                <c:pt idx="4">
                  <c:v>0.37050359712230213</c:v>
                </c:pt>
              </c:numCache>
            </c:numRef>
          </c:val>
        </c:ser>
        <c:ser>
          <c:idx val="2"/>
          <c:order val="2"/>
          <c:tx>
            <c:strRef>
              <c:f>'Axis I~V Summary'!$B$56</c:f>
              <c:strCache>
                <c:ptCount val="1"/>
                <c:pt idx="0">
                  <c:v>31-40</c:v>
                </c:pt>
              </c:strCache>
            </c:strRef>
          </c:tx>
          <c:spPr>
            <a:solidFill>
              <a:schemeClr val="accent2">
                <a:lumMod val="40000"/>
                <a:lumOff val="60000"/>
              </a:schemeClr>
            </a:solidFill>
          </c:spPr>
          <c:invertIfNegative val="0"/>
          <c:dLbls>
            <c:showLegendKey val="0"/>
            <c:showVal val="1"/>
            <c:showCatName val="0"/>
            <c:showSerName val="0"/>
            <c:showPercent val="0"/>
            <c:showBubbleSize val="0"/>
            <c:showLeaderLines val="0"/>
          </c:dLbls>
          <c:cat>
            <c:strRef>
              <c:f>('Axis I~V Summary'!$M$52,'Axis I~V Summary'!$K$52,'Axis I~V Summary'!$I$52,'Axis I~V Summary'!$G$52,'Axis I~V Summary'!$E$52)</c:f>
              <c:strCache>
                <c:ptCount val="5"/>
                <c:pt idx="0">
                  <c:v>9/30/10 (n=309)</c:v>
                </c:pt>
                <c:pt idx="1">
                  <c:v>9/30/11 (n=288)</c:v>
                </c:pt>
                <c:pt idx="2">
                  <c:v>9/30/12 (n=277)</c:v>
                </c:pt>
                <c:pt idx="3">
                  <c:v>9/30/13 (n=270)</c:v>
                </c:pt>
                <c:pt idx="4">
                  <c:v>9/30/14 (n=274)</c:v>
                </c:pt>
              </c:strCache>
            </c:strRef>
          </c:cat>
          <c:val>
            <c:numRef>
              <c:f>('Axis I~V Summary'!$N$56,'Axis I~V Summary'!$L$56,'Axis I~V Summary'!$J$56,'Axis I~V Summary'!$H$56,'Axis I~V Summary'!$F$56)</c:f>
              <c:numCache>
                <c:formatCode>0%</c:formatCode>
                <c:ptCount val="5"/>
                <c:pt idx="0">
                  <c:v>0.36893203883495146</c:v>
                </c:pt>
                <c:pt idx="1">
                  <c:v>0.3263888888888889</c:v>
                </c:pt>
                <c:pt idx="2">
                  <c:v>0.37634408602150538</c:v>
                </c:pt>
                <c:pt idx="3">
                  <c:v>0.33699633699633702</c:v>
                </c:pt>
                <c:pt idx="4">
                  <c:v>0.32014388489208634</c:v>
                </c:pt>
              </c:numCache>
            </c:numRef>
          </c:val>
        </c:ser>
        <c:ser>
          <c:idx val="3"/>
          <c:order val="3"/>
          <c:tx>
            <c:strRef>
              <c:f>'Axis I~V Summary'!$B$57</c:f>
              <c:strCache>
                <c:ptCount val="1"/>
                <c:pt idx="0">
                  <c:v>41-50</c:v>
                </c:pt>
              </c:strCache>
            </c:strRef>
          </c:tx>
          <c:spPr>
            <a:solidFill>
              <a:schemeClr val="accent3">
                <a:lumMod val="40000"/>
                <a:lumOff val="60000"/>
              </a:schemeClr>
            </a:solidFill>
          </c:spPr>
          <c:invertIfNegative val="0"/>
          <c:dLbls>
            <c:showLegendKey val="0"/>
            <c:showVal val="1"/>
            <c:showCatName val="0"/>
            <c:showSerName val="0"/>
            <c:showPercent val="0"/>
            <c:showBubbleSize val="0"/>
            <c:showLeaderLines val="0"/>
          </c:dLbls>
          <c:cat>
            <c:strRef>
              <c:f>('Axis I~V Summary'!$M$52,'Axis I~V Summary'!$K$52,'Axis I~V Summary'!$I$52,'Axis I~V Summary'!$G$52,'Axis I~V Summary'!$E$52)</c:f>
              <c:strCache>
                <c:ptCount val="5"/>
                <c:pt idx="0">
                  <c:v>9/30/10 (n=309)</c:v>
                </c:pt>
                <c:pt idx="1">
                  <c:v>9/30/11 (n=288)</c:v>
                </c:pt>
                <c:pt idx="2">
                  <c:v>9/30/12 (n=277)</c:v>
                </c:pt>
                <c:pt idx="3">
                  <c:v>9/30/13 (n=270)</c:v>
                </c:pt>
                <c:pt idx="4">
                  <c:v>9/30/14 (n=274)</c:v>
                </c:pt>
              </c:strCache>
            </c:strRef>
          </c:cat>
          <c:val>
            <c:numRef>
              <c:f>('Axis I~V Summary'!$N$57,'Axis I~V Summary'!$L$57,'Axis I~V Summary'!$J$57,'Axis I~V Summary'!$H$57,'Axis I~V Summary'!$F$57)</c:f>
              <c:numCache>
                <c:formatCode>0%</c:formatCode>
                <c:ptCount val="5"/>
                <c:pt idx="0">
                  <c:v>0.19093851132686085</c:v>
                </c:pt>
                <c:pt idx="1">
                  <c:v>0.19791666666666666</c:v>
                </c:pt>
                <c:pt idx="2">
                  <c:v>0.18279569892473119</c:v>
                </c:pt>
                <c:pt idx="3">
                  <c:v>0.17582417582417584</c:v>
                </c:pt>
                <c:pt idx="4">
                  <c:v>0.14748201438848921</c:v>
                </c:pt>
              </c:numCache>
            </c:numRef>
          </c:val>
        </c:ser>
        <c:ser>
          <c:idx val="4"/>
          <c:order val="4"/>
          <c:tx>
            <c:strRef>
              <c:f>'Axis I~V Summary'!$B$58</c:f>
              <c:strCache>
                <c:ptCount val="1"/>
                <c:pt idx="0">
                  <c:v>51-60</c:v>
                </c:pt>
              </c:strCache>
            </c:strRef>
          </c:tx>
          <c:spPr>
            <a:solidFill>
              <a:schemeClr val="accent3"/>
            </a:solidFill>
          </c:spPr>
          <c:invertIfNegative val="0"/>
          <c:dLbls>
            <c:showLegendKey val="0"/>
            <c:showVal val="1"/>
            <c:showCatName val="0"/>
            <c:showSerName val="0"/>
            <c:showPercent val="0"/>
            <c:showBubbleSize val="0"/>
            <c:showLeaderLines val="0"/>
          </c:dLbls>
          <c:cat>
            <c:strRef>
              <c:f>('Axis I~V Summary'!$M$52,'Axis I~V Summary'!$K$52,'Axis I~V Summary'!$I$52,'Axis I~V Summary'!$G$52,'Axis I~V Summary'!$E$52)</c:f>
              <c:strCache>
                <c:ptCount val="5"/>
                <c:pt idx="0">
                  <c:v>9/30/10 (n=309)</c:v>
                </c:pt>
                <c:pt idx="1">
                  <c:v>9/30/11 (n=288)</c:v>
                </c:pt>
                <c:pt idx="2">
                  <c:v>9/30/12 (n=277)</c:v>
                </c:pt>
                <c:pt idx="3">
                  <c:v>9/30/13 (n=270)</c:v>
                </c:pt>
                <c:pt idx="4">
                  <c:v>9/30/14 (n=274)</c:v>
                </c:pt>
              </c:strCache>
            </c:strRef>
          </c:cat>
          <c:val>
            <c:numRef>
              <c:f>('Axis I~V Summary'!$N$58,'Axis I~V Summary'!$L$58,'Axis I~V Summary'!$J$58,'Axis I~V Summary'!$H$58,'Axis I~V Summary'!$F$58)</c:f>
              <c:numCache>
                <c:formatCode>0%</c:formatCode>
                <c:ptCount val="5"/>
                <c:pt idx="0">
                  <c:v>4.8543689320388349E-2</c:v>
                </c:pt>
                <c:pt idx="1">
                  <c:v>4.8611111111111112E-2</c:v>
                </c:pt>
                <c:pt idx="2">
                  <c:v>5.3763440860215055E-2</c:v>
                </c:pt>
                <c:pt idx="3">
                  <c:v>6.95970695970696E-2</c:v>
                </c:pt>
                <c:pt idx="4">
                  <c:v>6.4748201438848921E-2</c:v>
                </c:pt>
              </c:numCache>
            </c:numRef>
          </c:val>
        </c:ser>
        <c:ser>
          <c:idx val="5"/>
          <c:order val="5"/>
          <c:tx>
            <c:strRef>
              <c:f>'Axis I~V Summary'!$B$59</c:f>
              <c:strCache>
                <c:ptCount val="1"/>
                <c:pt idx="0">
                  <c:v>&gt;=61</c:v>
                </c:pt>
              </c:strCache>
            </c:strRef>
          </c:tx>
          <c:spPr>
            <a:solidFill>
              <a:schemeClr val="accent3">
                <a:lumMod val="50000"/>
              </a:schemeClr>
            </a:solidFill>
          </c:spPr>
          <c:invertIfNegative val="0"/>
          <c:dLbls>
            <c:txPr>
              <a:bodyPr/>
              <a:lstStyle/>
              <a:p>
                <a:pPr>
                  <a:defRPr b="1">
                    <a:solidFill>
                      <a:schemeClr val="bg1"/>
                    </a:solidFill>
                    <a:effectLst>
                      <a:glow rad="63500">
                        <a:srgbClr val="9BBB59">
                          <a:lumMod val="50000"/>
                        </a:srgbClr>
                      </a:glow>
                    </a:effectLst>
                  </a:defRPr>
                </a:pPr>
                <a:endParaRPr lang="en-US"/>
              </a:p>
            </c:txPr>
            <c:showLegendKey val="0"/>
            <c:showVal val="1"/>
            <c:showCatName val="0"/>
            <c:showSerName val="0"/>
            <c:showPercent val="0"/>
            <c:showBubbleSize val="0"/>
            <c:showLeaderLines val="0"/>
          </c:dLbls>
          <c:cat>
            <c:strRef>
              <c:f>('Axis I~V Summary'!$M$52,'Axis I~V Summary'!$K$52,'Axis I~V Summary'!$I$52,'Axis I~V Summary'!$G$52,'Axis I~V Summary'!$E$52)</c:f>
              <c:strCache>
                <c:ptCount val="5"/>
                <c:pt idx="0">
                  <c:v>9/30/10 (n=309)</c:v>
                </c:pt>
                <c:pt idx="1">
                  <c:v>9/30/11 (n=288)</c:v>
                </c:pt>
                <c:pt idx="2">
                  <c:v>9/30/12 (n=277)</c:v>
                </c:pt>
                <c:pt idx="3">
                  <c:v>9/30/13 (n=270)</c:v>
                </c:pt>
                <c:pt idx="4">
                  <c:v>9/30/14 (n=274)</c:v>
                </c:pt>
              </c:strCache>
            </c:strRef>
          </c:cat>
          <c:val>
            <c:numRef>
              <c:f>('Axis I~V Summary'!$N$59,'Axis I~V Summary'!$L$59,'Axis I~V Summary'!$J$59,'Axis I~V Summary'!$H$59,'Axis I~V Summary'!$F$59)</c:f>
              <c:numCache>
                <c:formatCode>0%</c:formatCode>
                <c:ptCount val="5"/>
                <c:pt idx="0">
                  <c:v>2.9126213592233011E-2</c:v>
                </c:pt>
                <c:pt idx="1">
                  <c:v>3.125E-2</c:v>
                </c:pt>
                <c:pt idx="2">
                  <c:v>2.1505376344086023E-2</c:v>
                </c:pt>
                <c:pt idx="3">
                  <c:v>1.8315018315018316E-2</c:v>
                </c:pt>
                <c:pt idx="4">
                  <c:v>1.7985611510791366E-2</c:v>
                </c:pt>
              </c:numCache>
            </c:numRef>
          </c:val>
        </c:ser>
        <c:dLbls>
          <c:showLegendKey val="0"/>
          <c:showVal val="0"/>
          <c:showCatName val="0"/>
          <c:showSerName val="0"/>
          <c:showPercent val="0"/>
          <c:showBubbleSize val="0"/>
        </c:dLbls>
        <c:gapWidth val="30"/>
        <c:overlap val="100"/>
        <c:axId val="277953024"/>
        <c:axId val="285462464"/>
      </c:barChart>
      <c:catAx>
        <c:axId val="277953024"/>
        <c:scaling>
          <c:orientation val="minMax"/>
        </c:scaling>
        <c:delete val="0"/>
        <c:axPos val="b"/>
        <c:numFmt formatCode="General" sourceLinked="1"/>
        <c:majorTickMark val="out"/>
        <c:minorTickMark val="none"/>
        <c:tickLblPos val="nextTo"/>
        <c:txPr>
          <a:bodyPr rot="0" vert="horz"/>
          <a:lstStyle/>
          <a:p>
            <a:pPr>
              <a:defRPr/>
            </a:pPr>
            <a:endParaRPr lang="en-US"/>
          </a:p>
        </c:txPr>
        <c:crossAx val="285462464"/>
        <c:crosses val="autoZero"/>
        <c:auto val="1"/>
        <c:lblAlgn val="ctr"/>
        <c:lblOffset val="100"/>
        <c:noMultiLvlLbl val="0"/>
      </c:catAx>
      <c:valAx>
        <c:axId val="285462464"/>
        <c:scaling>
          <c:orientation val="minMax"/>
          <c:max val="1"/>
          <c:min val="0"/>
        </c:scaling>
        <c:delete val="0"/>
        <c:axPos val="l"/>
        <c:majorGridlines/>
        <c:numFmt formatCode="0%" sourceLinked="1"/>
        <c:majorTickMark val="out"/>
        <c:minorTickMark val="none"/>
        <c:tickLblPos val="nextTo"/>
        <c:txPr>
          <a:bodyPr rot="0" vert="horz"/>
          <a:lstStyle/>
          <a:p>
            <a:pPr>
              <a:defRPr/>
            </a:pPr>
            <a:endParaRPr lang="en-US"/>
          </a:p>
        </c:txPr>
        <c:crossAx val="277953024"/>
        <c:crosses val="autoZero"/>
        <c:crossBetween val="between"/>
      </c:valAx>
    </c:plotArea>
    <c:legend>
      <c:legendPos val="r"/>
      <c:legendEntry>
        <c:idx val="0"/>
        <c:txPr>
          <a:bodyPr/>
          <a:lstStyle/>
          <a:p>
            <a:pPr>
              <a:defRPr sz="1100" b="1">
                <a:solidFill>
                  <a:schemeClr val="accent3">
                    <a:lumMod val="50000"/>
                  </a:schemeClr>
                </a:solidFill>
              </a:defRPr>
            </a:pPr>
            <a:endParaRPr lang="en-US"/>
          </a:p>
        </c:txPr>
      </c:legendEntry>
      <c:legendEntry>
        <c:idx val="1"/>
        <c:txPr>
          <a:bodyPr/>
          <a:lstStyle/>
          <a:p>
            <a:pPr>
              <a:defRPr sz="1100" b="1">
                <a:solidFill>
                  <a:schemeClr val="accent3">
                    <a:lumMod val="50000"/>
                  </a:schemeClr>
                </a:solidFill>
              </a:defRPr>
            </a:pPr>
            <a:endParaRPr lang="en-US"/>
          </a:p>
        </c:txPr>
      </c:legendEntry>
      <c:legendEntry>
        <c:idx val="2"/>
        <c:txPr>
          <a:bodyPr/>
          <a:lstStyle/>
          <a:p>
            <a:pPr>
              <a:defRPr sz="1100" b="1">
                <a:solidFill>
                  <a:schemeClr val="accent3">
                    <a:lumMod val="50000"/>
                  </a:schemeClr>
                </a:solidFill>
              </a:defRPr>
            </a:pPr>
            <a:endParaRPr lang="en-US"/>
          </a:p>
        </c:txPr>
      </c:legendEntry>
      <c:legendEntry>
        <c:idx val="3"/>
        <c:txPr>
          <a:bodyPr/>
          <a:lstStyle/>
          <a:p>
            <a:pPr>
              <a:defRPr sz="1100" b="1">
                <a:solidFill>
                  <a:schemeClr val="accent2">
                    <a:lumMod val="50000"/>
                  </a:schemeClr>
                </a:solidFill>
              </a:defRPr>
            </a:pPr>
            <a:endParaRPr lang="en-US"/>
          </a:p>
        </c:txPr>
      </c:legendEntry>
      <c:legendEntry>
        <c:idx val="4"/>
        <c:txPr>
          <a:bodyPr/>
          <a:lstStyle/>
          <a:p>
            <a:pPr>
              <a:defRPr sz="1100" b="1">
                <a:solidFill>
                  <a:schemeClr val="accent2">
                    <a:lumMod val="50000"/>
                  </a:schemeClr>
                </a:solidFill>
              </a:defRPr>
            </a:pPr>
            <a:endParaRPr lang="en-US"/>
          </a:p>
        </c:txPr>
      </c:legendEntry>
      <c:legendEntry>
        <c:idx val="5"/>
        <c:txPr>
          <a:bodyPr/>
          <a:lstStyle/>
          <a:p>
            <a:pPr>
              <a:defRPr sz="1100" b="1">
                <a:solidFill>
                  <a:schemeClr val="accent2">
                    <a:lumMod val="50000"/>
                  </a:schemeClr>
                </a:solidFill>
              </a:defRPr>
            </a:pPr>
            <a:endParaRPr lang="en-US"/>
          </a:p>
        </c:txPr>
      </c:legendEntry>
      <c:layout>
        <c:manualLayout>
          <c:xMode val="edge"/>
          <c:yMode val="edge"/>
          <c:x val="0.72541674104338971"/>
          <c:y val="0.10515409454415213"/>
          <c:w val="0.16375202469968331"/>
          <c:h val="0.74989059203420472"/>
        </c:manualLayout>
      </c:layout>
      <c:overlay val="0"/>
      <c:txPr>
        <a:bodyPr/>
        <a:lstStyle/>
        <a:p>
          <a:pPr>
            <a:defRPr sz="1100" b="1"/>
          </a:pPr>
          <a:endParaRPr lang="en-US"/>
        </a:p>
      </c:txPr>
    </c:legend>
    <c:plotVisOnly val="1"/>
    <c:dispBlanksAs val="gap"/>
    <c:showDLblsOverMax val="0"/>
  </c:chart>
  <c:spPr>
    <a:ln>
      <a:noFill/>
    </a:ln>
  </c:spPr>
  <c:externalData r:id="rId1">
    <c:autoUpdate val="0"/>
  </c:externalData>
  <c:userShapes r:id="rId2"/>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9162835859390555E-2"/>
          <c:y val="0.13726950426236534"/>
          <c:w val="0.95563166598394855"/>
          <c:h val="0.594496550763013"/>
        </c:manualLayout>
      </c:layout>
      <c:barChart>
        <c:barDir val="col"/>
        <c:grouping val="clustered"/>
        <c:varyColors val="0"/>
        <c:ser>
          <c:idx val="1"/>
          <c:order val="0"/>
          <c:tx>
            <c:v>FY12 (n=279 on 9/30/12)</c:v>
          </c:tx>
          <c:spPr>
            <a:gradFill>
              <a:gsLst>
                <a:gs pos="0">
                  <a:schemeClr val="accent3">
                    <a:lumMod val="75000"/>
                  </a:schemeClr>
                </a:gs>
                <a:gs pos="50000">
                  <a:schemeClr val="accent3">
                    <a:lumMod val="60000"/>
                    <a:lumOff val="40000"/>
                  </a:schemeClr>
                </a:gs>
                <a:gs pos="100000">
                  <a:schemeClr val="accent3">
                    <a:lumMod val="40000"/>
                    <a:lumOff val="60000"/>
                  </a:schemeClr>
                </a:gs>
              </a:gsLst>
              <a:lin ang="5400000" scaled="0"/>
            </a:gradFill>
          </c:spPr>
          <c:invertIfNegative val="0"/>
          <c:dLbls>
            <c:txPr>
              <a:bodyPr/>
              <a:lstStyle/>
              <a:p>
                <a:pPr>
                  <a:defRPr b="1">
                    <a:solidFill>
                      <a:schemeClr val="accent3">
                        <a:lumMod val="50000"/>
                      </a:schemeClr>
                    </a:solidFill>
                  </a:defRPr>
                </a:pPr>
                <a:endParaRPr lang="en-US"/>
              </a:p>
            </c:txPr>
            <c:showLegendKey val="0"/>
            <c:showVal val="1"/>
            <c:showCatName val="0"/>
            <c:showSerName val="0"/>
            <c:showPercent val="0"/>
            <c:showBubbleSize val="0"/>
            <c:showLeaderLines val="0"/>
          </c:dLbls>
          <c:cat>
            <c:strRef>
              <c:f>'Axis I~V Summary'!$B$43:$B$51</c:f>
              <c:strCache>
                <c:ptCount val="9"/>
                <c:pt idx="0">
                  <c:v>Primary Support Group</c:v>
                </c:pt>
                <c:pt idx="1">
                  <c:v>Social Environment</c:v>
                </c:pt>
                <c:pt idx="2">
                  <c:v>Education</c:v>
                </c:pt>
                <c:pt idx="3">
                  <c:v>Occupation</c:v>
                </c:pt>
                <c:pt idx="4">
                  <c:v>Housing</c:v>
                </c:pt>
                <c:pt idx="5">
                  <c:v>Finance</c:v>
                </c:pt>
                <c:pt idx="6">
                  <c:v>Health Care Service</c:v>
                </c:pt>
                <c:pt idx="7">
                  <c:v>Legal System</c:v>
                </c:pt>
                <c:pt idx="8">
                  <c:v>Other</c:v>
                </c:pt>
              </c:strCache>
            </c:strRef>
          </c:cat>
          <c:val>
            <c:numRef>
              <c:f>'Axis I~V Summary'!$J$43:$J$51</c:f>
              <c:numCache>
                <c:formatCode>0%</c:formatCode>
                <c:ptCount val="9"/>
                <c:pt idx="0">
                  <c:v>0.72043010752688175</c:v>
                </c:pt>
                <c:pt idx="1">
                  <c:v>0.73118279569892475</c:v>
                </c:pt>
                <c:pt idx="2">
                  <c:v>0.48028673835125446</c:v>
                </c:pt>
                <c:pt idx="3">
                  <c:v>0.6738351254480287</c:v>
                </c:pt>
                <c:pt idx="4">
                  <c:v>0.72759856630824371</c:v>
                </c:pt>
                <c:pt idx="5">
                  <c:v>0.55913978494623651</c:v>
                </c:pt>
                <c:pt idx="6">
                  <c:v>0.29749103942652327</c:v>
                </c:pt>
                <c:pt idx="7">
                  <c:v>0.63082437275985659</c:v>
                </c:pt>
                <c:pt idx="8">
                  <c:v>0.16487455197132617</c:v>
                </c:pt>
              </c:numCache>
            </c:numRef>
          </c:val>
        </c:ser>
        <c:ser>
          <c:idx val="0"/>
          <c:order val="1"/>
          <c:tx>
            <c:v>FY13 (n=273 on 9/30/13)</c:v>
          </c:tx>
          <c:spPr>
            <a:gradFill>
              <a:gsLst>
                <a:gs pos="0">
                  <a:schemeClr val="tx2"/>
                </a:gs>
                <a:gs pos="50000">
                  <a:schemeClr val="tx2">
                    <a:lumMod val="60000"/>
                    <a:lumOff val="40000"/>
                  </a:schemeClr>
                </a:gs>
                <a:gs pos="100000">
                  <a:schemeClr val="tx2">
                    <a:lumMod val="40000"/>
                    <a:lumOff val="60000"/>
                  </a:schemeClr>
                </a:gs>
              </a:gsLst>
              <a:lin ang="5400000" scaled="0"/>
            </a:gradFill>
          </c:spPr>
          <c:invertIfNegative val="0"/>
          <c:dLbls>
            <c:dLbl>
              <c:idx val="10"/>
              <c:layout>
                <c:manualLayout>
                  <c:x val="0"/>
                  <c:y val="8.6862106406080507E-3"/>
                </c:manualLayout>
              </c:layout>
              <c:showLegendKey val="0"/>
              <c:showVal val="1"/>
              <c:showCatName val="0"/>
              <c:showSerName val="0"/>
              <c:showPercent val="0"/>
              <c:showBubbleSize val="0"/>
            </c:dLbl>
            <c:txPr>
              <a:bodyPr/>
              <a:lstStyle/>
              <a:p>
                <a:pPr>
                  <a:defRPr b="1">
                    <a:solidFill>
                      <a:schemeClr val="tx2"/>
                    </a:solidFill>
                  </a:defRPr>
                </a:pPr>
                <a:endParaRPr lang="en-US"/>
              </a:p>
            </c:txPr>
            <c:showLegendKey val="0"/>
            <c:showVal val="1"/>
            <c:showCatName val="0"/>
            <c:showSerName val="0"/>
            <c:showPercent val="0"/>
            <c:showBubbleSize val="0"/>
            <c:showLeaderLines val="0"/>
          </c:dLbls>
          <c:cat>
            <c:strRef>
              <c:f>'Axis I~V Summary'!$B$43:$B$51</c:f>
              <c:strCache>
                <c:ptCount val="9"/>
                <c:pt idx="0">
                  <c:v>Primary Support Group</c:v>
                </c:pt>
                <c:pt idx="1">
                  <c:v>Social Environment</c:v>
                </c:pt>
                <c:pt idx="2">
                  <c:v>Education</c:v>
                </c:pt>
                <c:pt idx="3">
                  <c:v>Occupation</c:v>
                </c:pt>
                <c:pt idx="4">
                  <c:v>Housing</c:v>
                </c:pt>
                <c:pt idx="5">
                  <c:v>Finance</c:v>
                </c:pt>
                <c:pt idx="6">
                  <c:v>Health Care Service</c:v>
                </c:pt>
                <c:pt idx="7">
                  <c:v>Legal System</c:v>
                </c:pt>
                <c:pt idx="8">
                  <c:v>Other</c:v>
                </c:pt>
              </c:strCache>
            </c:strRef>
          </c:cat>
          <c:val>
            <c:numRef>
              <c:f>'Axis I~V Summary'!$H$43:$H$51</c:f>
              <c:numCache>
                <c:formatCode>0%</c:formatCode>
                <c:ptCount val="9"/>
                <c:pt idx="0">
                  <c:v>0.73626373626373631</c:v>
                </c:pt>
                <c:pt idx="1">
                  <c:v>0.76923076923076927</c:v>
                </c:pt>
                <c:pt idx="2">
                  <c:v>0.47619047619047616</c:v>
                </c:pt>
                <c:pt idx="3">
                  <c:v>0.67765567765567769</c:v>
                </c:pt>
                <c:pt idx="4">
                  <c:v>0.73992673992673996</c:v>
                </c:pt>
                <c:pt idx="5">
                  <c:v>0.56776556776556775</c:v>
                </c:pt>
                <c:pt idx="6">
                  <c:v>0.31868131868131866</c:v>
                </c:pt>
                <c:pt idx="7">
                  <c:v>0.62637362637362637</c:v>
                </c:pt>
                <c:pt idx="8">
                  <c:v>0.12454212454212454</c:v>
                </c:pt>
              </c:numCache>
            </c:numRef>
          </c:val>
        </c:ser>
        <c:ser>
          <c:idx val="2"/>
          <c:order val="2"/>
          <c:tx>
            <c:v>FY14 (n=278 on 9/30/14)</c:v>
          </c:tx>
          <c:spPr>
            <a:gradFill>
              <a:gsLst>
                <a:gs pos="0">
                  <a:srgbClr val="C00000"/>
                </a:gs>
                <a:gs pos="50000">
                  <a:schemeClr val="accent2">
                    <a:lumMod val="60000"/>
                    <a:lumOff val="40000"/>
                  </a:schemeClr>
                </a:gs>
                <a:gs pos="100000">
                  <a:schemeClr val="accent2">
                    <a:lumMod val="40000"/>
                    <a:lumOff val="60000"/>
                  </a:schemeClr>
                </a:gs>
              </a:gsLst>
              <a:lin ang="5400000" scaled="0"/>
            </a:gradFill>
          </c:spPr>
          <c:invertIfNegative val="0"/>
          <c:dLbls>
            <c:txPr>
              <a:bodyPr/>
              <a:lstStyle/>
              <a:p>
                <a:pPr>
                  <a:defRPr b="1" u="sng">
                    <a:solidFill>
                      <a:srgbClr val="C00000"/>
                    </a:solidFill>
                  </a:defRPr>
                </a:pPr>
                <a:endParaRPr lang="en-US"/>
              </a:p>
            </c:txPr>
            <c:showLegendKey val="0"/>
            <c:showVal val="1"/>
            <c:showCatName val="0"/>
            <c:showSerName val="0"/>
            <c:showPercent val="0"/>
            <c:showBubbleSize val="0"/>
            <c:showLeaderLines val="0"/>
          </c:dLbls>
          <c:cat>
            <c:strRef>
              <c:f>'Axis I~V Summary'!$B$43:$B$51</c:f>
              <c:strCache>
                <c:ptCount val="9"/>
                <c:pt idx="0">
                  <c:v>Primary Support Group</c:v>
                </c:pt>
                <c:pt idx="1">
                  <c:v>Social Environment</c:v>
                </c:pt>
                <c:pt idx="2">
                  <c:v>Education</c:v>
                </c:pt>
                <c:pt idx="3">
                  <c:v>Occupation</c:v>
                </c:pt>
                <c:pt idx="4">
                  <c:v>Housing</c:v>
                </c:pt>
                <c:pt idx="5">
                  <c:v>Finance</c:v>
                </c:pt>
                <c:pt idx="6">
                  <c:v>Health Care Service</c:v>
                </c:pt>
                <c:pt idx="7">
                  <c:v>Legal System</c:v>
                </c:pt>
                <c:pt idx="8">
                  <c:v>Other</c:v>
                </c:pt>
              </c:strCache>
            </c:strRef>
          </c:cat>
          <c:val>
            <c:numRef>
              <c:f>'Axis I~V Summary'!$F$43:$F$51</c:f>
              <c:numCache>
                <c:formatCode>0%</c:formatCode>
                <c:ptCount val="9"/>
                <c:pt idx="0">
                  <c:v>0.73741007194244601</c:v>
                </c:pt>
                <c:pt idx="1">
                  <c:v>0.81654676258992809</c:v>
                </c:pt>
                <c:pt idx="2">
                  <c:v>0.53956834532374098</c:v>
                </c:pt>
                <c:pt idx="3">
                  <c:v>0.74460431654676262</c:v>
                </c:pt>
                <c:pt idx="4">
                  <c:v>0.73741007194244601</c:v>
                </c:pt>
                <c:pt idx="5">
                  <c:v>0.60071942446043169</c:v>
                </c:pt>
                <c:pt idx="6">
                  <c:v>0.35611510791366907</c:v>
                </c:pt>
                <c:pt idx="7">
                  <c:v>0.61151079136690645</c:v>
                </c:pt>
                <c:pt idx="8">
                  <c:v>0.11151079136690648</c:v>
                </c:pt>
              </c:numCache>
            </c:numRef>
          </c:val>
        </c:ser>
        <c:dLbls>
          <c:showLegendKey val="0"/>
          <c:showVal val="0"/>
          <c:showCatName val="0"/>
          <c:showSerName val="0"/>
          <c:showPercent val="0"/>
          <c:showBubbleSize val="0"/>
        </c:dLbls>
        <c:gapWidth val="50"/>
        <c:axId val="282425344"/>
        <c:axId val="285465344"/>
      </c:barChart>
      <c:catAx>
        <c:axId val="282425344"/>
        <c:scaling>
          <c:orientation val="minMax"/>
        </c:scaling>
        <c:delete val="0"/>
        <c:axPos val="b"/>
        <c:numFmt formatCode="General" sourceLinked="1"/>
        <c:majorTickMark val="none"/>
        <c:minorTickMark val="none"/>
        <c:tickLblPos val="nextTo"/>
        <c:txPr>
          <a:bodyPr rot="0" vert="horz"/>
          <a:lstStyle/>
          <a:p>
            <a:pPr>
              <a:defRPr/>
            </a:pPr>
            <a:endParaRPr lang="en-US"/>
          </a:p>
        </c:txPr>
        <c:crossAx val="285465344"/>
        <c:crosses val="autoZero"/>
        <c:auto val="1"/>
        <c:lblAlgn val="ctr"/>
        <c:lblOffset val="100"/>
        <c:tickLblSkip val="1"/>
        <c:tickMarkSkip val="1"/>
        <c:noMultiLvlLbl val="0"/>
      </c:catAx>
      <c:valAx>
        <c:axId val="285465344"/>
        <c:scaling>
          <c:orientation val="minMax"/>
        </c:scaling>
        <c:delete val="1"/>
        <c:axPos val="l"/>
        <c:numFmt formatCode="0%" sourceLinked="1"/>
        <c:majorTickMark val="out"/>
        <c:minorTickMark val="none"/>
        <c:tickLblPos val="none"/>
        <c:crossAx val="282425344"/>
        <c:crosses val="autoZero"/>
        <c:crossBetween val="between"/>
      </c:valAx>
    </c:plotArea>
    <c:legend>
      <c:legendPos val="t"/>
      <c:legendEntry>
        <c:idx val="0"/>
        <c:txPr>
          <a:bodyPr/>
          <a:lstStyle/>
          <a:p>
            <a:pPr>
              <a:defRPr sz="1100" b="1">
                <a:solidFill>
                  <a:schemeClr val="accent3">
                    <a:lumMod val="50000"/>
                  </a:schemeClr>
                </a:solidFill>
              </a:defRPr>
            </a:pPr>
            <a:endParaRPr lang="en-US"/>
          </a:p>
        </c:txPr>
      </c:legendEntry>
      <c:legendEntry>
        <c:idx val="1"/>
        <c:txPr>
          <a:bodyPr/>
          <a:lstStyle/>
          <a:p>
            <a:pPr>
              <a:defRPr sz="1100" b="1">
                <a:solidFill>
                  <a:schemeClr val="tx2"/>
                </a:solidFill>
              </a:defRPr>
            </a:pPr>
            <a:endParaRPr lang="en-US"/>
          </a:p>
        </c:txPr>
      </c:legendEntry>
      <c:legendEntry>
        <c:idx val="2"/>
        <c:txPr>
          <a:bodyPr/>
          <a:lstStyle/>
          <a:p>
            <a:pPr>
              <a:defRPr sz="1100" b="1" u="sng">
                <a:solidFill>
                  <a:srgbClr val="C00000"/>
                </a:solidFill>
              </a:defRPr>
            </a:pPr>
            <a:endParaRPr lang="en-US"/>
          </a:p>
        </c:txPr>
      </c:legendEntry>
      <c:layout>
        <c:manualLayout>
          <c:xMode val="edge"/>
          <c:yMode val="edge"/>
          <c:x val="8.3943139586184212E-3"/>
          <c:y val="8.6265765451884718E-4"/>
          <c:w val="0.9795027815169095"/>
          <c:h val="0.10583880572240723"/>
        </c:manualLayout>
      </c:layout>
      <c:overlay val="0"/>
      <c:txPr>
        <a:bodyPr/>
        <a:lstStyle/>
        <a:p>
          <a:pPr>
            <a:defRPr sz="1100" b="1"/>
          </a:pPr>
          <a:endParaRPr lang="en-US"/>
        </a:p>
      </c:txPr>
    </c:legend>
    <c:plotVisOnly val="1"/>
    <c:dispBlanksAs val="gap"/>
    <c:showDLblsOverMax val="0"/>
  </c:chart>
  <c:spPr>
    <a:ln>
      <a:noFill/>
    </a:ln>
  </c:sp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2"/>
    </mc:Choice>
    <mc:Fallback>
      <c:style val="12"/>
    </mc:Fallback>
  </mc:AlternateContent>
  <c:chart>
    <c:autoTitleDeleted val="0"/>
    <c:plotArea>
      <c:layout>
        <c:manualLayout>
          <c:layoutTarget val="inner"/>
          <c:xMode val="edge"/>
          <c:yMode val="edge"/>
          <c:x val="0.13874465016197299"/>
          <c:y val="4.3095654491450981E-2"/>
          <c:w val="0.60510936132983373"/>
          <c:h val="0.87275236050039195"/>
        </c:manualLayout>
      </c:layout>
      <c:barChart>
        <c:barDir val="col"/>
        <c:grouping val="percentStacked"/>
        <c:varyColors val="0"/>
        <c:ser>
          <c:idx val="5"/>
          <c:order val="0"/>
          <c:tx>
            <c:strRef>
              <c:f>'Axis I~V Summary'!$R$68</c:f>
              <c:strCache>
                <c:ptCount val="1"/>
                <c:pt idx="0">
                  <c:v>&gt;=40</c:v>
                </c:pt>
              </c:strCache>
            </c:strRef>
          </c:tx>
          <c:spPr>
            <a:solidFill>
              <a:schemeClr val="accent2">
                <a:lumMod val="50000"/>
              </a:schemeClr>
            </a:solidFill>
          </c:spPr>
          <c:invertIfNegative val="0"/>
          <c:dLbls>
            <c:txPr>
              <a:bodyPr/>
              <a:lstStyle/>
              <a:p>
                <a:pPr>
                  <a:defRPr b="1">
                    <a:solidFill>
                      <a:schemeClr val="bg1"/>
                    </a:solidFill>
                  </a:defRPr>
                </a:pPr>
                <a:endParaRPr lang="en-US"/>
              </a:p>
            </c:txPr>
            <c:showLegendKey val="0"/>
            <c:showVal val="1"/>
            <c:showCatName val="0"/>
            <c:showSerName val="0"/>
            <c:showPercent val="0"/>
            <c:showBubbleSize val="0"/>
            <c:showLeaderLines val="0"/>
          </c:dLbls>
          <c:cat>
            <c:numRef>
              <c:f>'Axis I~V Summary'!$T$62:$X$62</c:f>
              <c:numCache>
                <c:formatCode>m/d/yyyy</c:formatCode>
                <c:ptCount val="5"/>
                <c:pt idx="0">
                  <c:v>40451</c:v>
                </c:pt>
                <c:pt idx="1">
                  <c:v>40816</c:v>
                </c:pt>
                <c:pt idx="2">
                  <c:v>41182</c:v>
                </c:pt>
                <c:pt idx="3">
                  <c:v>41547</c:v>
                </c:pt>
                <c:pt idx="4">
                  <c:v>41912</c:v>
                </c:pt>
              </c:numCache>
            </c:numRef>
          </c:cat>
          <c:val>
            <c:numRef>
              <c:f>'Axis I~V Summary'!$T$68:$X$68</c:f>
              <c:numCache>
                <c:formatCode>0%</c:formatCode>
                <c:ptCount val="5"/>
                <c:pt idx="0">
                  <c:v>5.2631578947368418E-2</c:v>
                </c:pt>
                <c:pt idx="1">
                  <c:v>5.128205128205128E-2</c:v>
                </c:pt>
                <c:pt idx="2">
                  <c:v>7.2992700729927001E-2</c:v>
                </c:pt>
                <c:pt idx="3">
                  <c:v>6.7924528301886791E-2</c:v>
                </c:pt>
                <c:pt idx="4">
                  <c:v>7.7777777777777779E-2</c:v>
                </c:pt>
              </c:numCache>
            </c:numRef>
          </c:val>
        </c:ser>
        <c:ser>
          <c:idx val="4"/>
          <c:order val="1"/>
          <c:tx>
            <c:strRef>
              <c:f>'Axis I~V Summary'!$R$67</c:f>
              <c:strCache>
                <c:ptCount val="1"/>
                <c:pt idx="0">
                  <c:v>&gt;=35 &amp; &lt;40</c:v>
                </c:pt>
              </c:strCache>
            </c:strRef>
          </c:tx>
          <c:spPr>
            <a:solidFill>
              <a:schemeClr val="accent2">
                <a:lumMod val="75000"/>
              </a:schemeClr>
            </a:solidFill>
          </c:spPr>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numRef>
              <c:f>'Axis I~V Summary'!$T$62:$X$62</c:f>
              <c:numCache>
                <c:formatCode>m/d/yyyy</c:formatCode>
                <c:ptCount val="5"/>
                <c:pt idx="0">
                  <c:v>40451</c:v>
                </c:pt>
                <c:pt idx="1">
                  <c:v>40816</c:v>
                </c:pt>
                <c:pt idx="2">
                  <c:v>41182</c:v>
                </c:pt>
                <c:pt idx="3">
                  <c:v>41547</c:v>
                </c:pt>
                <c:pt idx="4">
                  <c:v>41912</c:v>
                </c:pt>
              </c:numCache>
            </c:numRef>
          </c:cat>
          <c:val>
            <c:numRef>
              <c:f>'Axis I~V Summary'!$T$67:$X$67</c:f>
              <c:numCache>
                <c:formatCode>0%</c:formatCode>
                <c:ptCount val="5"/>
                <c:pt idx="0">
                  <c:v>7.8947368421052627E-2</c:v>
                </c:pt>
                <c:pt idx="1">
                  <c:v>9.8901098901098897E-2</c:v>
                </c:pt>
                <c:pt idx="2">
                  <c:v>8.7591240875912413E-2</c:v>
                </c:pt>
                <c:pt idx="3">
                  <c:v>0.12830188679245283</c:v>
                </c:pt>
                <c:pt idx="4">
                  <c:v>0.1</c:v>
                </c:pt>
              </c:numCache>
            </c:numRef>
          </c:val>
        </c:ser>
        <c:ser>
          <c:idx val="3"/>
          <c:order val="2"/>
          <c:tx>
            <c:strRef>
              <c:f>'Axis I~V Summary'!$R$66</c:f>
              <c:strCache>
                <c:ptCount val="1"/>
                <c:pt idx="0">
                  <c:v>&gt;=30 &amp; &lt;35</c:v>
                </c:pt>
              </c:strCache>
            </c:strRef>
          </c:tx>
          <c:spPr>
            <a:solidFill>
              <a:srgbClr val="CA6A68"/>
            </a:solidFill>
          </c:spPr>
          <c:invertIfNegative val="0"/>
          <c:dLbls>
            <c:txPr>
              <a:bodyPr/>
              <a:lstStyle/>
              <a:p>
                <a:pPr>
                  <a:defRPr b="1"/>
                </a:pPr>
                <a:endParaRPr lang="en-US"/>
              </a:p>
            </c:txPr>
            <c:showLegendKey val="0"/>
            <c:showVal val="1"/>
            <c:showCatName val="0"/>
            <c:showSerName val="0"/>
            <c:showPercent val="0"/>
            <c:showBubbleSize val="0"/>
            <c:showLeaderLines val="0"/>
          </c:dLbls>
          <c:cat>
            <c:numRef>
              <c:f>'Axis I~V Summary'!$T$62:$X$62</c:f>
              <c:numCache>
                <c:formatCode>m/d/yyyy</c:formatCode>
                <c:ptCount val="5"/>
                <c:pt idx="0">
                  <c:v>40451</c:v>
                </c:pt>
                <c:pt idx="1">
                  <c:v>40816</c:v>
                </c:pt>
                <c:pt idx="2">
                  <c:v>41182</c:v>
                </c:pt>
                <c:pt idx="3">
                  <c:v>41547</c:v>
                </c:pt>
                <c:pt idx="4">
                  <c:v>41912</c:v>
                </c:pt>
              </c:numCache>
            </c:numRef>
          </c:cat>
          <c:val>
            <c:numRef>
              <c:f>'Axis I~V Summary'!$T$66:$X$66</c:f>
              <c:numCache>
                <c:formatCode>0%</c:formatCode>
                <c:ptCount val="5"/>
                <c:pt idx="0">
                  <c:v>0.22039473684210525</c:v>
                </c:pt>
                <c:pt idx="1">
                  <c:v>0.2087912087912088</c:v>
                </c:pt>
                <c:pt idx="2">
                  <c:v>0.26277372262773724</c:v>
                </c:pt>
                <c:pt idx="3">
                  <c:v>0.21886792452830189</c:v>
                </c:pt>
                <c:pt idx="4">
                  <c:v>0.18888888888888888</c:v>
                </c:pt>
              </c:numCache>
            </c:numRef>
          </c:val>
        </c:ser>
        <c:ser>
          <c:idx val="2"/>
          <c:order val="3"/>
          <c:tx>
            <c:strRef>
              <c:f>'Axis I~V Summary'!$R$65</c:f>
              <c:strCache>
                <c:ptCount val="1"/>
                <c:pt idx="0">
                  <c:v>&gt;=25 &amp; &lt;30</c:v>
                </c:pt>
              </c:strCache>
            </c:strRef>
          </c:tx>
          <c:spPr>
            <a:solidFill>
              <a:schemeClr val="accent6">
                <a:lumMod val="60000"/>
                <a:lumOff val="40000"/>
              </a:schemeClr>
            </a:solidFill>
          </c:spPr>
          <c:invertIfNegative val="0"/>
          <c:dLbls>
            <c:txPr>
              <a:bodyPr/>
              <a:lstStyle/>
              <a:p>
                <a:pPr>
                  <a:defRPr b="1">
                    <a:solidFill>
                      <a:schemeClr val="accent6">
                        <a:lumMod val="50000"/>
                      </a:schemeClr>
                    </a:solidFill>
                  </a:defRPr>
                </a:pPr>
                <a:endParaRPr lang="en-US"/>
              </a:p>
            </c:txPr>
            <c:showLegendKey val="0"/>
            <c:showVal val="1"/>
            <c:showCatName val="0"/>
            <c:showSerName val="0"/>
            <c:showPercent val="0"/>
            <c:showBubbleSize val="0"/>
            <c:showLeaderLines val="0"/>
          </c:dLbls>
          <c:cat>
            <c:numRef>
              <c:f>'Axis I~V Summary'!$T$62:$X$62</c:f>
              <c:numCache>
                <c:formatCode>m/d/yyyy</c:formatCode>
                <c:ptCount val="5"/>
                <c:pt idx="0">
                  <c:v>40451</c:v>
                </c:pt>
                <c:pt idx="1">
                  <c:v>40816</c:v>
                </c:pt>
                <c:pt idx="2">
                  <c:v>41182</c:v>
                </c:pt>
                <c:pt idx="3">
                  <c:v>41547</c:v>
                </c:pt>
                <c:pt idx="4">
                  <c:v>41912</c:v>
                </c:pt>
              </c:numCache>
            </c:numRef>
          </c:cat>
          <c:val>
            <c:numRef>
              <c:f>'Axis I~V Summary'!$T$65:$X$65</c:f>
              <c:numCache>
                <c:formatCode>0%</c:formatCode>
                <c:ptCount val="5"/>
                <c:pt idx="0">
                  <c:v>0.35855263157894735</c:v>
                </c:pt>
                <c:pt idx="1">
                  <c:v>0.34065934065934067</c:v>
                </c:pt>
                <c:pt idx="2">
                  <c:v>0.35036496350364965</c:v>
                </c:pt>
                <c:pt idx="3">
                  <c:v>0.30566037735849055</c:v>
                </c:pt>
                <c:pt idx="4">
                  <c:v>0.33703703703703702</c:v>
                </c:pt>
              </c:numCache>
            </c:numRef>
          </c:val>
        </c:ser>
        <c:ser>
          <c:idx val="1"/>
          <c:order val="4"/>
          <c:tx>
            <c:strRef>
              <c:f>'Axis I~V Summary'!$R$64</c:f>
              <c:strCache>
                <c:ptCount val="1"/>
                <c:pt idx="0">
                  <c:v>&gt;=20 &amp; &lt;25</c:v>
                </c:pt>
              </c:strCache>
            </c:strRef>
          </c:tx>
          <c:spPr>
            <a:solidFill>
              <a:schemeClr val="accent3">
                <a:lumMod val="60000"/>
                <a:lumOff val="40000"/>
              </a:schemeClr>
            </a:solidFill>
          </c:spPr>
          <c:invertIfNegative val="0"/>
          <c:dLbls>
            <c:txPr>
              <a:bodyPr/>
              <a:lstStyle/>
              <a:p>
                <a:pPr>
                  <a:defRPr b="1">
                    <a:solidFill>
                      <a:schemeClr val="accent3">
                        <a:lumMod val="50000"/>
                      </a:schemeClr>
                    </a:solidFill>
                  </a:defRPr>
                </a:pPr>
                <a:endParaRPr lang="en-US"/>
              </a:p>
            </c:txPr>
            <c:showLegendKey val="0"/>
            <c:showVal val="1"/>
            <c:showCatName val="0"/>
            <c:showSerName val="0"/>
            <c:showPercent val="0"/>
            <c:showBubbleSize val="0"/>
            <c:showLeaderLines val="0"/>
          </c:dLbls>
          <c:cat>
            <c:numRef>
              <c:f>'Axis I~V Summary'!$T$62:$X$62</c:f>
              <c:numCache>
                <c:formatCode>m/d/yyyy</c:formatCode>
                <c:ptCount val="5"/>
                <c:pt idx="0">
                  <c:v>40451</c:v>
                </c:pt>
                <c:pt idx="1">
                  <c:v>40816</c:v>
                </c:pt>
                <c:pt idx="2">
                  <c:v>41182</c:v>
                </c:pt>
                <c:pt idx="3">
                  <c:v>41547</c:v>
                </c:pt>
                <c:pt idx="4">
                  <c:v>41912</c:v>
                </c:pt>
              </c:numCache>
            </c:numRef>
          </c:cat>
          <c:val>
            <c:numRef>
              <c:f>'Axis I~V Summary'!$T$64:$X$64</c:f>
              <c:numCache>
                <c:formatCode>0%</c:formatCode>
                <c:ptCount val="5"/>
                <c:pt idx="0">
                  <c:v>0.25657894736842107</c:v>
                </c:pt>
                <c:pt idx="1">
                  <c:v>0.25641025641025639</c:v>
                </c:pt>
                <c:pt idx="2">
                  <c:v>0.20437956204379562</c:v>
                </c:pt>
                <c:pt idx="3">
                  <c:v>0.25283018867924528</c:v>
                </c:pt>
                <c:pt idx="4">
                  <c:v>0.25925925925925924</c:v>
                </c:pt>
              </c:numCache>
            </c:numRef>
          </c:val>
        </c:ser>
        <c:ser>
          <c:idx val="0"/>
          <c:order val="5"/>
          <c:tx>
            <c:strRef>
              <c:f>'Axis I~V Summary'!$R$63</c:f>
              <c:strCache>
                <c:ptCount val="1"/>
                <c:pt idx="0">
                  <c:v>&lt;20</c:v>
                </c:pt>
              </c:strCache>
            </c:strRef>
          </c:tx>
          <c:spPr>
            <a:solidFill>
              <a:schemeClr val="accent6">
                <a:lumMod val="50000"/>
              </a:schemeClr>
            </a:solidFill>
          </c:spPr>
          <c:invertIfNegative val="0"/>
          <c:dLbls>
            <c:txPr>
              <a:bodyPr/>
              <a:lstStyle/>
              <a:p>
                <a:pPr>
                  <a:defRPr b="1">
                    <a:solidFill>
                      <a:schemeClr val="bg1"/>
                    </a:solidFill>
                    <a:effectLst>
                      <a:glow rad="76200">
                        <a:srgbClr val="F79646">
                          <a:lumMod val="50000"/>
                        </a:srgbClr>
                      </a:glow>
                    </a:effectLst>
                  </a:defRPr>
                </a:pPr>
                <a:endParaRPr lang="en-US"/>
              </a:p>
            </c:txPr>
            <c:showLegendKey val="0"/>
            <c:showVal val="1"/>
            <c:showCatName val="0"/>
            <c:showSerName val="0"/>
            <c:showPercent val="0"/>
            <c:showBubbleSize val="0"/>
            <c:showLeaderLines val="0"/>
          </c:dLbls>
          <c:cat>
            <c:numRef>
              <c:f>'Axis I~V Summary'!$T$62:$X$62</c:f>
              <c:numCache>
                <c:formatCode>m/d/yyyy</c:formatCode>
                <c:ptCount val="5"/>
                <c:pt idx="0">
                  <c:v>40451</c:v>
                </c:pt>
                <c:pt idx="1">
                  <c:v>40816</c:v>
                </c:pt>
                <c:pt idx="2">
                  <c:v>41182</c:v>
                </c:pt>
                <c:pt idx="3">
                  <c:v>41547</c:v>
                </c:pt>
                <c:pt idx="4">
                  <c:v>41912</c:v>
                </c:pt>
              </c:numCache>
            </c:numRef>
          </c:cat>
          <c:val>
            <c:numRef>
              <c:f>'Axis I~V Summary'!$T$63:$X$63</c:f>
              <c:numCache>
                <c:formatCode>0%</c:formatCode>
                <c:ptCount val="5"/>
                <c:pt idx="0">
                  <c:v>3.2894736842105261E-2</c:v>
                </c:pt>
                <c:pt idx="1">
                  <c:v>4.3956043956043959E-2</c:v>
                </c:pt>
                <c:pt idx="2">
                  <c:v>2.1897810218978103E-2</c:v>
                </c:pt>
                <c:pt idx="3">
                  <c:v>2.6415094339622643E-2</c:v>
                </c:pt>
                <c:pt idx="4">
                  <c:v>3.7037037037037035E-2</c:v>
                </c:pt>
              </c:numCache>
            </c:numRef>
          </c:val>
        </c:ser>
        <c:dLbls>
          <c:showLegendKey val="0"/>
          <c:showVal val="0"/>
          <c:showCatName val="0"/>
          <c:showSerName val="0"/>
          <c:showPercent val="0"/>
          <c:showBubbleSize val="0"/>
        </c:dLbls>
        <c:gapWidth val="20"/>
        <c:overlap val="100"/>
        <c:axId val="282426880"/>
        <c:axId val="285465920"/>
      </c:barChart>
      <c:catAx>
        <c:axId val="282426880"/>
        <c:scaling>
          <c:orientation val="minMax"/>
        </c:scaling>
        <c:delete val="0"/>
        <c:axPos val="b"/>
        <c:numFmt formatCode="mm/dd/yy;@" sourceLinked="0"/>
        <c:majorTickMark val="out"/>
        <c:minorTickMark val="none"/>
        <c:tickLblPos val="nextTo"/>
        <c:crossAx val="285465920"/>
        <c:crosses val="autoZero"/>
        <c:auto val="0"/>
        <c:lblAlgn val="ctr"/>
        <c:lblOffset val="100"/>
        <c:noMultiLvlLbl val="0"/>
      </c:catAx>
      <c:valAx>
        <c:axId val="285465920"/>
        <c:scaling>
          <c:orientation val="minMax"/>
        </c:scaling>
        <c:delete val="0"/>
        <c:axPos val="l"/>
        <c:majorGridlines/>
        <c:numFmt formatCode="0%" sourceLinked="1"/>
        <c:majorTickMark val="out"/>
        <c:minorTickMark val="none"/>
        <c:tickLblPos val="nextTo"/>
        <c:crossAx val="282426880"/>
        <c:crosses val="autoZero"/>
        <c:crossBetween val="between"/>
      </c:valAx>
    </c:plotArea>
    <c:legend>
      <c:legendPos val="r"/>
      <c:legendEntry>
        <c:idx val="0"/>
        <c:txPr>
          <a:bodyPr/>
          <a:lstStyle/>
          <a:p>
            <a:pPr>
              <a:defRPr sz="1100" b="1">
                <a:solidFill>
                  <a:schemeClr val="accent6">
                    <a:lumMod val="50000"/>
                  </a:schemeClr>
                </a:solidFill>
              </a:defRPr>
            </a:pPr>
            <a:endParaRPr lang="en-US"/>
          </a:p>
        </c:txPr>
      </c:legendEntry>
      <c:legendEntry>
        <c:idx val="1"/>
        <c:txPr>
          <a:bodyPr/>
          <a:lstStyle/>
          <a:p>
            <a:pPr>
              <a:defRPr sz="1100" b="1">
                <a:solidFill>
                  <a:schemeClr val="accent3">
                    <a:lumMod val="50000"/>
                  </a:schemeClr>
                </a:solidFill>
              </a:defRPr>
            </a:pPr>
            <a:endParaRPr lang="en-US"/>
          </a:p>
        </c:txPr>
      </c:legendEntry>
      <c:legendEntry>
        <c:idx val="2"/>
        <c:txPr>
          <a:bodyPr/>
          <a:lstStyle/>
          <a:p>
            <a:pPr>
              <a:defRPr sz="1100" b="1">
                <a:solidFill>
                  <a:schemeClr val="accent6">
                    <a:lumMod val="75000"/>
                  </a:schemeClr>
                </a:solidFill>
              </a:defRPr>
            </a:pPr>
            <a:endParaRPr lang="en-US"/>
          </a:p>
        </c:txPr>
      </c:legendEntry>
      <c:legendEntry>
        <c:idx val="3"/>
        <c:txPr>
          <a:bodyPr/>
          <a:lstStyle/>
          <a:p>
            <a:pPr>
              <a:defRPr sz="1100" b="1">
                <a:solidFill>
                  <a:srgbClr val="C00000"/>
                </a:solidFill>
              </a:defRPr>
            </a:pPr>
            <a:endParaRPr lang="en-US"/>
          </a:p>
        </c:txPr>
      </c:legendEntry>
      <c:legendEntry>
        <c:idx val="4"/>
        <c:txPr>
          <a:bodyPr/>
          <a:lstStyle/>
          <a:p>
            <a:pPr>
              <a:defRPr sz="1100" b="1">
                <a:solidFill>
                  <a:schemeClr val="accent2">
                    <a:lumMod val="75000"/>
                  </a:schemeClr>
                </a:solidFill>
              </a:defRPr>
            </a:pPr>
            <a:endParaRPr lang="en-US"/>
          </a:p>
        </c:txPr>
      </c:legendEntry>
      <c:legendEntry>
        <c:idx val="5"/>
        <c:txPr>
          <a:bodyPr/>
          <a:lstStyle/>
          <a:p>
            <a:pPr>
              <a:defRPr sz="1100" b="1">
                <a:solidFill>
                  <a:schemeClr val="accent2">
                    <a:lumMod val="50000"/>
                  </a:schemeClr>
                </a:solidFill>
              </a:defRPr>
            </a:pPr>
            <a:endParaRPr lang="en-US"/>
          </a:p>
        </c:txPr>
      </c:legendEntry>
      <c:layout>
        <c:manualLayout>
          <c:xMode val="edge"/>
          <c:yMode val="edge"/>
          <c:x val="0.76441215254029515"/>
          <c:y val="0.15085092674293138"/>
          <c:w val="0.23159017285001535"/>
          <c:h val="0.76904823260728772"/>
        </c:manualLayout>
      </c:layout>
      <c:overlay val="0"/>
      <c:txPr>
        <a:bodyPr/>
        <a:lstStyle/>
        <a:p>
          <a:pPr>
            <a:defRPr sz="1100" b="1"/>
          </a:pPr>
          <a:endParaRPr lang="en-US"/>
        </a:p>
      </c:txPr>
    </c:legend>
    <c:plotVisOnly val="1"/>
    <c:dispBlanksAs val="gap"/>
    <c:showDLblsOverMax val="0"/>
  </c:chart>
  <c:spPr>
    <a:ln>
      <a:noFill/>
    </a:ln>
  </c:spPr>
  <c:externalData r:id="rId1">
    <c:autoUpdate val="0"/>
  </c:externalData>
  <c:userShapes r:id="rId2"/>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6.3478595347995298E-2"/>
          <c:y val="6.5701920187863444E-2"/>
          <c:w val="0.79358199414184705"/>
          <c:h val="0.71624650577214433"/>
        </c:manualLayout>
      </c:layout>
      <c:barChart>
        <c:barDir val="col"/>
        <c:grouping val="percentStacked"/>
        <c:varyColors val="0"/>
        <c:ser>
          <c:idx val="0"/>
          <c:order val="0"/>
          <c:tx>
            <c:v>Gained</c:v>
          </c:tx>
          <c:spPr>
            <a:gradFill>
              <a:gsLst>
                <a:gs pos="50000">
                  <a:schemeClr val="accent2"/>
                </a:gs>
                <a:gs pos="50000">
                  <a:schemeClr val="accent2">
                    <a:lumMod val="75000"/>
                  </a:schemeClr>
                </a:gs>
                <a:gs pos="100000">
                  <a:schemeClr val="accent2">
                    <a:lumMod val="50000"/>
                  </a:schemeClr>
                </a:gs>
              </a:gsLst>
              <a:lin ang="5400000" scaled="0"/>
            </a:gradFill>
          </c:spPr>
          <c:invertIfNegative val="0"/>
          <c:dLbls>
            <c:txPr>
              <a:bodyPr/>
              <a:lstStyle/>
              <a:p>
                <a:pPr>
                  <a:defRPr sz="1100" b="1">
                    <a:solidFill>
                      <a:srgbClr val="C00000"/>
                    </a:solidFill>
                    <a:effectLst>
                      <a:glow rad="127000">
                        <a:schemeClr val="accent2">
                          <a:lumMod val="20000"/>
                          <a:lumOff val="80000"/>
                        </a:schemeClr>
                      </a:glow>
                    </a:effectLst>
                  </a:defRPr>
                </a:pPr>
                <a:endParaRPr lang="en-US"/>
              </a:p>
            </c:txPr>
            <c:showLegendKey val="0"/>
            <c:showVal val="1"/>
            <c:showCatName val="0"/>
            <c:showSerName val="0"/>
            <c:showPercent val="0"/>
            <c:showBubbleSize val="0"/>
            <c:showLeaderLines val="0"/>
          </c:dLbls>
          <c:cat>
            <c:strRef>
              <c:f>Table!$C$10:$I$10</c:f>
              <c:strCache>
                <c:ptCount val="7"/>
                <c:pt idx="0">
                  <c:v>3-30 days (n=229)</c:v>
                </c:pt>
                <c:pt idx="1">
                  <c:v>31-60 days (n=158)</c:v>
                </c:pt>
                <c:pt idx="2">
                  <c:v>61-90 days (n=71)</c:v>
                </c:pt>
                <c:pt idx="3">
                  <c:v>91-120 days (n=39)</c:v>
                </c:pt>
                <c:pt idx="4">
                  <c:v>121-180 days (n=26)</c:v>
                </c:pt>
                <c:pt idx="5">
                  <c:v>181-240 days (n=18)</c:v>
                </c:pt>
                <c:pt idx="6">
                  <c:v>241-300 days (n=13)</c:v>
                </c:pt>
              </c:strCache>
            </c:strRef>
          </c:cat>
          <c:val>
            <c:numRef>
              <c:f>Table!$C$17:$I$17</c:f>
              <c:numCache>
                <c:formatCode>0%</c:formatCode>
                <c:ptCount val="7"/>
                <c:pt idx="0">
                  <c:v>0.79039301310043664</c:v>
                </c:pt>
                <c:pt idx="1">
                  <c:v>0.79746835443037978</c:v>
                </c:pt>
                <c:pt idx="2">
                  <c:v>0.83098591549295775</c:v>
                </c:pt>
                <c:pt idx="3">
                  <c:v>0.79487179487179482</c:v>
                </c:pt>
                <c:pt idx="4">
                  <c:v>0.84615384615384615</c:v>
                </c:pt>
                <c:pt idx="5">
                  <c:v>0.72222222222222221</c:v>
                </c:pt>
                <c:pt idx="6">
                  <c:v>0.76923076923076927</c:v>
                </c:pt>
              </c:numCache>
            </c:numRef>
          </c:val>
        </c:ser>
        <c:ser>
          <c:idx val="1"/>
          <c:order val="1"/>
          <c:tx>
            <c:v>Same</c:v>
          </c:tx>
          <c:spPr>
            <a:gradFill>
              <a:gsLst>
                <a:gs pos="0">
                  <a:schemeClr val="accent3">
                    <a:lumMod val="75000"/>
                  </a:schemeClr>
                </a:gs>
                <a:gs pos="50000">
                  <a:schemeClr val="accent3">
                    <a:lumMod val="75000"/>
                  </a:schemeClr>
                </a:gs>
                <a:gs pos="100000">
                  <a:schemeClr val="accent3">
                    <a:lumMod val="50000"/>
                  </a:schemeClr>
                </a:gs>
              </a:gsLst>
              <a:lin ang="5400000" scaled="0"/>
            </a:gradFill>
          </c:spPr>
          <c:invertIfNegative val="0"/>
          <c:dLbls>
            <c:dLbl>
              <c:idx val="0"/>
              <c:showLegendKey val="0"/>
              <c:showVal val="1"/>
              <c:showCatName val="0"/>
              <c:showSerName val="0"/>
              <c:showPercent val="0"/>
              <c:showBubbleSize val="0"/>
            </c:dLbl>
            <c:dLbl>
              <c:idx val="1"/>
              <c:showLegendKey val="0"/>
              <c:showVal val="1"/>
              <c:showCatName val="0"/>
              <c:showSerName val="0"/>
              <c:showPercent val="0"/>
              <c:showBubbleSize val="0"/>
            </c:dLbl>
            <c:dLbl>
              <c:idx val="5"/>
              <c:showLegendKey val="0"/>
              <c:showVal val="1"/>
              <c:showCatName val="0"/>
              <c:showSerName val="0"/>
              <c:showPercent val="0"/>
              <c:showBubbleSize val="0"/>
            </c:dLbl>
            <c:txPr>
              <a:bodyPr/>
              <a:lstStyle/>
              <a:p>
                <a:pPr>
                  <a:defRPr b="1">
                    <a:effectLst>
                      <a:glow rad="63500">
                        <a:srgbClr val="9BBB59">
                          <a:lumMod val="20000"/>
                          <a:lumOff val="80000"/>
                        </a:srgbClr>
                      </a:glow>
                    </a:effectLst>
                  </a:defRPr>
                </a:pPr>
                <a:endParaRPr lang="en-US"/>
              </a:p>
            </c:txPr>
            <c:showLegendKey val="0"/>
            <c:showVal val="0"/>
            <c:showCatName val="0"/>
            <c:showSerName val="0"/>
            <c:showPercent val="0"/>
            <c:showBubbleSize val="0"/>
          </c:dLbls>
          <c:cat>
            <c:strRef>
              <c:f>Table!$C$10:$I$10</c:f>
              <c:strCache>
                <c:ptCount val="7"/>
                <c:pt idx="0">
                  <c:v>3-30 days (n=229)</c:v>
                </c:pt>
                <c:pt idx="1">
                  <c:v>31-60 days (n=158)</c:v>
                </c:pt>
                <c:pt idx="2">
                  <c:v>61-90 days (n=71)</c:v>
                </c:pt>
                <c:pt idx="3">
                  <c:v>91-120 days (n=39)</c:v>
                </c:pt>
                <c:pt idx="4">
                  <c:v>121-180 days (n=26)</c:v>
                </c:pt>
                <c:pt idx="5">
                  <c:v>181-240 days (n=18)</c:v>
                </c:pt>
                <c:pt idx="6">
                  <c:v>241-300 days (n=13)</c:v>
                </c:pt>
              </c:strCache>
            </c:strRef>
          </c:cat>
          <c:val>
            <c:numRef>
              <c:f>Table!$C$18:$I$18</c:f>
              <c:numCache>
                <c:formatCode>0%</c:formatCode>
                <c:ptCount val="7"/>
                <c:pt idx="0">
                  <c:v>4.3668122270742356E-2</c:v>
                </c:pt>
                <c:pt idx="1">
                  <c:v>3.1645569620253167E-2</c:v>
                </c:pt>
                <c:pt idx="2">
                  <c:v>1.4084507042253521E-2</c:v>
                </c:pt>
                <c:pt idx="3">
                  <c:v>0</c:v>
                </c:pt>
                <c:pt idx="4">
                  <c:v>0</c:v>
                </c:pt>
                <c:pt idx="5">
                  <c:v>5.5555555555555552E-2</c:v>
                </c:pt>
                <c:pt idx="6">
                  <c:v>0</c:v>
                </c:pt>
              </c:numCache>
            </c:numRef>
          </c:val>
        </c:ser>
        <c:ser>
          <c:idx val="2"/>
          <c:order val="2"/>
          <c:tx>
            <c:v>Lost</c:v>
          </c:tx>
          <c:spPr>
            <a:gradFill>
              <a:gsLst>
                <a:gs pos="0">
                  <a:schemeClr val="accent1">
                    <a:lumMod val="20000"/>
                    <a:lumOff val="80000"/>
                  </a:schemeClr>
                </a:gs>
                <a:gs pos="50000">
                  <a:schemeClr val="accent1"/>
                </a:gs>
                <a:gs pos="100000">
                  <a:schemeClr val="tx2"/>
                </a:gs>
              </a:gsLst>
              <a:lin ang="5400000" scaled="0"/>
            </a:gradFill>
          </c:spPr>
          <c:invertIfNegative val="0"/>
          <c:dLbls>
            <c:txPr>
              <a:bodyPr/>
              <a:lstStyle/>
              <a:p>
                <a:pPr>
                  <a:defRPr sz="1100" b="1">
                    <a:effectLst>
                      <a:glow rad="127000">
                        <a:schemeClr val="accent1">
                          <a:lumMod val="20000"/>
                          <a:lumOff val="80000"/>
                        </a:schemeClr>
                      </a:glow>
                    </a:effectLst>
                  </a:defRPr>
                </a:pPr>
                <a:endParaRPr lang="en-US"/>
              </a:p>
            </c:txPr>
            <c:showLegendKey val="0"/>
            <c:showVal val="1"/>
            <c:showCatName val="0"/>
            <c:showSerName val="0"/>
            <c:showPercent val="0"/>
            <c:showBubbleSize val="0"/>
            <c:showLeaderLines val="0"/>
          </c:dLbls>
          <c:cat>
            <c:strRef>
              <c:f>Table!$C$10:$I$10</c:f>
              <c:strCache>
                <c:ptCount val="7"/>
                <c:pt idx="0">
                  <c:v>3-30 days (n=229)</c:v>
                </c:pt>
                <c:pt idx="1">
                  <c:v>31-60 days (n=158)</c:v>
                </c:pt>
                <c:pt idx="2">
                  <c:v>61-90 days (n=71)</c:v>
                </c:pt>
                <c:pt idx="3">
                  <c:v>91-120 days (n=39)</c:v>
                </c:pt>
                <c:pt idx="4">
                  <c:v>121-180 days (n=26)</c:v>
                </c:pt>
                <c:pt idx="5">
                  <c:v>181-240 days (n=18)</c:v>
                </c:pt>
                <c:pt idx="6">
                  <c:v>241-300 days (n=13)</c:v>
                </c:pt>
              </c:strCache>
            </c:strRef>
          </c:cat>
          <c:val>
            <c:numRef>
              <c:f>Table!$C$19:$I$19</c:f>
              <c:numCache>
                <c:formatCode>0%</c:formatCode>
                <c:ptCount val="7"/>
                <c:pt idx="0">
                  <c:v>0.16593886462882096</c:v>
                </c:pt>
                <c:pt idx="1">
                  <c:v>0.17088607594936708</c:v>
                </c:pt>
                <c:pt idx="2">
                  <c:v>0.15492957746478872</c:v>
                </c:pt>
                <c:pt idx="3">
                  <c:v>0.20512820512820512</c:v>
                </c:pt>
                <c:pt idx="4">
                  <c:v>0.15384615384615385</c:v>
                </c:pt>
                <c:pt idx="5">
                  <c:v>0.22222222222222221</c:v>
                </c:pt>
                <c:pt idx="6">
                  <c:v>0.23076923076923078</c:v>
                </c:pt>
              </c:numCache>
            </c:numRef>
          </c:val>
        </c:ser>
        <c:dLbls>
          <c:showLegendKey val="0"/>
          <c:showVal val="0"/>
          <c:showCatName val="0"/>
          <c:showSerName val="0"/>
          <c:showPercent val="0"/>
          <c:showBubbleSize val="0"/>
        </c:dLbls>
        <c:gapWidth val="50"/>
        <c:overlap val="100"/>
        <c:axId val="284020224"/>
        <c:axId val="285705344"/>
      </c:barChart>
      <c:catAx>
        <c:axId val="284020224"/>
        <c:scaling>
          <c:orientation val="minMax"/>
        </c:scaling>
        <c:delete val="0"/>
        <c:axPos val="b"/>
        <c:majorTickMark val="out"/>
        <c:minorTickMark val="none"/>
        <c:tickLblPos val="nextTo"/>
        <c:crossAx val="285705344"/>
        <c:crosses val="autoZero"/>
        <c:auto val="1"/>
        <c:lblAlgn val="ctr"/>
        <c:lblOffset val="100"/>
        <c:noMultiLvlLbl val="0"/>
      </c:catAx>
      <c:valAx>
        <c:axId val="285705344"/>
        <c:scaling>
          <c:orientation val="minMax"/>
        </c:scaling>
        <c:delete val="0"/>
        <c:axPos val="l"/>
        <c:majorGridlines/>
        <c:numFmt formatCode="0%" sourceLinked="1"/>
        <c:majorTickMark val="none"/>
        <c:minorTickMark val="none"/>
        <c:tickLblPos val="nextTo"/>
        <c:crossAx val="284020224"/>
        <c:crosses val="autoZero"/>
        <c:crossBetween val="between"/>
        <c:majorUnit val="0.2"/>
      </c:valAx>
    </c:plotArea>
    <c:legend>
      <c:legendPos val="r"/>
      <c:legendEntry>
        <c:idx val="0"/>
        <c:txPr>
          <a:bodyPr/>
          <a:lstStyle/>
          <a:p>
            <a:pPr>
              <a:defRPr sz="1100" b="1">
                <a:solidFill>
                  <a:schemeClr val="tx2"/>
                </a:solidFill>
              </a:defRPr>
            </a:pPr>
            <a:endParaRPr lang="en-US"/>
          </a:p>
        </c:txPr>
      </c:legendEntry>
      <c:legendEntry>
        <c:idx val="2"/>
        <c:txPr>
          <a:bodyPr/>
          <a:lstStyle/>
          <a:p>
            <a:pPr>
              <a:defRPr sz="1100" b="1">
                <a:solidFill>
                  <a:srgbClr val="C00000"/>
                </a:solidFill>
              </a:defRPr>
            </a:pPr>
            <a:endParaRPr lang="en-US"/>
          </a:p>
        </c:txPr>
      </c:legendEntry>
      <c:layout>
        <c:manualLayout>
          <c:xMode val="edge"/>
          <c:yMode val="edge"/>
          <c:x val="0.8687100516154449"/>
          <c:y val="0.34718506600747973"/>
          <c:w val="0.12919710398032891"/>
          <c:h val="0.40533515177991114"/>
        </c:manualLayout>
      </c:layout>
      <c:overlay val="0"/>
      <c:txPr>
        <a:bodyPr/>
        <a:lstStyle/>
        <a:p>
          <a:pPr>
            <a:defRPr sz="1100" b="1"/>
          </a:pPr>
          <a:endParaRPr lang="en-US"/>
        </a:p>
      </c:txPr>
    </c:legend>
    <c:plotVisOnly val="1"/>
    <c:dispBlanksAs val="gap"/>
    <c:showDLblsOverMax val="0"/>
  </c:chart>
  <c:spPr>
    <a:ln>
      <a:noFill/>
    </a:ln>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232696966630642E-2"/>
          <c:y val="0.14666234815301116"/>
          <c:w val="0.93734367442175204"/>
          <c:h val="0.63073003542920403"/>
        </c:manualLayout>
      </c:layout>
      <c:lineChart>
        <c:grouping val="standard"/>
        <c:varyColors val="0"/>
        <c:ser>
          <c:idx val="0"/>
          <c:order val="0"/>
          <c:tx>
            <c:strRef>
              <c:f>'Data for C-AdmissionTrend'!$C$5</c:f>
              <c:strCache>
                <c:ptCount val="1"/>
                <c:pt idx="0">
                  <c:v>Line 1</c:v>
                </c:pt>
              </c:strCache>
            </c:strRef>
          </c:tx>
          <c:spPr>
            <a:ln w="25400">
              <a:solidFill>
                <a:srgbClr val="C00000"/>
              </a:solidFill>
              <a:prstDash val="solid"/>
            </a:ln>
          </c:spPr>
          <c:marker>
            <c:symbol val="circle"/>
            <c:size val="3"/>
            <c:spPr>
              <a:solidFill>
                <a:schemeClr val="accent2">
                  <a:lumMod val="50000"/>
                </a:schemeClr>
              </a:solidFill>
              <a:ln>
                <a:solidFill>
                  <a:schemeClr val="accent2">
                    <a:lumMod val="50000"/>
                  </a:schemeClr>
                </a:solidFill>
              </a:ln>
            </c:spPr>
          </c:marker>
          <c:dLbls>
            <c:dLbl>
              <c:idx val="78"/>
              <c:layout>
                <c:manualLayout>
                  <c:x val="-2.1882448177600895E-2"/>
                  <c:y val="-2.8736217363463407E-2"/>
                </c:manualLayout>
              </c:layout>
              <c:showLegendKey val="0"/>
              <c:showVal val="1"/>
              <c:showCatName val="0"/>
              <c:showSerName val="0"/>
              <c:showPercent val="0"/>
              <c:showBubbleSize val="0"/>
            </c:dLbl>
            <c:txPr>
              <a:bodyPr/>
              <a:lstStyle/>
              <a:p>
                <a:pPr>
                  <a:defRPr>
                    <a:solidFill>
                      <a:srgbClr val="C00000"/>
                    </a:solidFill>
                  </a:defRPr>
                </a:pPr>
                <a:endParaRPr lang="en-US"/>
              </a:p>
            </c:txPr>
            <c:showLegendKey val="0"/>
            <c:showVal val="0"/>
            <c:showCatName val="0"/>
            <c:showSerName val="0"/>
            <c:showPercent val="0"/>
            <c:showBubbleSize val="0"/>
          </c:dLbls>
          <c:cat>
            <c:multiLvlStrRef>
              <c:f>'Data for C-AdmissionTrend'!$A$6:$B$89</c:f>
              <c:multiLvlStrCache>
                <c:ptCount val="84"/>
                <c:lvl>
                  <c:pt idx="0">
                    <c:v>Oct</c:v>
                  </c:pt>
                  <c:pt idx="1">
                    <c:v>Nov</c:v>
                  </c:pt>
                  <c:pt idx="2">
                    <c:v>Dec</c:v>
                  </c:pt>
                  <c:pt idx="3">
                    <c:v>Jan</c:v>
                  </c:pt>
                  <c:pt idx="4">
                    <c:v>Feb</c:v>
                  </c:pt>
                  <c:pt idx="5">
                    <c:v>Mar</c:v>
                  </c:pt>
                  <c:pt idx="6">
                    <c:v>Apr</c:v>
                  </c:pt>
                  <c:pt idx="7">
                    <c:v>May</c:v>
                  </c:pt>
                  <c:pt idx="8">
                    <c:v>Jun</c:v>
                  </c:pt>
                  <c:pt idx="9">
                    <c:v>Jul</c:v>
                  </c:pt>
                  <c:pt idx="10">
                    <c:v>Aug</c:v>
                  </c:pt>
                  <c:pt idx="11">
                    <c:v>Sep</c:v>
                  </c:pt>
                  <c:pt idx="12">
                    <c:v>Oct</c:v>
                  </c:pt>
                  <c:pt idx="13">
                    <c:v>Nov</c:v>
                  </c:pt>
                  <c:pt idx="14">
                    <c:v>Dec</c:v>
                  </c:pt>
                  <c:pt idx="15">
                    <c:v>Jan</c:v>
                  </c:pt>
                  <c:pt idx="16">
                    <c:v>Feb</c:v>
                  </c:pt>
                  <c:pt idx="17">
                    <c:v>Mar</c:v>
                  </c:pt>
                  <c:pt idx="18">
                    <c:v>Apr</c:v>
                  </c:pt>
                  <c:pt idx="19">
                    <c:v>May</c:v>
                  </c:pt>
                  <c:pt idx="20">
                    <c:v>Jun</c:v>
                  </c:pt>
                  <c:pt idx="21">
                    <c:v>Jul</c:v>
                  </c:pt>
                  <c:pt idx="22">
                    <c:v>Aug</c:v>
                  </c:pt>
                  <c:pt idx="23">
                    <c:v>Sep</c:v>
                  </c:pt>
                  <c:pt idx="24">
                    <c:v>Oct</c:v>
                  </c:pt>
                  <c:pt idx="25">
                    <c:v>Nov</c:v>
                  </c:pt>
                  <c:pt idx="26">
                    <c:v>Dec</c:v>
                  </c:pt>
                  <c:pt idx="27">
                    <c:v>Jan</c:v>
                  </c:pt>
                  <c:pt idx="28">
                    <c:v>Feb</c:v>
                  </c:pt>
                  <c:pt idx="29">
                    <c:v>Mar</c:v>
                  </c:pt>
                  <c:pt idx="30">
                    <c:v>Apr</c:v>
                  </c:pt>
                  <c:pt idx="31">
                    <c:v>May</c:v>
                  </c:pt>
                  <c:pt idx="32">
                    <c:v>Jun</c:v>
                  </c:pt>
                  <c:pt idx="33">
                    <c:v>Jul</c:v>
                  </c:pt>
                  <c:pt idx="34">
                    <c:v>Aug</c:v>
                  </c:pt>
                  <c:pt idx="35">
                    <c:v>Sep</c:v>
                  </c:pt>
                  <c:pt idx="36">
                    <c:v>Oct</c:v>
                  </c:pt>
                  <c:pt idx="37">
                    <c:v>Nov</c:v>
                  </c:pt>
                  <c:pt idx="38">
                    <c:v>Dec</c:v>
                  </c:pt>
                  <c:pt idx="39">
                    <c:v>Jan</c:v>
                  </c:pt>
                  <c:pt idx="40">
                    <c:v>Feb</c:v>
                  </c:pt>
                  <c:pt idx="41">
                    <c:v>Mar</c:v>
                  </c:pt>
                  <c:pt idx="42">
                    <c:v>Apr</c:v>
                  </c:pt>
                  <c:pt idx="43">
                    <c:v>May</c:v>
                  </c:pt>
                  <c:pt idx="44">
                    <c:v>Jun</c:v>
                  </c:pt>
                  <c:pt idx="45">
                    <c:v>Jul</c:v>
                  </c:pt>
                  <c:pt idx="46">
                    <c:v>Aug</c:v>
                  </c:pt>
                  <c:pt idx="47">
                    <c:v>Sep</c:v>
                  </c:pt>
                  <c:pt idx="48">
                    <c:v>Oct</c:v>
                  </c:pt>
                  <c:pt idx="49">
                    <c:v>Nov</c:v>
                  </c:pt>
                  <c:pt idx="50">
                    <c:v>Dec</c:v>
                  </c:pt>
                  <c:pt idx="51">
                    <c:v>Jan</c:v>
                  </c:pt>
                  <c:pt idx="52">
                    <c:v>Feb</c:v>
                  </c:pt>
                  <c:pt idx="53">
                    <c:v>Mar</c:v>
                  </c:pt>
                  <c:pt idx="54">
                    <c:v>Apr</c:v>
                  </c:pt>
                  <c:pt idx="55">
                    <c:v>May</c:v>
                  </c:pt>
                  <c:pt idx="56">
                    <c:v>Jun</c:v>
                  </c:pt>
                  <c:pt idx="57">
                    <c:v>Jul</c:v>
                  </c:pt>
                  <c:pt idx="58">
                    <c:v>Aug</c:v>
                  </c:pt>
                  <c:pt idx="59">
                    <c:v>Sep</c:v>
                  </c:pt>
                  <c:pt idx="60">
                    <c:v>Oct</c:v>
                  </c:pt>
                  <c:pt idx="61">
                    <c:v>Nov</c:v>
                  </c:pt>
                  <c:pt idx="62">
                    <c:v>Dec</c:v>
                  </c:pt>
                  <c:pt idx="63">
                    <c:v>Jan</c:v>
                  </c:pt>
                  <c:pt idx="64">
                    <c:v>Feb</c:v>
                  </c:pt>
                  <c:pt idx="65">
                    <c:v>Mar</c:v>
                  </c:pt>
                  <c:pt idx="66">
                    <c:v>Apr</c:v>
                  </c:pt>
                  <c:pt idx="67">
                    <c:v>May</c:v>
                  </c:pt>
                  <c:pt idx="68">
                    <c:v>Jun</c:v>
                  </c:pt>
                  <c:pt idx="69">
                    <c:v>Jul</c:v>
                  </c:pt>
                  <c:pt idx="70">
                    <c:v>Aug</c:v>
                  </c:pt>
                  <c:pt idx="71">
                    <c:v>Sep</c:v>
                  </c:pt>
                  <c:pt idx="72">
                    <c:v>Oct</c:v>
                  </c:pt>
                  <c:pt idx="73">
                    <c:v>Nov</c:v>
                  </c:pt>
                  <c:pt idx="74">
                    <c:v>Dec</c:v>
                  </c:pt>
                  <c:pt idx="75">
                    <c:v>Jan</c:v>
                  </c:pt>
                  <c:pt idx="76">
                    <c:v>Feb</c:v>
                  </c:pt>
                  <c:pt idx="77">
                    <c:v>Mar</c:v>
                  </c:pt>
                  <c:pt idx="78">
                    <c:v>Apr</c:v>
                  </c:pt>
                  <c:pt idx="79">
                    <c:v>May</c:v>
                  </c:pt>
                  <c:pt idx="80">
                    <c:v>Jun</c:v>
                  </c:pt>
                  <c:pt idx="81">
                    <c:v>Jul</c:v>
                  </c:pt>
                  <c:pt idx="82">
                    <c:v>Aug</c:v>
                  </c:pt>
                  <c:pt idx="83">
                    <c:v>Sep</c:v>
                  </c:pt>
                </c:lvl>
                <c:lvl>
                  <c:pt idx="0">
                    <c:v>FY08</c:v>
                  </c:pt>
                  <c:pt idx="12">
                    <c:v>FY09</c:v>
                  </c:pt>
                  <c:pt idx="24">
                    <c:v>FY10</c:v>
                  </c:pt>
                  <c:pt idx="36">
                    <c:v>FY11</c:v>
                  </c:pt>
                  <c:pt idx="48">
                    <c:v>FY12</c:v>
                  </c:pt>
                  <c:pt idx="60">
                    <c:v>FY13</c:v>
                  </c:pt>
                  <c:pt idx="72">
                    <c:v>FY14</c:v>
                  </c:pt>
                </c:lvl>
              </c:multiLvlStrCache>
            </c:multiLvlStrRef>
          </c:cat>
          <c:val>
            <c:numRef>
              <c:f>'Data for C-AdmissionTrend'!$C$6:$C$89</c:f>
              <c:numCache>
                <c:formatCode>0</c:formatCode>
                <c:ptCount val="84"/>
                <c:pt idx="0">
                  <c:v>62</c:v>
                </c:pt>
                <c:pt idx="1">
                  <c:v>58</c:v>
                </c:pt>
                <c:pt idx="2">
                  <c:v>53</c:v>
                </c:pt>
                <c:pt idx="3">
                  <c:v>62</c:v>
                </c:pt>
                <c:pt idx="4">
                  <c:v>50</c:v>
                </c:pt>
                <c:pt idx="5">
                  <c:v>57</c:v>
                </c:pt>
                <c:pt idx="6">
                  <c:v>70</c:v>
                </c:pt>
                <c:pt idx="7">
                  <c:v>56</c:v>
                </c:pt>
                <c:pt idx="8">
                  <c:v>61</c:v>
                </c:pt>
                <c:pt idx="9">
                  <c:v>67</c:v>
                </c:pt>
                <c:pt idx="10">
                  <c:v>60</c:v>
                </c:pt>
                <c:pt idx="11">
                  <c:v>48</c:v>
                </c:pt>
                <c:pt idx="24">
                  <c:v>36</c:v>
                </c:pt>
                <c:pt idx="25">
                  <c:v>34</c:v>
                </c:pt>
                <c:pt idx="26">
                  <c:v>47</c:v>
                </c:pt>
                <c:pt idx="27">
                  <c:v>33</c:v>
                </c:pt>
                <c:pt idx="28">
                  <c:v>34</c:v>
                </c:pt>
                <c:pt idx="29">
                  <c:v>34</c:v>
                </c:pt>
                <c:pt idx="30">
                  <c:v>41</c:v>
                </c:pt>
                <c:pt idx="31">
                  <c:v>34</c:v>
                </c:pt>
                <c:pt idx="32">
                  <c:v>32</c:v>
                </c:pt>
                <c:pt idx="33">
                  <c:v>47</c:v>
                </c:pt>
                <c:pt idx="34">
                  <c:v>39</c:v>
                </c:pt>
                <c:pt idx="35">
                  <c:v>31</c:v>
                </c:pt>
                <c:pt idx="48">
                  <c:v>38</c:v>
                </c:pt>
                <c:pt idx="49">
                  <c:v>31</c:v>
                </c:pt>
                <c:pt idx="50">
                  <c:v>38</c:v>
                </c:pt>
                <c:pt idx="51">
                  <c:v>29</c:v>
                </c:pt>
                <c:pt idx="52">
                  <c:v>35</c:v>
                </c:pt>
                <c:pt idx="53">
                  <c:v>37</c:v>
                </c:pt>
                <c:pt idx="54">
                  <c:v>29</c:v>
                </c:pt>
                <c:pt idx="55">
                  <c:v>35</c:v>
                </c:pt>
                <c:pt idx="56">
                  <c:v>34</c:v>
                </c:pt>
                <c:pt idx="57">
                  <c:v>34</c:v>
                </c:pt>
                <c:pt idx="58">
                  <c:v>26</c:v>
                </c:pt>
                <c:pt idx="59">
                  <c:v>34</c:v>
                </c:pt>
                <c:pt idx="72">
                  <c:v>31</c:v>
                </c:pt>
                <c:pt idx="73">
                  <c:v>32</c:v>
                </c:pt>
                <c:pt idx="74">
                  <c:v>31</c:v>
                </c:pt>
                <c:pt idx="75">
                  <c:v>40</c:v>
                </c:pt>
                <c:pt idx="76">
                  <c:v>27</c:v>
                </c:pt>
                <c:pt idx="77">
                  <c:v>31</c:v>
                </c:pt>
                <c:pt idx="78">
                  <c:v>55</c:v>
                </c:pt>
                <c:pt idx="79">
                  <c:v>38</c:v>
                </c:pt>
                <c:pt idx="80">
                  <c:v>32</c:v>
                </c:pt>
                <c:pt idx="81">
                  <c:v>38</c:v>
                </c:pt>
                <c:pt idx="82">
                  <c:v>42</c:v>
                </c:pt>
                <c:pt idx="83">
                  <c:v>37</c:v>
                </c:pt>
              </c:numCache>
            </c:numRef>
          </c:val>
          <c:smooth val="1"/>
        </c:ser>
        <c:ser>
          <c:idx val="1"/>
          <c:order val="1"/>
          <c:tx>
            <c:strRef>
              <c:f>'Data for C-AdmissionTrend'!$D$5</c:f>
              <c:strCache>
                <c:ptCount val="1"/>
                <c:pt idx="0">
                  <c:v>Line 2</c:v>
                </c:pt>
              </c:strCache>
            </c:strRef>
          </c:tx>
          <c:spPr>
            <a:ln w="25400">
              <a:solidFill>
                <a:srgbClr val="C00000"/>
              </a:solidFill>
              <a:prstDash val="solid"/>
            </a:ln>
          </c:spPr>
          <c:marker>
            <c:symbol val="circle"/>
            <c:size val="3"/>
            <c:spPr>
              <a:solidFill>
                <a:schemeClr val="accent2">
                  <a:lumMod val="50000"/>
                </a:schemeClr>
              </a:solidFill>
              <a:ln>
                <a:solidFill>
                  <a:schemeClr val="accent2">
                    <a:lumMod val="50000"/>
                  </a:schemeClr>
                </a:solidFill>
              </a:ln>
            </c:spPr>
          </c:marker>
          <c:trendline>
            <c:spPr>
              <a:ln w="28575">
                <a:solidFill>
                  <a:schemeClr val="accent2">
                    <a:lumMod val="60000"/>
                    <a:lumOff val="40000"/>
                    <a:alpha val="60000"/>
                  </a:schemeClr>
                </a:solidFill>
              </a:ln>
            </c:spPr>
            <c:trendlineType val="poly"/>
            <c:order val="2"/>
            <c:dispRSqr val="0"/>
            <c:dispEq val="0"/>
          </c:trendline>
          <c:cat>
            <c:multiLvlStrRef>
              <c:f>'Data for C-AdmissionTrend'!$A$6:$B$89</c:f>
              <c:multiLvlStrCache>
                <c:ptCount val="84"/>
                <c:lvl>
                  <c:pt idx="0">
                    <c:v>Oct</c:v>
                  </c:pt>
                  <c:pt idx="1">
                    <c:v>Nov</c:v>
                  </c:pt>
                  <c:pt idx="2">
                    <c:v>Dec</c:v>
                  </c:pt>
                  <c:pt idx="3">
                    <c:v>Jan</c:v>
                  </c:pt>
                  <c:pt idx="4">
                    <c:v>Feb</c:v>
                  </c:pt>
                  <c:pt idx="5">
                    <c:v>Mar</c:v>
                  </c:pt>
                  <c:pt idx="6">
                    <c:v>Apr</c:v>
                  </c:pt>
                  <c:pt idx="7">
                    <c:v>May</c:v>
                  </c:pt>
                  <c:pt idx="8">
                    <c:v>Jun</c:v>
                  </c:pt>
                  <c:pt idx="9">
                    <c:v>Jul</c:v>
                  </c:pt>
                  <c:pt idx="10">
                    <c:v>Aug</c:v>
                  </c:pt>
                  <c:pt idx="11">
                    <c:v>Sep</c:v>
                  </c:pt>
                  <c:pt idx="12">
                    <c:v>Oct</c:v>
                  </c:pt>
                  <c:pt idx="13">
                    <c:v>Nov</c:v>
                  </c:pt>
                  <c:pt idx="14">
                    <c:v>Dec</c:v>
                  </c:pt>
                  <c:pt idx="15">
                    <c:v>Jan</c:v>
                  </c:pt>
                  <c:pt idx="16">
                    <c:v>Feb</c:v>
                  </c:pt>
                  <c:pt idx="17">
                    <c:v>Mar</c:v>
                  </c:pt>
                  <c:pt idx="18">
                    <c:v>Apr</c:v>
                  </c:pt>
                  <c:pt idx="19">
                    <c:v>May</c:v>
                  </c:pt>
                  <c:pt idx="20">
                    <c:v>Jun</c:v>
                  </c:pt>
                  <c:pt idx="21">
                    <c:v>Jul</c:v>
                  </c:pt>
                  <c:pt idx="22">
                    <c:v>Aug</c:v>
                  </c:pt>
                  <c:pt idx="23">
                    <c:v>Sep</c:v>
                  </c:pt>
                  <c:pt idx="24">
                    <c:v>Oct</c:v>
                  </c:pt>
                  <c:pt idx="25">
                    <c:v>Nov</c:v>
                  </c:pt>
                  <c:pt idx="26">
                    <c:v>Dec</c:v>
                  </c:pt>
                  <c:pt idx="27">
                    <c:v>Jan</c:v>
                  </c:pt>
                  <c:pt idx="28">
                    <c:v>Feb</c:v>
                  </c:pt>
                  <c:pt idx="29">
                    <c:v>Mar</c:v>
                  </c:pt>
                  <c:pt idx="30">
                    <c:v>Apr</c:v>
                  </c:pt>
                  <c:pt idx="31">
                    <c:v>May</c:v>
                  </c:pt>
                  <c:pt idx="32">
                    <c:v>Jun</c:v>
                  </c:pt>
                  <c:pt idx="33">
                    <c:v>Jul</c:v>
                  </c:pt>
                  <c:pt idx="34">
                    <c:v>Aug</c:v>
                  </c:pt>
                  <c:pt idx="35">
                    <c:v>Sep</c:v>
                  </c:pt>
                  <c:pt idx="36">
                    <c:v>Oct</c:v>
                  </c:pt>
                  <c:pt idx="37">
                    <c:v>Nov</c:v>
                  </c:pt>
                  <c:pt idx="38">
                    <c:v>Dec</c:v>
                  </c:pt>
                  <c:pt idx="39">
                    <c:v>Jan</c:v>
                  </c:pt>
                  <c:pt idx="40">
                    <c:v>Feb</c:v>
                  </c:pt>
                  <c:pt idx="41">
                    <c:v>Mar</c:v>
                  </c:pt>
                  <c:pt idx="42">
                    <c:v>Apr</c:v>
                  </c:pt>
                  <c:pt idx="43">
                    <c:v>May</c:v>
                  </c:pt>
                  <c:pt idx="44">
                    <c:v>Jun</c:v>
                  </c:pt>
                  <c:pt idx="45">
                    <c:v>Jul</c:v>
                  </c:pt>
                  <c:pt idx="46">
                    <c:v>Aug</c:v>
                  </c:pt>
                  <c:pt idx="47">
                    <c:v>Sep</c:v>
                  </c:pt>
                  <c:pt idx="48">
                    <c:v>Oct</c:v>
                  </c:pt>
                  <c:pt idx="49">
                    <c:v>Nov</c:v>
                  </c:pt>
                  <c:pt idx="50">
                    <c:v>Dec</c:v>
                  </c:pt>
                  <c:pt idx="51">
                    <c:v>Jan</c:v>
                  </c:pt>
                  <c:pt idx="52">
                    <c:v>Feb</c:v>
                  </c:pt>
                  <c:pt idx="53">
                    <c:v>Mar</c:v>
                  </c:pt>
                  <c:pt idx="54">
                    <c:v>Apr</c:v>
                  </c:pt>
                  <c:pt idx="55">
                    <c:v>May</c:v>
                  </c:pt>
                  <c:pt idx="56">
                    <c:v>Jun</c:v>
                  </c:pt>
                  <c:pt idx="57">
                    <c:v>Jul</c:v>
                  </c:pt>
                  <c:pt idx="58">
                    <c:v>Aug</c:v>
                  </c:pt>
                  <c:pt idx="59">
                    <c:v>Sep</c:v>
                  </c:pt>
                  <c:pt idx="60">
                    <c:v>Oct</c:v>
                  </c:pt>
                  <c:pt idx="61">
                    <c:v>Nov</c:v>
                  </c:pt>
                  <c:pt idx="62">
                    <c:v>Dec</c:v>
                  </c:pt>
                  <c:pt idx="63">
                    <c:v>Jan</c:v>
                  </c:pt>
                  <c:pt idx="64">
                    <c:v>Feb</c:v>
                  </c:pt>
                  <c:pt idx="65">
                    <c:v>Mar</c:v>
                  </c:pt>
                  <c:pt idx="66">
                    <c:v>Apr</c:v>
                  </c:pt>
                  <c:pt idx="67">
                    <c:v>May</c:v>
                  </c:pt>
                  <c:pt idx="68">
                    <c:v>Jun</c:v>
                  </c:pt>
                  <c:pt idx="69">
                    <c:v>Jul</c:v>
                  </c:pt>
                  <c:pt idx="70">
                    <c:v>Aug</c:v>
                  </c:pt>
                  <c:pt idx="71">
                    <c:v>Sep</c:v>
                  </c:pt>
                  <c:pt idx="72">
                    <c:v>Oct</c:v>
                  </c:pt>
                  <c:pt idx="73">
                    <c:v>Nov</c:v>
                  </c:pt>
                  <c:pt idx="74">
                    <c:v>Dec</c:v>
                  </c:pt>
                  <c:pt idx="75">
                    <c:v>Jan</c:v>
                  </c:pt>
                  <c:pt idx="76">
                    <c:v>Feb</c:v>
                  </c:pt>
                  <c:pt idx="77">
                    <c:v>Mar</c:v>
                  </c:pt>
                  <c:pt idx="78">
                    <c:v>Apr</c:v>
                  </c:pt>
                  <c:pt idx="79">
                    <c:v>May</c:v>
                  </c:pt>
                  <c:pt idx="80">
                    <c:v>Jun</c:v>
                  </c:pt>
                  <c:pt idx="81">
                    <c:v>Jul</c:v>
                  </c:pt>
                  <c:pt idx="82">
                    <c:v>Aug</c:v>
                  </c:pt>
                  <c:pt idx="83">
                    <c:v>Sep</c:v>
                  </c:pt>
                </c:lvl>
                <c:lvl>
                  <c:pt idx="0">
                    <c:v>FY08</c:v>
                  </c:pt>
                  <c:pt idx="12">
                    <c:v>FY09</c:v>
                  </c:pt>
                  <c:pt idx="24">
                    <c:v>FY10</c:v>
                  </c:pt>
                  <c:pt idx="36">
                    <c:v>FY11</c:v>
                  </c:pt>
                  <c:pt idx="48">
                    <c:v>FY12</c:v>
                  </c:pt>
                  <c:pt idx="60">
                    <c:v>FY13</c:v>
                  </c:pt>
                  <c:pt idx="72">
                    <c:v>FY14</c:v>
                  </c:pt>
                </c:lvl>
              </c:multiLvlStrCache>
            </c:multiLvlStrRef>
          </c:cat>
          <c:val>
            <c:numRef>
              <c:f>'Data for C-AdmissionTrend'!$D$6:$D$89</c:f>
              <c:numCache>
                <c:formatCode>General</c:formatCode>
                <c:ptCount val="84"/>
                <c:pt idx="12" formatCode="0">
                  <c:v>54</c:v>
                </c:pt>
                <c:pt idx="13" formatCode="0">
                  <c:v>50</c:v>
                </c:pt>
                <c:pt idx="14" formatCode="0">
                  <c:v>48</c:v>
                </c:pt>
                <c:pt idx="15" formatCode="0">
                  <c:v>58</c:v>
                </c:pt>
                <c:pt idx="16" formatCode="0">
                  <c:v>44</c:v>
                </c:pt>
                <c:pt idx="17" formatCode="0">
                  <c:v>38</c:v>
                </c:pt>
                <c:pt idx="18" formatCode="0">
                  <c:v>43</c:v>
                </c:pt>
                <c:pt idx="19" formatCode="0">
                  <c:v>48</c:v>
                </c:pt>
                <c:pt idx="20" formatCode="0">
                  <c:v>41</c:v>
                </c:pt>
                <c:pt idx="21" formatCode="0">
                  <c:v>49</c:v>
                </c:pt>
                <c:pt idx="22" formatCode="0">
                  <c:v>50</c:v>
                </c:pt>
                <c:pt idx="23" formatCode="0">
                  <c:v>35</c:v>
                </c:pt>
                <c:pt idx="36" formatCode="0">
                  <c:v>34</c:v>
                </c:pt>
                <c:pt idx="37" formatCode="0">
                  <c:v>32</c:v>
                </c:pt>
                <c:pt idx="38" formatCode="0">
                  <c:v>35</c:v>
                </c:pt>
                <c:pt idx="39" formatCode="0">
                  <c:v>33</c:v>
                </c:pt>
                <c:pt idx="40" formatCode="0">
                  <c:v>29</c:v>
                </c:pt>
                <c:pt idx="41" formatCode="0">
                  <c:v>37</c:v>
                </c:pt>
                <c:pt idx="42" formatCode="0">
                  <c:v>38</c:v>
                </c:pt>
                <c:pt idx="43" formatCode="0">
                  <c:v>37</c:v>
                </c:pt>
                <c:pt idx="44" formatCode="0">
                  <c:v>25</c:v>
                </c:pt>
                <c:pt idx="45" formatCode="0">
                  <c:v>34</c:v>
                </c:pt>
                <c:pt idx="46" formatCode="0">
                  <c:v>45</c:v>
                </c:pt>
                <c:pt idx="47" formatCode="0">
                  <c:v>45</c:v>
                </c:pt>
                <c:pt idx="60" formatCode="0">
                  <c:v>31</c:v>
                </c:pt>
                <c:pt idx="61" formatCode="0">
                  <c:v>36</c:v>
                </c:pt>
                <c:pt idx="62" formatCode="0">
                  <c:v>25</c:v>
                </c:pt>
                <c:pt idx="63" formatCode="0">
                  <c:v>39</c:v>
                </c:pt>
                <c:pt idx="64" formatCode="0">
                  <c:v>28</c:v>
                </c:pt>
                <c:pt idx="65" formatCode="0">
                  <c:v>43</c:v>
                </c:pt>
                <c:pt idx="66" formatCode="0">
                  <c:v>44</c:v>
                </c:pt>
                <c:pt idx="67" formatCode="0">
                  <c:v>31</c:v>
                </c:pt>
                <c:pt idx="68" formatCode="0">
                  <c:v>28</c:v>
                </c:pt>
                <c:pt idx="69" formatCode="0">
                  <c:v>37</c:v>
                </c:pt>
                <c:pt idx="70" formatCode="0">
                  <c:v>35</c:v>
                </c:pt>
                <c:pt idx="71" formatCode="0">
                  <c:v>46</c:v>
                </c:pt>
              </c:numCache>
            </c:numRef>
          </c:val>
          <c:smooth val="1"/>
        </c:ser>
        <c:dLbls>
          <c:showLegendKey val="0"/>
          <c:showVal val="0"/>
          <c:showCatName val="0"/>
          <c:showSerName val="0"/>
          <c:showPercent val="0"/>
          <c:showBubbleSize val="0"/>
        </c:dLbls>
        <c:marker val="1"/>
        <c:smooth val="0"/>
        <c:axId val="238764544"/>
        <c:axId val="169615360"/>
      </c:lineChart>
      <c:scatterChart>
        <c:scatterStyle val="lineMarker"/>
        <c:varyColors val="0"/>
        <c:ser>
          <c:idx val="2"/>
          <c:order val="2"/>
          <c:tx>
            <c:strRef>
              <c:f>'Data for C-AdmissionTrend'!$G$5</c:f>
              <c:strCache>
                <c:ptCount val="1"/>
                <c:pt idx="0">
                  <c:v>Grid Lines</c:v>
                </c:pt>
              </c:strCache>
            </c:strRef>
          </c:tx>
          <c:spPr>
            <a:ln w="28575">
              <a:noFill/>
            </a:ln>
          </c:spPr>
          <c:marker>
            <c:symbol val="none"/>
          </c:marker>
          <c:errBars>
            <c:errDir val="y"/>
            <c:errBarType val="plus"/>
            <c:errValType val="fixedVal"/>
            <c:noEndCap val="1"/>
            <c:val val="1"/>
          </c:errBars>
          <c:xVal>
            <c:numRef>
              <c:f>'Data for C-AdmissionTrend'!$F$6:$F$11</c:f>
              <c:numCache>
                <c:formatCode>General</c:formatCode>
                <c:ptCount val="6"/>
                <c:pt idx="0">
                  <c:v>12</c:v>
                </c:pt>
                <c:pt idx="1">
                  <c:v>24</c:v>
                </c:pt>
                <c:pt idx="2">
                  <c:v>36</c:v>
                </c:pt>
                <c:pt idx="3">
                  <c:v>48</c:v>
                </c:pt>
                <c:pt idx="4">
                  <c:v>60</c:v>
                </c:pt>
                <c:pt idx="5">
                  <c:v>72</c:v>
                </c:pt>
              </c:numCache>
            </c:numRef>
          </c:xVal>
          <c:yVal>
            <c:numRef>
              <c:f>'Data for C-AdmissionTrend'!$G$6:$G$11</c:f>
              <c:numCache>
                <c:formatCode>General</c:formatCode>
                <c:ptCount val="6"/>
                <c:pt idx="0">
                  <c:v>0</c:v>
                </c:pt>
                <c:pt idx="1">
                  <c:v>0</c:v>
                </c:pt>
                <c:pt idx="2">
                  <c:v>0</c:v>
                </c:pt>
                <c:pt idx="3">
                  <c:v>0</c:v>
                </c:pt>
                <c:pt idx="4">
                  <c:v>0</c:v>
                </c:pt>
                <c:pt idx="5">
                  <c:v>0</c:v>
                </c:pt>
              </c:numCache>
            </c:numRef>
          </c:yVal>
          <c:smooth val="0"/>
        </c:ser>
        <c:ser>
          <c:idx val="3"/>
          <c:order val="3"/>
          <c:tx>
            <c:strRef>
              <c:f>'Data for C-AdmissionTrend'!$I$24</c:f>
              <c:strCache>
                <c:ptCount val="1"/>
                <c:pt idx="0">
                  <c:v>FY08
704</c:v>
                </c:pt>
              </c:strCache>
            </c:strRef>
          </c:tx>
          <c:spPr>
            <a:ln w="28575">
              <a:noFill/>
            </a:ln>
          </c:spPr>
          <c:marker>
            <c:symbol val="none"/>
          </c:marker>
          <c:dLbls>
            <c:dLbl>
              <c:idx val="0"/>
              <c:tx>
                <c:rich>
                  <a:bodyPr/>
                  <a:lstStyle/>
                  <a:p>
                    <a:r>
                      <a:rPr lang="en-US"/>
                      <a:t>FY08
(704)</a:t>
                    </a:r>
                  </a:p>
                </c:rich>
              </c:tx>
              <c:dLblPos val="t"/>
              <c:showLegendKey val="0"/>
              <c:showVal val="0"/>
              <c:showCatName val="0"/>
              <c:showSerName val="1"/>
              <c:showPercent val="0"/>
              <c:showBubbleSize val="0"/>
            </c:dLbl>
            <c:txPr>
              <a:bodyPr rot="0" vert="horz"/>
              <a:lstStyle/>
              <a:p>
                <a:pPr algn="ctr">
                  <a:defRPr/>
                </a:pPr>
                <a:endParaRPr lang="en-US"/>
              </a:p>
            </c:txPr>
            <c:dLblPos val="t"/>
            <c:showLegendKey val="0"/>
            <c:showVal val="0"/>
            <c:showCatName val="0"/>
            <c:showSerName val="1"/>
            <c:showPercent val="0"/>
            <c:showBubbleSize val="0"/>
            <c:showLeaderLines val="0"/>
          </c:dLbls>
          <c:xVal>
            <c:numRef>
              <c:f>'Data for C-AdmissionTrend'!$F$14</c:f>
              <c:numCache>
                <c:formatCode>General</c:formatCode>
                <c:ptCount val="1"/>
                <c:pt idx="0">
                  <c:v>6</c:v>
                </c:pt>
              </c:numCache>
            </c:numRef>
          </c:xVal>
          <c:yVal>
            <c:numRef>
              <c:f>'Data for C-AdmissionTrend'!$G$14</c:f>
              <c:numCache>
                <c:formatCode>General</c:formatCode>
                <c:ptCount val="1"/>
                <c:pt idx="0">
                  <c:v>1</c:v>
                </c:pt>
              </c:numCache>
            </c:numRef>
          </c:yVal>
          <c:smooth val="0"/>
        </c:ser>
        <c:ser>
          <c:idx val="4"/>
          <c:order val="4"/>
          <c:tx>
            <c:strRef>
              <c:f>'Data for C-AdmissionTrend'!$I$25</c:f>
              <c:strCache>
                <c:ptCount val="1"/>
                <c:pt idx="0">
                  <c:v>FY09
558</c:v>
                </c:pt>
              </c:strCache>
            </c:strRef>
          </c:tx>
          <c:spPr>
            <a:ln w="28575">
              <a:noFill/>
            </a:ln>
          </c:spPr>
          <c:marker>
            <c:symbol val="none"/>
          </c:marker>
          <c:dLbls>
            <c:dLbl>
              <c:idx val="0"/>
              <c:tx>
                <c:rich>
                  <a:bodyPr/>
                  <a:lstStyle/>
                  <a:p>
                    <a:r>
                      <a:rPr lang="en-US"/>
                      <a:t>FY09
(558)</a:t>
                    </a:r>
                  </a:p>
                </c:rich>
              </c:tx>
              <c:dLblPos val="t"/>
              <c:showLegendKey val="0"/>
              <c:showVal val="0"/>
              <c:showCatName val="0"/>
              <c:showSerName val="1"/>
              <c:showPercent val="0"/>
              <c:showBubbleSize val="0"/>
            </c:dLbl>
            <c:txPr>
              <a:bodyPr rot="0" vert="horz"/>
              <a:lstStyle/>
              <a:p>
                <a:pPr algn="ctr">
                  <a:defRPr/>
                </a:pPr>
                <a:endParaRPr lang="en-US"/>
              </a:p>
            </c:txPr>
            <c:dLblPos val="t"/>
            <c:showLegendKey val="0"/>
            <c:showVal val="0"/>
            <c:showCatName val="0"/>
            <c:showSerName val="1"/>
            <c:showPercent val="0"/>
            <c:showBubbleSize val="0"/>
            <c:showLeaderLines val="0"/>
          </c:dLbls>
          <c:xVal>
            <c:numRef>
              <c:f>'Data for C-AdmissionTrend'!$F$15</c:f>
              <c:numCache>
                <c:formatCode>General</c:formatCode>
                <c:ptCount val="1"/>
                <c:pt idx="0">
                  <c:v>18</c:v>
                </c:pt>
              </c:numCache>
            </c:numRef>
          </c:xVal>
          <c:yVal>
            <c:numRef>
              <c:f>'Data for C-AdmissionTrend'!$G$15</c:f>
              <c:numCache>
                <c:formatCode>General</c:formatCode>
                <c:ptCount val="1"/>
                <c:pt idx="0">
                  <c:v>1</c:v>
                </c:pt>
              </c:numCache>
            </c:numRef>
          </c:yVal>
          <c:smooth val="0"/>
        </c:ser>
        <c:ser>
          <c:idx val="5"/>
          <c:order val="5"/>
          <c:tx>
            <c:strRef>
              <c:f>'Data for C-AdmissionTrend'!$I$26</c:f>
              <c:strCache>
                <c:ptCount val="1"/>
                <c:pt idx="0">
                  <c:v>FY10
442</c:v>
                </c:pt>
              </c:strCache>
            </c:strRef>
          </c:tx>
          <c:spPr>
            <a:ln w="28575">
              <a:noFill/>
            </a:ln>
          </c:spPr>
          <c:marker>
            <c:symbol val="none"/>
          </c:marker>
          <c:dLbls>
            <c:dLbl>
              <c:idx val="0"/>
              <c:tx>
                <c:rich>
                  <a:bodyPr/>
                  <a:lstStyle/>
                  <a:p>
                    <a:r>
                      <a:rPr lang="en-US"/>
                      <a:t>FY10
(442)</a:t>
                    </a:r>
                  </a:p>
                </c:rich>
              </c:tx>
              <c:dLblPos val="t"/>
              <c:showLegendKey val="0"/>
              <c:showVal val="0"/>
              <c:showCatName val="0"/>
              <c:showSerName val="1"/>
              <c:showPercent val="0"/>
              <c:showBubbleSize val="0"/>
            </c:dLbl>
            <c:txPr>
              <a:bodyPr rot="0" vert="horz"/>
              <a:lstStyle/>
              <a:p>
                <a:pPr algn="ctr">
                  <a:defRPr/>
                </a:pPr>
                <a:endParaRPr lang="en-US"/>
              </a:p>
            </c:txPr>
            <c:dLblPos val="t"/>
            <c:showLegendKey val="0"/>
            <c:showVal val="0"/>
            <c:showCatName val="0"/>
            <c:showSerName val="1"/>
            <c:showPercent val="0"/>
            <c:showBubbleSize val="0"/>
            <c:showLeaderLines val="0"/>
          </c:dLbls>
          <c:xVal>
            <c:numRef>
              <c:f>'Data for C-AdmissionTrend'!$F$16</c:f>
              <c:numCache>
                <c:formatCode>General</c:formatCode>
                <c:ptCount val="1"/>
                <c:pt idx="0">
                  <c:v>30</c:v>
                </c:pt>
              </c:numCache>
            </c:numRef>
          </c:xVal>
          <c:yVal>
            <c:numRef>
              <c:f>'Data for C-AdmissionTrend'!$G$16</c:f>
              <c:numCache>
                <c:formatCode>General</c:formatCode>
                <c:ptCount val="1"/>
                <c:pt idx="0">
                  <c:v>1</c:v>
                </c:pt>
              </c:numCache>
            </c:numRef>
          </c:yVal>
          <c:smooth val="0"/>
        </c:ser>
        <c:ser>
          <c:idx val="6"/>
          <c:order val="6"/>
          <c:tx>
            <c:strRef>
              <c:f>'Data for C-AdmissionTrend'!$I$27</c:f>
              <c:strCache>
                <c:ptCount val="1"/>
                <c:pt idx="0">
                  <c:v>FY11
424</c:v>
                </c:pt>
              </c:strCache>
            </c:strRef>
          </c:tx>
          <c:spPr>
            <a:ln w="28575">
              <a:noFill/>
            </a:ln>
          </c:spPr>
          <c:marker>
            <c:symbol val="none"/>
          </c:marker>
          <c:dLbls>
            <c:dLbl>
              <c:idx val="0"/>
              <c:tx>
                <c:rich>
                  <a:bodyPr/>
                  <a:lstStyle/>
                  <a:p>
                    <a:r>
                      <a:rPr lang="en-US"/>
                      <a:t>FY11
(424)</a:t>
                    </a:r>
                  </a:p>
                </c:rich>
              </c:tx>
              <c:dLblPos val="t"/>
              <c:showLegendKey val="0"/>
              <c:showVal val="0"/>
              <c:showCatName val="0"/>
              <c:showSerName val="1"/>
              <c:showPercent val="0"/>
              <c:showBubbleSize val="0"/>
            </c:dLbl>
            <c:txPr>
              <a:bodyPr rot="0" vert="horz"/>
              <a:lstStyle/>
              <a:p>
                <a:pPr algn="ctr">
                  <a:defRPr/>
                </a:pPr>
                <a:endParaRPr lang="en-US"/>
              </a:p>
            </c:txPr>
            <c:dLblPos val="t"/>
            <c:showLegendKey val="0"/>
            <c:showVal val="0"/>
            <c:showCatName val="0"/>
            <c:showSerName val="1"/>
            <c:showPercent val="0"/>
            <c:showBubbleSize val="0"/>
            <c:showLeaderLines val="0"/>
          </c:dLbls>
          <c:xVal>
            <c:numRef>
              <c:f>'Data for C-AdmissionTrend'!$F$17</c:f>
              <c:numCache>
                <c:formatCode>General</c:formatCode>
                <c:ptCount val="1"/>
                <c:pt idx="0">
                  <c:v>42</c:v>
                </c:pt>
              </c:numCache>
            </c:numRef>
          </c:xVal>
          <c:yVal>
            <c:numRef>
              <c:f>'Data for C-AdmissionTrend'!$G$17</c:f>
              <c:numCache>
                <c:formatCode>General</c:formatCode>
                <c:ptCount val="1"/>
                <c:pt idx="0">
                  <c:v>1</c:v>
                </c:pt>
              </c:numCache>
            </c:numRef>
          </c:yVal>
          <c:smooth val="0"/>
        </c:ser>
        <c:ser>
          <c:idx val="7"/>
          <c:order val="7"/>
          <c:tx>
            <c:strRef>
              <c:f>'Data for C-AdmissionTrend'!$I$28</c:f>
              <c:strCache>
                <c:ptCount val="1"/>
                <c:pt idx="0">
                  <c:v>FY12
400</c:v>
                </c:pt>
              </c:strCache>
            </c:strRef>
          </c:tx>
          <c:spPr>
            <a:ln w="28575">
              <a:noFill/>
            </a:ln>
          </c:spPr>
          <c:marker>
            <c:symbol val="none"/>
          </c:marker>
          <c:dLbls>
            <c:dLbl>
              <c:idx val="0"/>
              <c:tx>
                <c:rich>
                  <a:bodyPr/>
                  <a:lstStyle/>
                  <a:p>
                    <a:r>
                      <a:rPr lang="en-US"/>
                      <a:t>FY12
(400)</a:t>
                    </a:r>
                  </a:p>
                </c:rich>
              </c:tx>
              <c:dLblPos val="t"/>
              <c:showLegendKey val="0"/>
              <c:showVal val="0"/>
              <c:showCatName val="0"/>
              <c:showSerName val="1"/>
              <c:showPercent val="0"/>
              <c:showBubbleSize val="0"/>
            </c:dLbl>
            <c:txPr>
              <a:bodyPr rot="0" vert="horz"/>
              <a:lstStyle/>
              <a:p>
                <a:pPr algn="ctr">
                  <a:defRPr/>
                </a:pPr>
                <a:endParaRPr lang="en-US"/>
              </a:p>
            </c:txPr>
            <c:dLblPos val="t"/>
            <c:showLegendKey val="0"/>
            <c:showVal val="0"/>
            <c:showCatName val="0"/>
            <c:showSerName val="1"/>
            <c:showPercent val="0"/>
            <c:showBubbleSize val="0"/>
            <c:showLeaderLines val="0"/>
          </c:dLbls>
          <c:xVal>
            <c:numRef>
              <c:f>'Data for C-AdmissionTrend'!$F$18</c:f>
              <c:numCache>
                <c:formatCode>General</c:formatCode>
                <c:ptCount val="1"/>
                <c:pt idx="0">
                  <c:v>54</c:v>
                </c:pt>
              </c:numCache>
            </c:numRef>
          </c:xVal>
          <c:yVal>
            <c:numRef>
              <c:f>'Data for C-AdmissionTrend'!$G$18</c:f>
              <c:numCache>
                <c:formatCode>General</c:formatCode>
                <c:ptCount val="1"/>
                <c:pt idx="0">
                  <c:v>1</c:v>
                </c:pt>
              </c:numCache>
            </c:numRef>
          </c:yVal>
          <c:smooth val="0"/>
        </c:ser>
        <c:ser>
          <c:idx val="8"/>
          <c:order val="8"/>
          <c:tx>
            <c:strRef>
              <c:f>'Data for C-AdmissionTrend'!$I$29</c:f>
              <c:strCache>
                <c:ptCount val="1"/>
                <c:pt idx="0">
                  <c:v>FY13
423</c:v>
                </c:pt>
              </c:strCache>
            </c:strRef>
          </c:tx>
          <c:spPr>
            <a:ln w="28575">
              <a:noFill/>
            </a:ln>
          </c:spPr>
          <c:marker>
            <c:symbol val="none"/>
          </c:marker>
          <c:dLbls>
            <c:dLbl>
              <c:idx val="0"/>
              <c:tx>
                <c:rich>
                  <a:bodyPr/>
                  <a:lstStyle/>
                  <a:p>
                    <a:r>
                      <a:rPr lang="en-US"/>
                      <a:t>FY13
(423)</a:t>
                    </a:r>
                  </a:p>
                </c:rich>
              </c:tx>
              <c:dLblPos val="t"/>
              <c:showLegendKey val="0"/>
              <c:showVal val="0"/>
              <c:showCatName val="0"/>
              <c:showSerName val="1"/>
              <c:showPercent val="0"/>
              <c:showBubbleSize val="0"/>
            </c:dLbl>
            <c:txPr>
              <a:bodyPr rot="0" vert="horz"/>
              <a:lstStyle/>
              <a:p>
                <a:pPr algn="ctr">
                  <a:defRPr/>
                </a:pPr>
                <a:endParaRPr lang="en-US"/>
              </a:p>
            </c:txPr>
            <c:dLblPos val="t"/>
            <c:showLegendKey val="0"/>
            <c:showVal val="0"/>
            <c:showCatName val="0"/>
            <c:showSerName val="1"/>
            <c:showPercent val="0"/>
            <c:showBubbleSize val="0"/>
            <c:showLeaderLines val="0"/>
          </c:dLbls>
          <c:xVal>
            <c:numRef>
              <c:f>'Data for C-AdmissionTrend'!$F$19</c:f>
              <c:numCache>
                <c:formatCode>General</c:formatCode>
                <c:ptCount val="1"/>
                <c:pt idx="0">
                  <c:v>66</c:v>
                </c:pt>
              </c:numCache>
            </c:numRef>
          </c:xVal>
          <c:yVal>
            <c:numRef>
              <c:f>'Data for C-AdmissionTrend'!$G$19</c:f>
              <c:numCache>
                <c:formatCode>General</c:formatCode>
                <c:ptCount val="1"/>
                <c:pt idx="0">
                  <c:v>1</c:v>
                </c:pt>
              </c:numCache>
            </c:numRef>
          </c:yVal>
          <c:smooth val="0"/>
        </c:ser>
        <c:ser>
          <c:idx val="9"/>
          <c:order val="9"/>
          <c:tx>
            <c:strRef>
              <c:f>'Data for C-AdmissionTrend'!$I$30</c:f>
              <c:strCache>
                <c:ptCount val="1"/>
                <c:pt idx="0">
                  <c:v>FY14
434</c:v>
                </c:pt>
              </c:strCache>
            </c:strRef>
          </c:tx>
          <c:spPr>
            <a:ln w="28575">
              <a:noFill/>
            </a:ln>
          </c:spPr>
          <c:marker>
            <c:symbol val="none"/>
          </c:marker>
          <c:dLbls>
            <c:dLbl>
              <c:idx val="0"/>
              <c:tx>
                <c:rich>
                  <a:bodyPr/>
                  <a:lstStyle/>
                  <a:p>
                    <a:r>
                      <a:rPr lang="en-US"/>
                      <a:t>FY14
(434)</a:t>
                    </a:r>
                  </a:p>
                </c:rich>
              </c:tx>
              <c:dLblPos val="t"/>
              <c:showLegendKey val="0"/>
              <c:showVal val="0"/>
              <c:showCatName val="0"/>
              <c:showSerName val="1"/>
              <c:showPercent val="0"/>
              <c:showBubbleSize val="0"/>
            </c:dLbl>
            <c:txPr>
              <a:bodyPr rot="0" vert="horz"/>
              <a:lstStyle/>
              <a:p>
                <a:pPr algn="ctr">
                  <a:defRPr/>
                </a:pPr>
                <a:endParaRPr lang="en-US"/>
              </a:p>
            </c:txPr>
            <c:dLblPos val="t"/>
            <c:showLegendKey val="0"/>
            <c:showVal val="0"/>
            <c:showCatName val="0"/>
            <c:showSerName val="1"/>
            <c:showPercent val="0"/>
            <c:showBubbleSize val="0"/>
            <c:showLeaderLines val="0"/>
          </c:dLbls>
          <c:xVal>
            <c:numRef>
              <c:f>'Data for C-AdmissionTrend'!$F$20</c:f>
              <c:numCache>
                <c:formatCode>General</c:formatCode>
                <c:ptCount val="1"/>
                <c:pt idx="0">
                  <c:v>78</c:v>
                </c:pt>
              </c:numCache>
            </c:numRef>
          </c:xVal>
          <c:yVal>
            <c:numRef>
              <c:f>'Data for C-AdmissionTrend'!$G$20</c:f>
              <c:numCache>
                <c:formatCode>General</c:formatCode>
                <c:ptCount val="1"/>
                <c:pt idx="0">
                  <c:v>1</c:v>
                </c:pt>
              </c:numCache>
            </c:numRef>
          </c:yVal>
          <c:smooth val="0"/>
        </c:ser>
        <c:dLbls>
          <c:showLegendKey val="0"/>
          <c:showVal val="0"/>
          <c:showCatName val="0"/>
          <c:showSerName val="0"/>
          <c:showPercent val="0"/>
          <c:showBubbleSize val="0"/>
        </c:dLbls>
        <c:axId val="169618816"/>
        <c:axId val="169616512"/>
      </c:scatterChart>
      <c:catAx>
        <c:axId val="238764544"/>
        <c:scaling>
          <c:orientation val="minMax"/>
        </c:scaling>
        <c:delete val="0"/>
        <c:axPos val="b"/>
        <c:majorTickMark val="none"/>
        <c:minorTickMark val="none"/>
        <c:tickLblPos val="nextTo"/>
        <c:txPr>
          <a:bodyPr rot="-5400000" vert="horz"/>
          <a:lstStyle/>
          <a:p>
            <a:pPr>
              <a:defRPr b="0"/>
            </a:pPr>
            <a:endParaRPr lang="en-US"/>
          </a:p>
        </c:txPr>
        <c:crossAx val="169615360"/>
        <c:crosses val="autoZero"/>
        <c:auto val="1"/>
        <c:lblAlgn val="ctr"/>
        <c:lblOffset val="100"/>
        <c:tickMarkSkip val="6"/>
        <c:noMultiLvlLbl val="0"/>
      </c:catAx>
      <c:valAx>
        <c:axId val="169615360"/>
        <c:scaling>
          <c:orientation val="minMax"/>
          <c:max val="70"/>
          <c:min val="20"/>
        </c:scaling>
        <c:delete val="0"/>
        <c:axPos val="l"/>
        <c:majorGridlines/>
        <c:numFmt formatCode="0" sourceLinked="1"/>
        <c:majorTickMark val="out"/>
        <c:minorTickMark val="none"/>
        <c:tickLblPos val="nextTo"/>
        <c:txPr>
          <a:bodyPr/>
          <a:lstStyle/>
          <a:p>
            <a:pPr>
              <a:defRPr b="0"/>
            </a:pPr>
            <a:endParaRPr lang="en-US"/>
          </a:p>
        </c:txPr>
        <c:crossAx val="238764544"/>
        <c:crossesAt val="1"/>
        <c:crossBetween val="between"/>
        <c:majorUnit val="10"/>
      </c:valAx>
      <c:valAx>
        <c:axId val="169616512"/>
        <c:scaling>
          <c:orientation val="minMax"/>
          <c:max val="1"/>
          <c:min val="0"/>
        </c:scaling>
        <c:delete val="0"/>
        <c:axPos val="r"/>
        <c:numFmt formatCode="General" sourceLinked="1"/>
        <c:majorTickMark val="none"/>
        <c:minorTickMark val="none"/>
        <c:tickLblPos val="none"/>
        <c:crossAx val="169618816"/>
        <c:crosses val="max"/>
        <c:crossBetween val="midCat"/>
      </c:valAx>
      <c:valAx>
        <c:axId val="169618816"/>
        <c:scaling>
          <c:orientation val="minMax"/>
          <c:max val="84"/>
          <c:min val="0"/>
        </c:scaling>
        <c:delete val="0"/>
        <c:axPos val="t"/>
        <c:numFmt formatCode="General" sourceLinked="1"/>
        <c:majorTickMark val="none"/>
        <c:minorTickMark val="none"/>
        <c:tickLblPos val="none"/>
        <c:spPr>
          <a:ln w="9525">
            <a:noFill/>
          </a:ln>
        </c:spPr>
        <c:crossAx val="169616512"/>
        <c:crosses val="max"/>
        <c:crossBetween val="midCat"/>
      </c:valAx>
      <c:spPr>
        <a:noFill/>
      </c:spPr>
    </c:plotArea>
    <c:plotVisOnly val="1"/>
    <c:dispBlanksAs val="gap"/>
    <c:showDLblsOverMax val="0"/>
  </c:chart>
  <c:spPr>
    <a:ln>
      <a:noFill/>
    </a:ln>
  </c:spPr>
  <c:txPr>
    <a:bodyPr/>
    <a:lstStyle/>
    <a:p>
      <a:pPr>
        <a:defRPr sz="1100" b="1"/>
      </a:pPr>
      <a:endParaRPr lang="en-US"/>
    </a:p>
  </c:txPr>
  <c:externalData r:id="rId1">
    <c:autoUpdate val="0"/>
  </c:externalData>
  <c:userShapes r:id="rId2"/>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0"/>
    </mc:Choice>
    <mc:Fallback>
      <c:style val="20"/>
    </mc:Fallback>
  </mc:AlternateContent>
  <c:chart>
    <c:autoTitleDeleted val="1"/>
    <c:plotArea>
      <c:layout>
        <c:manualLayout>
          <c:layoutTarget val="inner"/>
          <c:xMode val="edge"/>
          <c:yMode val="edge"/>
          <c:x val="1.2395623512177257E-2"/>
          <c:y val="2.0188830562846313E-2"/>
          <c:w val="0.9766346515812202"/>
          <c:h val="0.67904985478171487"/>
        </c:manualLayout>
      </c:layout>
      <c:lineChart>
        <c:grouping val="standard"/>
        <c:varyColors val="0"/>
        <c:ser>
          <c:idx val="1"/>
          <c:order val="0"/>
          <c:tx>
            <c:v>FY13 (LOS&gt;90 days only: n=129)*</c:v>
          </c:tx>
          <c:spPr>
            <a:ln w="38100">
              <a:solidFill>
                <a:schemeClr val="tx2"/>
              </a:solidFill>
              <a:prstDash val="sysDot"/>
            </a:ln>
          </c:spPr>
          <c:marker>
            <c:symbol val="none"/>
          </c:marker>
          <c:dLbls>
            <c:dLbl>
              <c:idx val="0"/>
              <c:delete val="1"/>
            </c:dLbl>
            <c:dLbl>
              <c:idx val="1"/>
              <c:layout>
                <c:manualLayout>
                  <c:x val="-3.1851932425406286E-2"/>
                  <c:y val="1.9976873520180693E-2"/>
                </c:manualLayout>
              </c:layout>
              <c:dLblPos val="r"/>
              <c:showLegendKey val="0"/>
              <c:showVal val="1"/>
              <c:showCatName val="0"/>
              <c:showSerName val="0"/>
              <c:showPercent val="0"/>
              <c:showBubbleSize val="0"/>
            </c:dLbl>
            <c:txPr>
              <a:bodyPr/>
              <a:lstStyle/>
              <a:p>
                <a:pPr>
                  <a:defRPr sz="1100" b="1">
                    <a:solidFill>
                      <a:schemeClr val="tx2"/>
                    </a:solidFill>
                  </a:defRPr>
                </a:pPr>
                <a:endParaRPr lang="en-US"/>
              </a:p>
            </c:txPr>
            <c:dLblPos val="t"/>
            <c:showLegendKey val="0"/>
            <c:showVal val="1"/>
            <c:showCatName val="0"/>
            <c:showSerName val="0"/>
            <c:showPercent val="0"/>
            <c:showBubbleSize val="0"/>
            <c:showLeaderLines val="0"/>
          </c:dLbls>
          <c:cat>
            <c:strRef>
              <c:f>Table!$B$11:$I$11</c:f>
              <c:strCache>
                <c:ptCount val="8"/>
                <c:pt idx="0">
                  <c:v>Admission</c:v>
                </c:pt>
                <c:pt idx="1">
                  <c:v>3-30 days</c:v>
                </c:pt>
                <c:pt idx="2">
                  <c:v>31-60 days</c:v>
                </c:pt>
                <c:pt idx="3">
                  <c:v>61-90 days</c:v>
                </c:pt>
                <c:pt idx="4">
                  <c:v>91-120 days</c:v>
                </c:pt>
                <c:pt idx="5">
                  <c:v>121-180 days</c:v>
                </c:pt>
                <c:pt idx="6">
                  <c:v>181-240 days</c:v>
                </c:pt>
                <c:pt idx="7">
                  <c:v>241-300 days</c:v>
                </c:pt>
              </c:strCache>
            </c:strRef>
          </c:cat>
          <c:val>
            <c:numRef>
              <c:f>Table!$B$20:$I$20</c:f>
              <c:numCache>
                <c:formatCode>0.0%</c:formatCode>
                <c:ptCount val="8"/>
                <c:pt idx="0">
                  <c:v>0</c:v>
                </c:pt>
                <c:pt idx="1">
                  <c:v>2.3905470273157849E-2</c:v>
                </c:pt>
                <c:pt idx="2">
                  <c:v>5.1735515245980183E-2</c:v>
                </c:pt>
                <c:pt idx="3">
                  <c:v>6.5096800917752259E-2</c:v>
                </c:pt>
                <c:pt idx="4">
                  <c:v>8.7206209770243889E-2</c:v>
                </c:pt>
                <c:pt idx="5">
                  <c:v>8.8289080157808245E-2</c:v>
                </c:pt>
                <c:pt idx="6">
                  <c:v>9.3385830331999153E-2</c:v>
                </c:pt>
                <c:pt idx="7">
                  <c:v>0.10061188577409616</c:v>
                </c:pt>
              </c:numCache>
            </c:numRef>
          </c:val>
          <c:smooth val="1"/>
        </c:ser>
        <c:ser>
          <c:idx val="0"/>
          <c:order val="1"/>
          <c:tx>
            <c:v>FY14 (All Admissions: n=415)</c:v>
          </c:tx>
          <c:marker>
            <c:symbol val="none"/>
          </c:marker>
          <c:dLbls>
            <c:dLbl>
              <c:idx val="0"/>
              <c:layout>
                <c:manualLayout>
                  <c:x val="-7.420406906774063E-2"/>
                  <c:y val="-1.6107042563735477E-2"/>
                </c:manualLayout>
              </c:layout>
              <c:dLblPos val="r"/>
              <c:showLegendKey val="0"/>
              <c:showVal val="1"/>
              <c:showCatName val="0"/>
              <c:showSerName val="0"/>
              <c:showPercent val="0"/>
              <c:showBubbleSize val="0"/>
            </c:dLbl>
            <c:dLbl>
              <c:idx val="1"/>
              <c:layout>
                <c:manualLayout>
                  <c:x val="-6.8432213917535151E-2"/>
                  <c:y val="-2.5431051887744801E-2"/>
                </c:manualLayout>
              </c:layout>
              <c:dLblPos val="r"/>
              <c:showLegendKey val="0"/>
              <c:showVal val="1"/>
              <c:showCatName val="0"/>
              <c:showSerName val="0"/>
              <c:showPercent val="0"/>
              <c:showBubbleSize val="0"/>
            </c:dLbl>
            <c:txPr>
              <a:bodyPr/>
              <a:lstStyle/>
              <a:p>
                <a:pPr>
                  <a:defRPr sz="1100" b="1">
                    <a:solidFill>
                      <a:srgbClr val="C00000"/>
                    </a:solidFill>
                    <a:effectLst>
                      <a:glow rad="127000">
                        <a:schemeClr val="accent2">
                          <a:lumMod val="20000"/>
                          <a:lumOff val="80000"/>
                        </a:schemeClr>
                      </a:glow>
                    </a:effectLst>
                  </a:defRPr>
                </a:pPr>
                <a:endParaRPr lang="en-US"/>
              </a:p>
            </c:txPr>
            <c:dLblPos val="b"/>
            <c:showLegendKey val="0"/>
            <c:showVal val="1"/>
            <c:showCatName val="0"/>
            <c:showSerName val="0"/>
            <c:showPercent val="0"/>
            <c:showBubbleSize val="0"/>
            <c:showLeaderLines val="0"/>
          </c:dLbls>
          <c:cat>
            <c:strRef>
              <c:f>Table!$B$11:$I$11</c:f>
              <c:strCache>
                <c:ptCount val="8"/>
                <c:pt idx="0">
                  <c:v>Admission</c:v>
                </c:pt>
                <c:pt idx="1">
                  <c:v>3-30 days</c:v>
                </c:pt>
                <c:pt idx="2">
                  <c:v>31-60 days</c:v>
                </c:pt>
                <c:pt idx="3">
                  <c:v>61-90 days</c:v>
                </c:pt>
                <c:pt idx="4">
                  <c:v>91-120 days</c:v>
                </c:pt>
                <c:pt idx="5">
                  <c:v>121-180 days</c:v>
                </c:pt>
                <c:pt idx="6">
                  <c:v>181-240 days</c:v>
                </c:pt>
                <c:pt idx="7">
                  <c:v>241-300 days</c:v>
                </c:pt>
              </c:strCache>
            </c:strRef>
          </c:cat>
          <c:val>
            <c:numRef>
              <c:f>Table!$B$34:$I$34</c:f>
              <c:numCache>
                <c:formatCode>0.0%</c:formatCode>
                <c:ptCount val="8"/>
                <c:pt idx="0">
                  <c:v>0</c:v>
                </c:pt>
                <c:pt idx="1">
                  <c:v>3.0901555627797464E-2</c:v>
                </c:pt>
                <c:pt idx="2">
                  <c:v>4.3014049700294182E-2</c:v>
                </c:pt>
                <c:pt idx="3">
                  <c:v>6.2434857828450922E-2</c:v>
                </c:pt>
                <c:pt idx="4">
                  <c:v>6.0682735575912632E-2</c:v>
                </c:pt>
                <c:pt idx="5">
                  <c:v>7.3691280142289511E-2</c:v>
                </c:pt>
                <c:pt idx="6">
                  <c:v>6.6299786620247519E-2</c:v>
                </c:pt>
                <c:pt idx="7">
                  <c:v>8.511709668246939E-2</c:v>
                </c:pt>
              </c:numCache>
            </c:numRef>
          </c:val>
          <c:smooth val="1"/>
        </c:ser>
        <c:dLbls>
          <c:showLegendKey val="0"/>
          <c:showVal val="0"/>
          <c:showCatName val="0"/>
          <c:showSerName val="0"/>
          <c:showPercent val="0"/>
          <c:showBubbleSize val="0"/>
        </c:dLbls>
        <c:marker val="1"/>
        <c:smooth val="0"/>
        <c:axId val="284169728"/>
        <c:axId val="285707072"/>
      </c:lineChart>
      <c:catAx>
        <c:axId val="284169728"/>
        <c:scaling>
          <c:orientation val="minMax"/>
        </c:scaling>
        <c:delete val="0"/>
        <c:axPos val="b"/>
        <c:majorTickMark val="out"/>
        <c:minorTickMark val="none"/>
        <c:tickLblPos val="nextTo"/>
        <c:txPr>
          <a:bodyPr/>
          <a:lstStyle/>
          <a:p>
            <a:pPr>
              <a:defRPr sz="1050" b="1"/>
            </a:pPr>
            <a:endParaRPr lang="en-US"/>
          </a:p>
        </c:txPr>
        <c:crossAx val="285707072"/>
        <c:crosses val="autoZero"/>
        <c:auto val="0"/>
        <c:lblAlgn val="ctr"/>
        <c:lblOffset val="100"/>
        <c:noMultiLvlLbl val="0"/>
      </c:catAx>
      <c:valAx>
        <c:axId val="285707072"/>
        <c:scaling>
          <c:orientation val="minMax"/>
        </c:scaling>
        <c:delete val="0"/>
        <c:axPos val="l"/>
        <c:numFmt formatCode="0.0%" sourceLinked="1"/>
        <c:majorTickMark val="none"/>
        <c:minorTickMark val="none"/>
        <c:tickLblPos val="none"/>
        <c:spPr>
          <a:ln>
            <a:noFill/>
          </a:ln>
        </c:spPr>
        <c:txPr>
          <a:bodyPr/>
          <a:lstStyle/>
          <a:p>
            <a:pPr>
              <a:defRPr sz="1200"/>
            </a:pPr>
            <a:endParaRPr lang="en-US"/>
          </a:p>
        </c:txPr>
        <c:crossAx val="284169728"/>
        <c:crosses val="autoZero"/>
        <c:crossBetween val="between"/>
      </c:valAx>
    </c:plotArea>
    <c:legend>
      <c:legendPos val="t"/>
      <c:legendEntry>
        <c:idx val="0"/>
        <c:txPr>
          <a:bodyPr/>
          <a:lstStyle/>
          <a:p>
            <a:pPr>
              <a:defRPr sz="1050" b="1">
                <a:solidFill>
                  <a:schemeClr val="tx2"/>
                </a:solidFill>
              </a:defRPr>
            </a:pPr>
            <a:endParaRPr lang="en-US"/>
          </a:p>
        </c:txPr>
      </c:legendEntry>
      <c:legendEntry>
        <c:idx val="1"/>
        <c:txPr>
          <a:bodyPr/>
          <a:lstStyle/>
          <a:p>
            <a:pPr>
              <a:defRPr sz="1050" b="1">
                <a:solidFill>
                  <a:srgbClr val="C00000"/>
                </a:solidFill>
              </a:defRPr>
            </a:pPr>
            <a:endParaRPr lang="en-US"/>
          </a:p>
        </c:txPr>
      </c:legendEntry>
      <c:layout>
        <c:manualLayout>
          <c:xMode val="edge"/>
          <c:yMode val="edge"/>
          <c:x val="2.2221523972571398E-2"/>
          <c:y val="5.0136636771214931E-2"/>
          <c:w val="0.35721828062678235"/>
          <c:h val="0.16175482665893759"/>
        </c:manualLayout>
      </c:layout>
      <c:overlay val="0"/>
      <c:txPr>
        <a:bodyPr/>
        <a:lstStyle/>
        <a:p>
          <a:pPr>
            <a:defRPr sz="1050"/>
          </a:pPr>
          <a:endParaRPr lang="en-US"/>
        </a:p>
      </c:txPr>
    </c:legend>
    <c:plotVisOnly val="1"/>
    <c:dispBlanksAs val="gap"/>
    <c:showDLblsOverMax val="0"/>
  </c:chart>
  <c:spPr>
    <a:ln>
      <a:noFill/>
    </a:ln>
  </c:spPr>
  <c:externalData r:id="rId1">
    <c:autoUpdate val="0"/>
  </c:externalData>
  <c:userShapes r:id="rId2"/>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0"/>
    </mc:Choice>
    <mc:Fallback>
      <c:style val="20"/>
    </mc:Fallback>
  </mc:AlternateContent>
  <c:chart>
    <c:autoTitleDeleted val="1"/>
    <c:plotArea>
      <c:layout>
        <c:manualLayout>
          <c:layoutTarget val="inner"/>
          <c:xMode val="edge"/>
          <c:yMode val="edge"/>
          <c:x val="7.9551007132753933E-3"/>
          <c:y val="0"/>
          <c:w val="0.97541835822700251"/>
          <c:h val="0.76104022332897436"/>
        </c:manualLayout>
      </c:layout>
      <c:lineChart>
        <c:grouping val="standard"/>
        <c:varyColors val="0"/>
        <c:ser>
          <c:idx val="1"/>
          <c:order val="0"/>
          <c:tx>
            <c:v>FY13 (LOS&gt;=90 days only: n=110)</c:v>
          </c:tx>
          <c:spPr>
            <a:ln w="38100">
              <a:solidFill>
                <a:schemeClr val="tx2"/>
              </a:solidFill>
              <a:prstDash val="sysDot"/>
            </a:ln>
          </c:spPr>
          <c:marker>
            <c:symbol val="none"/>
          </c:marker>
          <c:dLbls>
            <c:dLbl>
              <c:idx val="4"/>
              <c:layout>
                <c:manualLayout>
                  <c:x val="-5.0768567473734302E-2"/>
                  <c:y val="2.9072127497055514E-2"/>
                </c:manualLayout>
              </c:layout>
              <c:dLblPos val="r"/>
              <c:showLegendKey val="0"/>
              <c:showVal val="1"/>
              <c:showCatName val="0"/>
              <c:showSerName val="0"/>
              <c:showPercent val="0"/>
              <c:showBubbleSize val="0"/>
            </c:dLbl>
            <c:txPr>
              <a:bodyPr/>
              <a:lstStyle/>
              <a:p>
                <a:pPr algn="ctr">
                  <a:defRPr lang="en-US" sz="1100" b="1" i="0" u="none" strike="noStrike" kern="1200" baseline="0">
                    <a:solidFill>
                      <a:schemeClr val="tx2"/>
                    </a:solidFill>
                    <a:latin typeface="+mn-lt"/>
                    <a:ea typeface="+mn-ea"/>
                    <a:cs typeface="+mn-cs"/>
                  </a:defRPr>
                </a:pPr>
                <a:endParaRPr lang="en-US"/>
              </a:p>
            </c:txPr>
            <c:dLblPos val="t"/>
            <c:showLegendKey val="0"/>
            <c:showVal val="1"/>
            <c:showCatName val="0"/>
            <c:showSerName val="0"/>
            <c:showPercent val="0"/>
            <c:showBubbleSize val="0"/>
            <c:showLeaderLines val="0"/>
          </c:dLbls>
          <c:cat>
            <c:strRef>
              <c:f>Table!$B$11:$I$11</c:f>
              <c:strCache>
                <c:ptCount val="8"/>
                <c:pt idx="0">
                  <c:v>Admission</c:v>
                </c:pt>
                <c:pt idx="1">
                  <c:v>3-30 days</c:v>
                </c:pt>
                <c:pt idx="2">
                  <c:v>31-60 days</c:v>
                </c:pt>
                <c:pt idx="3">
                  <c:v>61-90 days</c:v>
                </c:pt>
                <c:pt idx="4">
                  <c:v>91-120 days</c:v>
                </c:pt>
                <c:pt idx="5">
                  <c:v>121-180 days</c:v>
                </c:pt>
                <c:pt idx="6">
                  <c:v>181-240 days</c:v>
                </c:pt>
                <c:pt idx="7">
                  <c:v>241-300 days</c:v>
                </c:pt>
              </c:strCache>
            </c:strRef>
          </c:cat>
          <c:val>
            <c:numRef>
              <c:f>Table!$B$7:$I$7</c:f>
              <c:numCache>
                <c:formatCode>0.0%</c:formatCode>
                <c:ptCount val="8"/>
                <c:pt idx="0">
                  <c:v>0.28695652173913044</c:v>
                </c:pt>
                <c:pt idx="1">
                  <c:v>0.32407407407407407</c:v>
                </c:pt>
                <c:pt idx="2">
                  <c:v>0.3867924528301887</c:v>
                </c:pt>
                <c:pt idx="3">
                  <c:v>0.3888888888888889</c:v>
                </c:pt>
                <c:pt idx="4">
                  <c:v>0.35416666666666669</c:v>
                </c:pt>
                <c:pt idx="5">
                  <c:v>0.46666666666666667</c:v>
                </c:pt>
                <c:pt idx="6">
                  <c:v>0.48780487804878048</c:v>
                </c:pt>
                <c:pt idx="7">
                  <c:v>0.65217391304347827</c:v>
                </c:pt>
              </c:numCache>
            </c:numRef>
          </c:val>
          <c:smooth val="1"/>
        </c:ser>
        <c:ser>
          <c:idx val="0"/>
          <c:order val="1"/>
          <c:tx>
            <c:v>FY14 (All Admissions: n=411)</c:v>
          </c:tx>
          <c:marker>
            <c:symbol val="none"/>
          </c:marker>
          <c:dLbls>
            <c:dLbl>
              <c:idx val="4"/>
              <c:layout>
                <c:manualLayout>
                  <c:x val="-4.9250796100055214E-2"/>
                  <c:y val="-5.0132441580900015E-2"/>
                </c:manualLayout>
              </c:layout>
              <c:dLblPos val="r"/>
              <c:showLegendKey val="0"/>
              <c:showVal val="1"/>
              <c:showCatName val="0"/>
              <c:showSerName val="0"/>
              <c:showPercent val="0"/>
              <c:showBubbleSize val="0"/>
            </c:dLbl>
            <c:dLbl>
              <c:idx val="7"/>
              <c:layout>
                <c:manualLayout>
                  <c:x val="-9.5123556241348789E-4"/>
                  <c:y val="6.3503955948447849E-2"/>
                </c:manualLayout>
              </c:layout>
              <c:dLblPos val="r"/>
              <c:showLegendKey val="0"/>
              <c:showVal val="1"/>
              <c:showCatName val="0"/>
              <c:showSerName val="0"/>
              <c:showPercent val="0"/>
              <c:showBubbleSize val="0"/>
            </c:dLbl>
            <c:txPr>
              <a:bodyPr/>
              <a:lstStyle/>
              <a:p>
                <a:pPr>
                  <a:defRPr sz="1100" b="1">
                    <a:solidFill>
                      <a:srgbClr val="C00000"/>
                    </a:solidFill>
                    <a:effectLst>
                      <a:glow rad="88900">
                        <a:srgbClr val="C0504D">
                          <a:lumMod val="20000"/>
                          <a:lumOff val="80000"/>
                        </a:srgbClr>
                      </a:glow>
                    </a:effectLst>
                  </a:defRPr>
                </a:pPr>
                <a:endParaRPr lang="en-US"/>
              </a:p>
            </c:txPr>
            <c:dLblPos val="b"/>
            <c:showLegendKey val="0"/>
            <c:showVal val="1"/>
            <c:showCatName val="0"/>
            <c:showSerName val="0"/>
            <c:showPercent val="0"/>
            <c:showBubbleSize val="0"/>
            <c:showLeaderLines val="0"/>
          </c:dLbls>
          <c:cat>
            <c:strRef>
              <c:f>Table!$B$11:$I$11</c:f>
              <c:strCache>
                <c:ptCount val="8"/>
                <c:pt idx="0">
                  <c:v>Admission</c:v>
                </c:pt>
                <c:pt idx="1">
                  <c:v>3-30 days</c:v>
                </c:pt>
                <c:pt idx="2">
                  <c:v>31-60 days</c:v>
                </c:pt>
                <c:pt idx="3">
                  <c:v>61-90 days</c:v>
                </c:pt>
                <c:pt idx="4">
                  <c:v>91-120 days</c:v>
                </c:pt>
                <c:pt idx="5">
                  <c:v>121-180 days</c:v>
                </c:pt>
                <c:pt idx="6">
                  <c:v>181-240 days</c:v>
                </c:pt>
                <c:pt idx="7">
                  <c:v>241-300 days</c:v>
                </c:pt>
              </c:strCache>
            </c:strRef>
          </c:cat>
          <c:val>
            <c:numRef>
              <c:f>Table!$B$27:$I$27</c:f>
              <c:numCache>
                <c:formatCode>0.0%</c:formatCode>
                <c:ptCount val="8"/>
                <c:pt idx="0">
                  <c:v>0.26034063260340634</c:v>
                </c:pt>
                <c:pt idx="1">
                  <c:v>0.27111111111111114</c:v>
                </c:pt>
                <c:pt idx="2">
                  <c:v>0.29605263157894735</c:v>
                </c:pt>
                <c:pt idx="3">
                  <c:v>0.38028169014084506</c:v>
                </c:pt>
                <c:pt idx="4">
                  <c:v>0.43243243243243246</c:v>
                </c:pt>
                <c:pt idx="5">
                  <c:v>0.41666666666666669</c:v>
                </c:pt>
                <c:pt idx="6">
                  <c:v>0.35294117647058826</c:v>
                </c:pt>
                <c:pt idx="7">
                  <c:v>0.58333333333333337</c:v>
                </c:pt>
              </c:numCache>
            </c:numRef>
          </c:val>
          <c:smooth val="1"/>
        </c:ser>
        <c:dLbls>
          <c:showLegendKey val="0"/>
          <c:showVal val="0"/>
          <c:showCatName val="0"/>
          <c:showSerName val="0"/>
          <c:showPercent val="0"/>
          <c:showBubbleSize val="0"/>
        </c:dLbls>
        <c:marker val="1"/>
        <c:smooth val="0"/>
        <c:axId val="284170240"/>
        <c:axId val="285708800"/>
      </c:lineChart>
      <c:catAx>
        <c:axId val="284170240"/>
        <c:scaling>
          <c:orientation val="minMax"/>
        </c:scaling>
        <c:delete val="0"/>
        <c:axPos val="b"/>
        <c:numFmt formatCode="General" sourceLinked="1"/>
        <c:majorTickMark val="out"/>
        <c:minorTickMark val="none"/>
        <c:tickLblPos val="nextTo"/>
        <c:txPr>
          <a:bodyPr rot="0" vert="horz"/>
          <a:lstStyle/>
          <a:p>
            <a:pPr>
              <a:defRPr sz="1100" b="1"/>
            </a:pPr>
            <a:endParaRPr lang="en-US"/>
          </a:p>
        </c:txPr>
        <c:crossAx val="285708800"/>
        <c:crosses val="autoZero"/>
        <c:auto val="1"/>
        <c:lblAlgn val="ctr"/>
        <c:lblOffset val="100"/>
        <c:tickLblSkip val="1"/>
        <c:noMultiLvlLbl val="0"/>
      </c:catAx>
      <c:valAx>
        <c:axId val="285708800"/>
        <c:scaling>
          <c:orientation val="minMax"/>
          <c:max val="0.70000000000000007"/>
          <c:min val="0.2"/>
        </c:scaling>
        <c:delete val="0"/>
        <c:axPos val="l"/>
        <c:numFmt formatCode="0.0%" sourceLinked="1"/>
        <c:majorTickMark val="none"/>
        <c:minorTickMark val="none"/>
        <c:tickLblPos val="none"/>
        <c:spPr>
          <a:ln>
            <a:noFill/>
          </a:ln>
        </c:spPr>
        <c:crossAx val="284170240"/>
        <c:crosses val="autoZero"/>
        <c:crossBetween val="between"/>
        <c:majorUnit val="0.1"/>
      </c:valAx>
    </c:plotArea>
    <c:legend>
      <c:legendPos val="t"/>
      <c:legendEntry>
        <c:idx val="0"/>
        <c:txPr>
          <a:bodyPr/>
          <a:lstStyle/>
          <a:p>
            <a:pPr>
              <a:defRPr sz="1050" b="1">
                <a:solidFill>
                  <a:schemeClr val="tx2"/>
                </a:solidFill>
              </a:defRPr>
            </a:pPr>
            <a:endParaRPr lang="en-US"/>
          </a:p>
        </c:txPr>
      </c:legendEntry>
      <c:legendEntry>
        <c:idx val="1"/>
        <c:txPr>
          <a:bodyPr/>
          <a:lstStyle/>
          <a:p>
            <a:pPr>
              <a:defRPr sz="1050" b="1">
                <a:solidFill>
                  <a:srgbClr val="C00000"/>
                </a:solidFill>
              </a:defRPr>
            </a:pPr>
            <a:endParaRPr lang="en-US"/>
          </a:p>
        </c:txPr>
      </c:legendEntry>
      <c:layout>
        <c:manualLayout>
          <c:xMode val="edge"/>
          <c:yMode val="edge"/>
          <c:x val="3.1344688444572152E-2"/>
          <c:y val="2.9728459868442372E-2"/>
          <c:w val="0.45352560756994714"/>
          <c:h val="0.18943083503450958"/>
        </c:manualLayout>
      </c:layout>
      <c:overlay val="0"/>
      <c:txPr>
        <a:bodyPr/>
        <a:lstStyle/>
        <a:p>
          <a:pPr>
            <a:defRPr sz="1050"/>
          </a:pPr>
          <a:endParaRPr lang="en-US"/>
        </a:p>
      </c:txPr>
    </c:legend>
    <c:plotVisOnly val="1"/>
    <c:dispBlanksAs val="gap"/>
    <c:showDLblsOverMax val="0"/>
  </c:chart>
  <c:spPr>
    <a:ln>
      <a:noFill/>
    </a:ln>
  </c:spPr>
  <c:txPr>
    <a:bodyPr/>
    <a:lstStyle/>
    <a:p>
      <a:pPr>
        <a:defRPr sz="1200"/>
      </a:pPr>
      <a:endParaRPr lang="en-US"/>
    </a:p>
  </c:txPr>
  <c:externalData r:id="rId1">
    <c:autoUpdate val="0"/>
  </c:externalData>
  <c:userShapes r:id="rId2"/>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3.0917026598921506E-2"/>
          <c:y val="2.9384395132426633E-2"/>
          <c:w val="0.68414771525622708"/>
          <c:h val="0.84912708389488267"/>
        </c:manualLayout>
      </c:layout>
      <c:barChart>
        <c:barDir val="col"/>
        <c:grouping val="stacked"/>
        <c:varyColors val="0"/>
        <c:ser>
          <c:idx val="1"/>
          <c:order val="0"/>
          <c:tx>
            <c:strRef>
              <c:f>Summary!$B$17</c:f>
              <c:strCache>
                <c:ptCount val="1"/>
                <c:pt idx="0">
                  <c:v>Patient UIs (#)</c:v>
                </c:pt>
              </c:strCache>
            </c:strRef>
          </c:tx>
          <c:spPr>
            <a:solidFill>
              <a:schemeClr val="accent2"/>
            </a:solidFill>
          </c:spPr>
          <c:invertIfNegative val="0"/>
          <c:dLbls>
            <c:txPr>
              <a:bodyPr/>
              <a:lstStyle/>
              <a:p>
                <a:pPr>
                  <a:defRPr b="1">
                    <a:solidFill>
                      <a:schemeClr val="bg1"/>
                    </a:solidFill>
                  </a:defRPr>
                </a:pPr>
                <a:endParaRPr lang="en-US"/>
              </a:p>
            </c:txPr>
            <c:dLblPos val="ctr"/>
            <c:showLegendKey val="0"/>
            <c:showVal val="1"/>
            <c:showCatName val="0"/>
            <c:showSerName val="0"/>
            <c:showPercent val="0"/>
            <c:showBubbleSize val="0"/>
            <c:showLeaderLines val="0"/>
          </c:dLbls>
          <c:cat>
            <c:strRef>
              <c:f>Summary!$BH$5:$BK$5</c:f>
              <c:strCache>
                <c:ptCount val="4"/>
                <c:pt idx="0">
                  <c:v>FY11</c:v>
                </c:pt>
                <c:pt idx="1">
                  <c:v>FY12</c:v>
                </c:pt>
                <c:pt idx="2">
                  <c:v>FY13</c:v>
                </c:pt>
                <c:pt idx="3">
                  <c:v>FY14</c:v>
                </c:pt>
              </c:strCache>
            </c:strRef>
          </c:cat>
          <c:val>
            <c:numRef>
              <c:f>Summary!$BH$17:$BK$17</c:f>
              <c:numCache>
                <c:formatCode>0</c:formatCode>
                <c:ptCount val="4"/>
                <c:pt idx="0">
                  <c:v>154.58333333333334</c:v>
                </c:pt>
                <c:pt idx="1">
                  <c:v>144</c:v>
                </c:pt>
                <c:pt idx="2">
                  <c:v>138.75</c:v>
                </c:pt>
                <c:pt idx="3">
                  <c:v>181.75</c:v>
                </c:pt>
              </c:numCache>
            </c:numRef>
          </c:val>
        </c:ser>
        <c:ser>
          <c:idx val="0"/>
          <c:order val="1"/>
          <c:tx>
            <c:strRef>
              <c:f>Summary!$B$18</c:f>
              <c:strCache>
                <c:ptCount val="1"/>
                <c:pt idx="0">
                  <c:v>Non-Patient UIs (#)</c:v>
                </c:pt>
              </c:strCache>
            </c:strRef>
          </c:tx>
          <c:spPr>
            <a:solidFill>
              <a:schemeClr val="accent3"/>
            </a:solidFill>
          </c:spPr>
          <c:invertIfNegative val="0"/>
          <c:dLbls>
            <c:txPr>
              <a:bodyPr/>
              <a:lstStyle/>
              <a:p>
                <a:pPr>
                  <a:defRPr b="1">
                    <a:solidFill>
                      <a:sysClr val="windowText" lastClr="000000"/>
                    </a:solidFill>
                  </a:defRPr>
                </a:pPr>
                <a:endParaRPr lang="en-US"/>
              </a:p>
            </c:txPr>
            <c:dLblPos val="ctr"/>
            <c:showLegendKey val="0"/>
            <c:showVal val="1"/>
            <c:showCatName val="0"/>
            <c:showSerName val="0"/>
            <c:showPercent val="0"/>
            <c:showBubbleSize val="0"/>
            <c:showLeaderLines val="0"/>
          </c:dLbls>
          <c:cat>
            <c:strRef>
              <c:f>Summary!$BH$5:$BK$5</c:f>
              <c:strCache>
                <c:ptCount val="4"/>
                <c:pt idx="0">
                  <c:v>FY11</c:v>
                </c:pt>
                <c:pt idx="1">
                  <c:v>FY12</c:v>
                </c:pt>
                <c:pt idx="2">
                  <c:v>FY13</c:v>
                </c:pt>
                <c:pt idx="3">
                  <c:v>FY14</c:v>
                </c:pt>
              </c:strCache>
            </c:strRef>
          </c:cat>
          <c:val>
            <c:numRef>
              <c:f>Summary!$BH$18:$BK$18</c:f>
              <c:numCache>
                <c:formatCode>0</c:formatCode>
                <c:ptCount val="4"/>
                <c:pt idx="0">
                  <c:v>15.416666666666666</c:v>
                </c:pt>
                <c:pt idx="1">
                  <c:v>11.583333333333334</c:v>
                </c:pt>
                <c:pt idx="2">
                  <c:v>12.083333333333334</c:v>
                </c:pt>
                <c:pt idx="3">
                  <c:v>11.583333333333334</c:v>
                </c:pt>
              </c:numCache>
            </c:numRef>
          </c:val>
        </c:ser>
        <c:dLbls>
          <c:showLegendKey val="0"/>
          <c:showVal val="0"/>
          <c:showCatName val="0"/>
          <c:showSerName val="0"/>
          <c:showPercent val="0"/>
          <c:showBubbleSize val="0"/>
        </c:dLbls>
        <c:gapWidth val="73"/>
        <c:overlap val="100"/>
        <c:axId val="284414464"/>
        <c:axId val="285710528"/>
      </c:barChart>
      <c:barChart>
        <c:barDir val="col"/>
        <c:grouping val="stacked"/>
        <c:varyColors val="0"/>
        <c:ser>
          <c:idx val="2"/>
          <c:order val="2"/>
          <c:tx>
            <c:strRef>
              <c:f>Summary!$B$16</c:f>
              <c:strCache>
                <c:ptCount val="1"/>
                <c:pt idx="0">
                  <c:v>Total UIs (#)</c:v>
                </c:pt>
              </c:strCache>
            </c:strRef>
          </c:tx>
          <c:spPr>
            <a:noFill/>
            <a:ln w="25400">
              <a:solidFill>
                <a:schemeClr val="accent2">
                  <a:lumMod val="50000"/>
                </a:schemeClr>
              </a:solidFill>
            </a:ln>
          </c:spPr>
          <c:invertIfNegative val="0"/>
          <c:dLbls>
            <c:dLbl>
              <c:idx val="0"/>
              <c:layout>
                <c:manualLayout>
                  <c:x val="-4.0908319302638777E-3"/>
                  <c:y val="-0.4331245511720247"/>
                </c:manualLayout>
              </c:layout>
              <c:dLblPos val="ctr"/>
              <c:showLegendKey val="0"/>
              <c:showVal val="1"/>
              <c:showCatName val="0"/>
              <c:showSerName val="0"/>
              <c:showPercent val="0"/>
              <c:showBubbleSize val="0"/>
            </c:dLbl>
            <c:dLbl>
              <c:idx val="1"/>
              <c:layout>
                <c:manualLayout>
                  <c:x val="-4.0908319302638777E-3"/>
                  <c:y val="-0.39527390180046434"/>
                </c:manualLayout>
              </c:layout>
              <c:dLblPos val="ctr"/>
              <c:showLegendKey val="0"/>
              <c:showVal val="1"/>
              <c:showCatName val="0"/>
              <c:showSerName val="0"/>
              <c:showPercent val="0"/>
              <c:showBubbleSize val="0"/>
            </c:dLbl>
            <c:dLbl>
              <c:idx val="2"/>
              <c:layout>
                <c:manualLayout>
                  <c:x val="0"/>
                  <c:y val="-0.41615845116912642"/>
                </c:manualLayout>
              </c:layout>
              <c:dLblPos val="ctr"/>
              <c:showLegendKey val="0"/>
              <c:showVal val="1"/>
              <c:showCatName val="0"/>
              <c:showSerName val="0"/>
              <c:showPercent val="0"/>
              <c:showBubbleSize val="0"/>
            </c:dLbl>
            <c:dLbl>
              <c:idx val="3"/>
              <c:layout>
                <c:manualLayout>
                  <c:x val="-7.988290996750196E-17"/>
                  <c:y val="-0.43045158799145466"/>
                </c:manualLayout>
              </c:layout>
              <c:dLblPos val="ctr"/>
              <c:showLegendKey val="0"/>
              <c:showVal val="1"/>
              <c:showCatName val="0"/>
              <c:showSerName val="0"/>
              <c:showPercent val="0"/>
              <c:showBubbleSize val="0"/>
            </c:dLbl>
            <c:txPr>
              <a:bodyPr/>
              <a:lstStyle/>
              <a:p>
                <a:pPr>
                  <a:defRPr b="1" u="sng">
                    <a:solidFill>
                      <a:schemeClr val="accent2">
                        <a:lumMod val="50000"/>
                      </a:schemeClr>
                    </a:solidFill>
                  </a:defRPr>
                </a:pPr>
                <a:endParaRPr lang="en-US"/>
              </a:p>
            </c:txPr>
            <c:dLblPos val="inBase"/>
            <c:showLegendKey val="0"/>
            <c:showVal val="1"/>
            <c:showCatName val="0"/>
            <c:showSerName val="0"/>
            <c:showPercent val="0"/>
            <c:showBubbleSize val="0"/>
            <c:showLeaderLines val="0"/>
          </c:dLbls>
          <c:cat>
            <c:strRef>
              <c:f>Summary!$BH$5:$BK$5</c:f>
              <c:strCache>
                <c:ptCount val="4"/>
                <c:pt idx="0">
                  <c:v>FY11</c:v>
                </c:pt>
                <c:pt idx="1">
                  <c:v>FY12</c:v>
                </c:pt>
                <c:pt idx="2">
                  <c:v>FY13</c:v>
                </c:pt>
                <c:pt idx="3">
                  <c:v>FY14</c:v>
                </c:pt>
              </c:strCache>
            </c:strRef>
          </c:cat>
          <c:val>
            <c:numRef>
              <c:f>Summary!$BH$16:$BK$16</c:f>
              <c:numCache>
                <c:formatCode>0</c:formatCode>
                <c:ptCount val="4"/>
                <c:pt idx="0">
                  <c:v>169.75</c:v>
                </c:pt>
                <c:pt idx="1">
                  <c:v>155.58333333333334</c:v>
                </c:pt>
                <c:pt idx="2">
                  <c:v>150.66666666666666</c:v>
                </c:pt>
                <c:pt idx="3">
                  <c:v>193.41666666666666</c:v>
                </c:pt>
              </c:numCache>
            </c:numRef>
          </c:val>
        </c:ser>
        <c:dLbls>
          <c:showLegendKey val="0"/>
          <c:showVal val="0"/>
          <c:showCatName val="0"/>
          <c:showSerName val="0"/>
          <c:showPercent val="0"/>
          <c:showBubbleSize val="0"/>
        </c:dLbls>
        <c:gapWidth val="50"/>
        <c:overlap val="100"/>
        <c:axId val="284414976"/>
        <c:axId val="285711104"/>
      </c:barChart>
      <c:catAx>
        <c:axId val="284414464"/>
        <c:scaling>
          <c:orientation val="minMax"/>
        </c:scaling>
        <c:delete val="0"/>
        <c:axPos val="b"/>
        <c:numFmt formatCode="General" sourceLinked="1"/>
        <c:majorTickMark val="out"/>
        <c:minorTickMark val="none"/>
        <c:tickLblPos val="nextTo"/>
        <c:crossAx val="285710528"/>
        <c:crosses val="autoZero"/>
        <c:auto val="1"/>
        <c:lblAlgn val="ctr"/>
        <c:lblOffset val="100"/>
        <c:noMultiLvlLbl val="0"/>
      </c:catAx>
      <c:valAx>
        <c:axId val="285710528"/>
        <c:scaling>
          <c:orientation val="minMax"/>
          <c:max val="225"/>
        </c:scaling>
        <c:delete val="1"/>
        <c:axPos val="l"/>
        <c:numFmt formatCode="0" sourceLinked="1"/>
        <c:majorTickMark val="out"/>
        <c:minorTickMark val="none"/>
        <c:tickLblPos val="nextTo"/>
        <c:crossAx val="284414464"/>
        <c:crosses val="autoZero"/>
        <c:crossBetween val="between"/>
        <c:majorUnit val="25"/>
      </c:valAx>
      <c:valAx>
        <c:axId val="285711104"/>
        <c:scaling>
          <c:orientation val="minMax"/>
        </c:scaling>
        <c:delete val="1"/>
        <c:axPos val="r"/>
        <c:numFmt formatCode="0" sourceLinked="1"/>
        <c:majorTickMark val="out"/>
        <c:minorTickMark val="none"/>
        <c:tickLblPos val="nextTo"/>
        <c:crossAx val="284414976"/>
        <c:crosses val="max"/>
        <c:crossBetween val="between"/>
      </c:valAx>
      <c:catAx>
        <c:axId val="284414976"/>
        <c:scaling>
          <c:orientation val="minMax"/>
        </c:scaling>
        <c:delete val="1"/>
        <c:axPos val="b"/>
        <c:numFmt formatCode="General" sourceLinked="1"/>
        <c:majorTickMark val="out"/>
        <c:minorTickMark val="none"/>
        <c:tickLblPos val="nextTo"/>
        <c:crossAx val="285711104"/>
        <c:crosses val="autoZero"/>
        <c:auto val="1"/>
        <c:lblAlgn val="ctr"/>
        <c:lblOffset val="100"/>
        <c:noMultiLvlLbl val="0"/>
      </c:catAx>
    </c:plotArea>
    <c:legend>
      <c:legendPos val="r"/>
      <c:legendEntry>
        <c:idx val="0"/>
        <c:txPr>
          <a:bodyPr/>
          <a:lstStyle/>
          <a:p>
            <a:pPr>
              <a:defRPr b="1">
                <a:solidFill>
                  <a:schemeClr val="accent3">
                    <a:lumMod val="50000"/>
                  </a:schemeClr>
                </a:solidFill>
              </a:defRPr>
            </a:pPr>
            <a:endParaRPr lang="en-US"/>
          </a:p>
        </c:txPr>
      </c:legendEntry>
      <c:legendEntry>
        <c:idx val="1"/>
        <c:txPr>
          <a:bodyPr/>
          <a:lstStyle/>
          <a:p>
            <a:pPr>
              <a:defRPr b="1">
                <a:solidFill>
                  <a:srgbClr val="C00000"/>
                </a:solidFill>
              </a:defRPr>
            </a:pPr>
            <a:endParaRPr lang="en-US"/>
          </a:p>
        </c:txPr>
      </c:legendEntry>
      <c:legendEntry>
        <c:idx val="2"/>
        <c:txPr>
          <a:bodyPr/>
          <a:lstStyle/>
          <a:p>
            <a:pPr>
              <a:defRPr b="1" u="sng">
                <a:solidFill>
                  <a:schemeClr val="accent2">
                    <a:lumMod val="50000"/>
                  </a:schemeClr>
                </a:solidFill>
              </a:defRPr>
            </a:pPr>
            <a:endParaRPr lang="en-US"/>
          </a:p>
        </c:txPr>
      </c:legendEntry>
      <c:layout>
        <c:manualLayout>
          <c:xMode val="edge"/>
          <c:yMode val="edge"/>
          <c:x val="0.69975267803425723"/>
          <c:y val="0.10250312999553787"/>
          <c:w val="0.26487389247426568"/>
          <c:h val="0.87381504217371153"/>
        </c:manualLayout>
      </c:layout>
      <c:overlay val="0"/>
    </c:legend>
    <c:plotVisOnly val="1"/>
    <c:dispBlanksAs val="gap"/>
    <c:showDLblsOverMax val="0"/>
  </c:chart>
  <c:spPr>
    <a:ln>
      <a:noFill/>
    </a:ln>
  </c:spPr>
  <c:externalData r:id="rId1">
    <c:autoUpdate val="0"/>
  </c:externalData>
  <c:userShapes r:id="rId2"/>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1.4739503171168759E-2"/>
          <c:y val="0"/>
          <c:w val="0.96545723569256392"/>
          <c:h val="0.87410988915641741"/>
        </c:manualLayout>
      </c:layout>
      <c:barChart>
        <c:barDir val="col"/>
        <c:grouping val="stacked"/>
        <c:varyColors val="0"/>
        <c:ser>
          <c:idx val="0"/>
          <c:order val="0"/>
          <c:tx>
            <c:v>UIs w/ Patient Involved</c:v>
          </c:tx>
          <c:spPr>
            <a:solidFill>
              <a:schemeClr val="accent2"/>
            </a:solidFill>
          </c:spPr>
          <c:invertIfNegative val="0"/>
          <c:dLbls>
            <c:txPr>
              <a:bodyPr/>
              <a:lstStyle/>
              <a:p>
                <a:pPr>
                  <a:defRPr b="1">
                    <a:solidFill>
                      <a:schemeClr val="bg1"/>
                    </a:solidFill>
                  </a:defRPr>
                </a:pPr>
                <a:endParaRPr lang="en-US"/>
              </a:p>
            </c:txPr>
            <c:showLegendKey val="0"/>
            <c:showVal val="1"/>
            <c:showCatName val="0"/>
            <c:showSerName val="0"/>
            <c:showPercent val="0"/>
            <c:showBubbleSize val="0"/>
            <c:showLeaderLines val="0"/>
          </c:dLbls>
          <c:cat>
            <c:numRef>
              <c:f>Summary!$AM$5:$AX$5</c:f>
              <c:numCache>
                <c:formatCode>mmm\-yy</c:formatCode>
                <c:ptCount val="12"/>
                <c:pt idx="0">
                  <c:v>41548</c:v>
                </c:pt>
                <c:pt idx="1">
                  <c:v>41579</c:v>
                </c:pt>
                <c:pt idx="2">
                  <c:v>41609</c:v>
                </c:pt>
                <c:pt idx="3">
                  <c:v>41640</c:v>
                </c:pt>
                <c:pt idx="4">
                  <c:v>41671</c:v>
                </c:pt>
                <c:pt idx="5">
                  <c:v>41699</c:v>
                </c:pt>
                <c:pt idx="6">
                  <c:v>41730</c:v>
                </c:pt>
                <c:pt idx="7">
                  <c:v>41760</c:v>
                </c:pt>
                <c:pt idx="8">
                  <c:v>41791</c:v>
                </c:pt>
                <c:pt idx="9">
                  <c:v>41821</c:v>
                </c:pt>
                <c:pt idx="10">
                  <c:v>41852</c:v>
                </c:pt>
                <c:pt idx="11">
                  <c:v>41883</c:v>
                </c:pt>
              </c:numCache>
            </c:numRef>
          </c:cat>
          <c:val>
            <c:numRef>
              <c:f>Summary!$AM$17:$AX$17</c:f>
              <c:numCache>
                <c:formatCode>0</c:formatCode>
                <c:ptCount val="12"/>
                <c:pt idx="0">
                  <c:v>160</c:v>
                </c:pt>
                <c:pt idx="1">
                  <c:v>166</c:v>
                </c:pt>
                <c:pt idx="2">
                  <c:v>172</c:v>
                </c:pt>
                <c:pt idx="3">
                  <c:v>200</c:v>
                </c:pt>
                <c:pt idx="4">
                  <c:v>154</c:v>
                </c:pt>
                <c:pt idx="5">
                  <c:v>186</c:v>
                </c:pt>
                <c:pt idx="6">
                  <c:v>202</c:v>
                </c:pt>
                <c:pt idx="7">
                  <c:v>183</c:v>
                </c:pt>
                <c:pt idx="8">
                  <c:v>164</c:v>
                </c:pt>
                <c:pt idx="9">
                  <c:v>186</c:v>
                </c:pt>
                <c:pt idx="10">
                  <c:v>230</c:v>
                </c:pt>
                <c:pt idx="11">
                  <c:v>178</c:v>
                </c:pt>
              </c:numCache>
            </c:numRef>
          </c:val>
        </c:ser>
        <c:ser>
          <c:idx val="1"/>
          <c:order val="1"/>
          <c:tx>
            <c:v>UIs w/ No Patient Involved</c:v>
          </c:tx>
          <c:spPr>
            <a:solidFill>
              <a:schemeClr val="accent3"/>
            </a:solidFill>
          </c:spPr>
          <c:invertIfNegative val="0"/>
          <c:dLbls>
            <c:txPr>
              <a:bodyPr/>
              <a:lstStyle/>
              <a:p>
                <a:pPr>
                  <a:defRPr b="1"/>
                </a:pPr>
                <a:endParaRPr lang="en-US"/>
              </a:p>
            </c:txPr>
            <c:showLegendKey val="0"/>
            <c:showVal val="1"/>
            <c:showCatName val="0"/>
            <c:showSerName val="0"/>
            <c:showPercent val="0"/>
            <c:showBubbleSize val="0"/>
            <c:showLeaderLines val="0"/>
          </c:dLbls>
          <c:cat>
            <c:numRef>
              <c:f>Summary!$AM$5:$AX$5</c:f>
              <c:numCache>
                <c:formatCode>mmm\-yy</c:formatCode>
                <c:ptCount val="12"/>
                <c:pt idx="0">
                  <c:v>41548</c:v>
                </c:pt>
                <c:pt idx="1">
                  <c:v>41579</c:v>
                </c:pt>
                <c:pt idx="2">
                  <c:v>41609</c:v>
                </c:pt>
                <c:pt idx="3">
                  <c:v>41640</c:v>
                </c:pt>
                <c:pt idx="4">
                  <c:v>41671</c:v>
                </c:pt>
                <c:pt idx="5">
                  <c:v>41699</c:v>
                </c:pt>
                <c:pt idx="6">
                  <c:v>41730</c:v>
                </c:pt>
                <c:pt idx="7">
                  <c:v>41760</c:v>
                </c:pt>
                <c:pt idx="8">
                  <c:v>41791</c:v>
                </c:pt>
                <c:pt idx="9">
                  <c:v>41821</c:v>
                </c:pt>
                <c:pt idx="10">
                  <c:v>41852</c:v>
                </c:pt>
                <c:pt idx="11">
                  <c:v>41883</c:v>
                </c:pt>
              </c:numCache>
            </c:numRef>
          </c:cat>
          <c:val>
            <c:numRef>
              <c:f>Summary!$AM$18:$AX$18</c:f>
              <c:numCache>
                <c:formatCode>0</c:formatCode>
                <c:ptCount val="12"/>
                <c:pt idx="0">
                  <c:v>12</c:v>
                </c:pt>
                <c:pt idx="1">
                  <c:v>12</c:v>
                </c:pt>
                <c:pt idx="2">
                  <c:v>7</c:v>
                </c:pt>
                <c:pt idx="3">
                  <c:v>12</c:v>
                </c:pt>
                <c:pt idx="4">
                  <c:v>15</c:v>
                </c:pt>
                <c:pt idx="5">
                  <c:v>6</c:v>
                </c:pt>
                <c:pt idx="6">
                  <c:v>11</c:v>
                </c:pt>
                <c:pt idx="7">
                  <c:v>10</c:v>
                </c:pt>
                <c:pt idx="8">
                  <c:v>10</c:v>
                </c:pt>
                <c:pt idx="9">
                  <c:v>13</c:v>
                </c:pt>
                <c:pt idx="10">
                  <c:v>19</c:v>
                </c:pt>
                <c:pt idx="11">
                  <c:v>12</c:v>
                </c:pt>
              </c:numCache>
            </c:numRef>
          </c:val>
        </c:ser>
        <c:dLbls>
          <c:showLegendKey val="0"/>
          <c:showVal val="0"/>
          <c:showCatName val="0"/>
          <c:showSerName val="0"/>
          <c:showPercent val="0"/>
          <c:showBubbleSize val="0"/>
        </c:dLbls>
        <c:gapWidth val="50"/>
        <c:overlap val="100"/>
        <c:axId val="284416512"/>
        <c:axId val="286155328"/>
      </c:barChart>
      <c:barChart>
        <c:barDir val="col"/>
        <c:grouping val="stacked"/>
        <c:varyColors val="0"/>
        <c:ser>
          <c:idx val="3"/>
          <c:order val="2"/>
          <c:tx>
            <c:v>Total UIs</c:v>
          </c:tx>
          <c:spPr>
            <a:noFill/>
            <a:ln w="25400">
              <a:solidFill>
                <a:schemeClr val="tx1"/>
              </a:solidFill>
            </a:ln>
          </c:spPr>
          <c:invertIfNegative val="0"/>
          <c:dLbls>
            <c:dLbl>
              <c:idx val="0"/>
              <c:layout>
                <c:manualLayout>
                  <c:x val="0"/>
                  <c:y val="-0.11827956989247285"/>
                </c:manualLayout>
              </c:layout>
              <c:dLblPos val="inEnd"/>
              <c:showLegendKey val="0"/>
              <c:showVal val="1"/>
              <c:showCatName val="0"/>
              <c:showSerName val="0"/>
              <c:showPercent val="0"/>
              <c:showBubbleSize val="0"/>
            </c:dLbl>
            <c:dLbl>
              <c:idx val="1"/>
              <c:layout>
                <c:manualLayout>
                  <c:x val="1.8885741265344969E-3"/>
                  <c:y val="-0.11290322580645162"/>
                </c:manualLayout>
              </c:layout>
              <c:dLblPos val="inEnd"/>
              <c:showLegendKey val="0"/>
              <c:showVal val="1"/>
              <c:showCatName val="0"/>
              <c:showSerName val="0"/>
              <c:showPercent val="0"/>
              <c:showBubbleSize val="0"/>
            </c:dLbl>
            <c:dLbl>
              <c:idx val="2"/>
              <c:layout>
                <c:manualLayout>
                  <c:x val="0"/>
                  <c:y val="-0.11290322580645169"/>
                </c:manualLayout>
              </c:layout>
              <c:dLblPos val="inEnd"/>
              <c:showLegendKey val="0"/>
              <c:showVal val="1"/>
              <c:showCatName val="0"/>
              <c:showSerName val="0"/>
              <c:showPercent val="0"/>
              <c:showBubbleSize val="0"/>
            </c:dLbl>
            <c:dLbl>
              <c:idx val="3"/>
              <c:layout>
                <c:manualLayout>
                  <c:x val="0"/>
                  <c:y val="-0.11290322580645162"/>
                </c:manualLayout>
              </c:layout>
              <c:dLblPos val="inEnd"/>
              <c:showLegendKey val="0"/>
              <c:showVal val="1"/>
              <c:showCatName val="0"/>
              <c:showSerName val="0"/>
              <c:showPercent val="0"/>
              <c:showBubbleSize val="0"/>
            </c:dLbl>
            <c:dLbl>
              <c:idx val="4"/>
              <c:layout>
                <c:manualLayout>
                  <c:x val="0"/>
                  <c:y val="-0.11290322580645162"/>
                </c:manualLayout>
              </c:layout>
              <c:dLblPos val="inEnd"/>
              <c:showLegendKey val="0"/>
              <c:showVal val="1"/>
              <c:showCatName val="0"/>
              <c:showSerName val="0"/>
              <c:showPercent val="0"/>
              <c:showBubbleSize val="0"/>
            </c:dLbl>
            <c:dLbl>
              <c:idx val="5"/>
              <c:layout>
                <c:manualLayout>
                  <c:x val="0"/>
                  <c:y val="-0.11290322580645162"/>
                </c:manualLayout>
              </c:layout>
              <c:dLblPos val="inEnd"/>
              <c:showLegendKey val="0"/>
              <c:showVal val="1"/>
              <c:showCatName val="0"/>
              <c:showSerName val="0"/>
              <c:showPercent val="0"/>
              <c:showBubbleSize val="0"/>
            </c:dLbl>
            <c:dLbl>
              <c:idx val="6"/>
              <c:layout>
                <c:manualLayout>
                  <c:x val="0"/>
                  <c:y val="-0.10752688172043252"/>
                </c:manualLayout>
              </c:layout>
              <c:dLblPos val="inEnd"/>
              <c:showLegendKey val="0"/>
              <c:showVal val="1"/>
              <c:showCatName val="0"/>
              <c:showSerName val="0"/>
              <c:showPercent val="0"/>
              <c:showBubbleSize val="0"/>
            </c:dLbl>
            <c:dLbl>
              <c:idx val="7"/>
              <c:layout>
                <c:manualLayout>
                  <c:x val="2.0224491859641286E-3"/>
                  <c:y val="-0.33516481446994251"/>
                </c:manualLayout>
              </c:layout>
              <c:dLblPos val="ctr"/>
              <c:showLegendKey val="0"/>
              <c:showVal val="1"/>
              <c:showCatName val="0"/>
              <c:showSerName val="0"/>
              <c:showPercent val="0"/>
              <c:showBubbleSize val="0"/>
            </c:dLbl>
            <c:dLbl>
              <c:idx val="8"/>
              <c:layout>
                <c:manualLayout>
                  <c:x val="0"/>
                  <c:y val="-0.11290322580645169"/>
                </c:manualLayout>
              </c:layout>
              <c:dLblPos val="inEnd"/>
              <c:showLegendKey val="0"/>
              <c:showVal val="1"/>
              <c:showCatName val="0"/>
              <c:showSerName val="0"/>
              <c:showPercent val="0"/>
              <c:showBubbleSize val="0"/>
            </c:dLbl>
            <c:dLbl>
              <c:idx val="9"/>
              <c:layout>
                <c:manualLayout>
                  <c:x val="0"/>
                  <c:y val="-0.10752688172043247"/>
                </c:manualLayout>
              </c:layout>
              <c:dLblPos val="inEnd"/>
              <c:showLegendKey val="0"/>
              <c:showVal val="1"/>
              <c:showCatName val="0"/>
              <c:showSerName val="0"/>
              <c:showPercent val="0"/>
              <c:showBubbleSize val="0"/>
            </c:dLbl>
            <c:dLbl>
              <c:idx val="10"/>
              <c:layout>
                <c:manualLayout>
                  <c:x val="0"/>
                  <c:y val="-0.11290322580645162"/>
                </c:manualLayout>
              </c:layout>
              <c:dLblPos val="inEnd"/>
              <c:showLegendKey val="0"/>
              <c:showVal val="1"/>
              <c:showCatName val="0"/>
              <c:showSerName val="0"/>
              <c:showPercent val="0"/>
              <c:showBubbleSize val="0"/>
            </c:dLbl>
            <c:dLbl>
              <c:idx val="11"/>
              <c:layout>
                <c:manualLayout>
                  <c:x val="0"/>
                  <c:y val="-0.11290322580645169"/>
                </c:manualLayout>
              </c:layout>
              <c:dLblPos val="inEnd"/>
              <c:showLegendKey val="0"/>
              <c:showVal val="1"/>
              <c:showCatName val="0"/>
              <c:showSerName val="0"/>
              <c:showPercent val="0"/>
              <c:showBubbleSize val="0"/>
            </c:dLbl>
            <c:txPr>
              <a:bodyPr/>
              <a:lstStyle/>
              <a:p>
                <a:pPr>
                  <a:defRPr b="1" u="sng"/>
                </a:pPr>
                <a:endParaRPr lang="en-US"/>
              </a:p>
            </c:txPr>
            <c:dLblPos val="inEnd"/>
            <c:showLegendKey val="0"/>
            <c:showVal val="1"/>
            <c:showCatName val="0"/>
            <c:showSerName val="0"/>
            <c:showPercent val="0"/>
            <c:showBubbleSize val="0"/>
            <c:showLeaderLines val="0"/>
          </c:dLbls>
          <c:cat>
            <c:numRef>
              <c:f>Summary!$AM$5:$AX$5</c:f>
              <c:numCache>
                <c:formatCode>mmm\-yy</c:formatCode>
                <c:ptCount val="12"/>
                <c:pt idx="0">
                  <c:v>41548</c:v>
                </c:pt>
                <c:pt idx="1">
                  <c:v>41579</c:v>
                </c:pt>
                <c:pt idx="2">
                  <c:v>41609</c:v>
                </c:pt>
                <c:pt idx="3">
                  <c:v>41640</c:v>
                </c:pt>
                <c:pt idx="4">
                  <c:v>41671</c:v>
                </c:pt>
                <c:pt idx="5">
                  <c:v>41699</c:v>
                </c:pt>
                <c:pt idx="6">
                  <c:v>41730</c:v>
                </c:pt>
                <c:pt idx="7">
                  <c:v>41760</c:v>
                </c:pt>
                <c:pt idx="8">
                  <c:v>41791</c:v>
                </c:pt>
                <c:pt idx="9">
                  <c:v>41821</c:v>
                </c:pt>
                <c:pt idx="10">
                  <c:v>41852</c:v>
                </c:pt>
                <c:pt idx="11">
                  <c:v>41883</c:v>
                </c:pt>
              </c:numCache>
            </c:numRef>
          </c:cat>
          <c:val>
            <c:numRef>
              <c:f>Summary!$AM$16:$AX$16</c:f>
              <c:numCache>
                <c:formatCode>0</c:formatCode>
                <c:ptCount val="12"/>
                <c:pt idx="0">
                  <c:v>172</c:v>
                </c:pt>
                <c:pt idx="1">
                  <c:v>178</c:v>
                </c:pt>
                <c:pt idx="2">
                  <c:v>179</c:v>
                </c:pt>
                <c:pt idx="3">
                  <c:v>213</c:v>
                </c:pt>
                <c:pt idx="4">
                  <c:v>169</c:v>
                </c:pt>
                <c:pt idx="5">
                  <c:v>192</c:v>
                </c:pt>
                <c:pt idx="6">
                  <c:v>213</c:v>
                </c:pt>
                <c:pt idx="7">
                  <c:v>193</c:v>
                </c:pt>
                <c:pt idx="8">
                  <c:v>174</c:v>
                </c:pt>
                <c:pt idx="9">
                  <c:v>199</c:v>
                </c:pt>
                <c:pt idx="10">
                  <c:v>249</c:v>
                </c:pt>
                <c:pt idx="11">
                  <c:v>190</c:v>
                </c:pt>
              </c:numCache>
            </c:numRef>
          </c:val>
        </c:ser>
        <c:dLbls>
          <c:showLegendKey val="0"/>
          <c:showVal val="0"/>
          <c:showCatName val="0"/>
          <c:showSerName val="0"/>
          <c:showPercent val="0"/>
          <c:showBubbleSize val="0"/>
        </c:dLbls>
        <c:gapWidth val="30"/>
        <c:overlap val="100"/>
        <c:axId val="284417024"/>
        <c:axId val="286155904"/>
      </c:barChart>
      <c:dateAx>
        <c:axId val="284416512"/>
        <c:scaling>
          <c:orientation val="minMax"/>
        </c:scaling>
        <c:delete val="0"/>
        <c:axPos val="b"/>
        <c:numFmt formatCode="[$-409]mmm\-yy;@" sourceLinked="0"/>
        <c:majorTickMark val="none"/>
        <c:minorTickMark val="none"/>
        <c:tickLblPos val="nextTo"/>
        <c:txPr>
          <a:bodyPr rot="0" vert="horz"/>
          <a:lstStyle/>
          <a:p>
            <a:pPr>
              <a:defRPr/>
            </a:pPr>
            <a:endParaRPr lang="en-US"/>
          </a:p>
        </c:txPr>
        <c:crossAx val="286155328"/>
        <c:crosses val="autoZero"/>
        <c:auto val="1"/>
        <c:lblOffset val="100"/>
        <c:baseTimeUnit val="months"/>
        <c:majorUnit val="1"/>
        <c:minorUnit val="1"/>
      </c:dateAx>
      <c:valAx>
        <c:axId val="286155328"/>
        <c:scaling>
          <c:orientation val="minMax"/>
          <c:max val="300"/>
          <c:min val="0"/>
        </c:scaling>
        <c:delete val="0"/>
        <c:axPos val="l"/>
        <c:numFmt formatCode="0" sourceLinked="1"/>
        <c:majorTickMark val="none"/>
        <c:minorTickMark val="none"/>
        <c:tickLblPos val="none"/>
        <c:spPr>
          <a:ln>
            <a:noFill/>
          </a:ln>
        </c:spPr>
        <c:crossAx val="284416512"/>
        <c:crosses val="autoZero"/>
        <c:crossBetween val="between"/>
        <c:majorUnit val="30"/>
        <c:minorUnit val="10"/>
      </c:valAx>
      <c:valAx>
        <c:axId val="286155904"/>
        <c:scaling>
          <c:orientation val="minMax"/>
          <c:max val="300"/>
          <c:min val="0"/>
        </c:scaling>
        <c:delete val="0"/>
        <c:axPos val="r"/>
        <c:numFmt formatCode="0" sourceLinked="1"/>
        <c:majorTickMark val="none"/>
        <c:minorTickMark val="none"/>
        <c:tickLblPos val="none"/>
        <c:spPr>
          <a:ln>
            <a:noFill/>
          </a:ln>
        </c:spPr>
        <c:crossAx val="284417024"/>
        <c:crosses val="max"/>
        <c:crossBetween val="between"/>
        <c:majorUnit val="30"/>
        <c:minorUnit val="10"/>
      </c:valAx>
      <c:dateAx>
        <c:axId val="284417024"/>
        <c:scaling>
          <c:orientation val="minMax"/>
        </c:scaling>
        <c:delete val="1"/>
        <c:axPos val="t"/>
        <c:numFmt formatCode="mmm\-yy" sourceLinked="1"/>
        <c:majorTickMark val="out"/>
        <c:minorTickMark val="none"/>
        <c:tickLblPos val="none"/>
        <c:crossAx val="286155904"/>
        <c:crosses val="max"/>
        <c:auto val="1"/>
        <c:lblOffset val="100"/>
        <c:baseTimeUnit val="months"/>
      </c:dateAx>
    </c:plotArea>
    <c:legend>
      <c:legendPos val="t"/>
      <c:layout>
        <c:manualLayout>
          <c:xMode val="edge"/>
          <c:yMode val="edge"/>
          <c:x val="7.7761100976747419E-2"/>
          <c:y val="4.8134777376654635E-3"/>
          <c:w val="0.71808219723672628"/>
          <c:h val="0.11068628373644529"/>
        </c:manualLayout>
      </c:layout>
      <c:overlay val="0"/>
      <c:txPr>
        <a:bodyPr/>
        <a:lstStyle/>
        <a:p>
          <a:pPr>
            <a:defRPr b="1"/>
          </a:pPr>
          <a:endParaRPr lang="en-US"/>
        </a:p>
      </c:txPr>
    </c:legend>
    <c:plotVisOnly val="1"/>
    <c:dispBlanksAs val="gap"/>
    <c:showDLblsOverMax val="0"/>
  </c:chart>
  <c:spPr>
    <a:ln>
      <a:noFill/>
    </a:ln>
  </c:spPr>
  <c:externalData r:id="rId1">
    <c:autoUpdate val="0"/>
  </c:externalData>
  <c:userShapes r:id="rId2"/>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6.8326602441170503E-2"/>
          <c:y val="4.8587537668902496E-2"/>
          <c:w val="0.86307506267415102"/>
          <c:h val="0.76348070640752708"/>
        </c:manualLayout>
      </c:layout>
      <c:lineChart>
        <c:grouping val="standard"/>
        <c:varyColors val="0"/>
        <c:ser>
          <c:idx val="3"/>
          <c:order val="1"/>
          <c:tx>
            <c:v>Patient UI Rate</c:v>
          </c:tx>
          <c:spPr>
            <a:ln>
              <a:solidFill>
                <a:srgbClr val="C00000"/>
              </a:solidFill>
            </a:ln>
          </c:spPr>
          <c:marker>
            <c:symbol val="none"/>
          </c:marker>
          <c:cat>
            <c:numRef>
              <c:f>Summary!$O$5:$AX$5</c:f>
              <c:numCache>
                <c:formatCode>mmm\-yy</c:formatCode>
                <c:ptCount val="36"/>
                <c:pt idx="0">
                  <c:v>40817</c:v>
                </c:pt>
                <c:pt idx="1">
                  <c:v>40848</c:v>
                </c:pt>
                <c:pt idx="2">
                  <c:v>40878</c:v>
                </c:pt>
                <c:pt idx="3">
                  <c:v>40909</c:v>
                </c:pt>
                <c:pt idx="4">
                  <c:v>40940</c:v>
                </c:pt>
                <c:pt idx="5">
                  <c:v>40969</c:v>
                </c:pt>
                <c:pt idx="6">
                  <c:v>41000</c:v>
                </c:pt>
                <c:pt idx="7">
                  <c:v>41030</c:v>
                </c:pt>
                <c:pt idx="8">
                  <c:v>41061</c:v>
                </c:pt>
                <c:pt idx="9">
                  <c:v>41091</c:v>
                </c:pt>
                <c:pt idx="10">
                  <c:v>41122</c:v>
                </c:pt>
                <c:pt idx="11">
                  <c:v>41153</c:v>
                </c:pt>
                <c:pt idx="12">
                  <c:v>41183</c:v>
                </c:pt>
                <c:pt idx="13">
                  <c:v>41214</c:v>
                </c:pt>
                <c:pt idx="14">
                  <c:v>41244</c:v>
                </c:pt>
                <c:pt idx="15">
                  <c:v>41275</c:v>
                </c:pt>
                <c:pt idx="16">
                  <c:v>41306</c:v>
                </c:pt>
                <c:pt idx="17">
                  <c:v>41334</c:v>
                </c:pt>
                <c:pt idx="18">
                  <c:v>41365</c:v>
                </c:pt>
                <c:pt idx="19">
                  <c:v>41395</c:v>
                </c:pt>
                <c:pt idx="20">
                  <c:v>41426</c:v>
                </c:pt>
                <c:pt idx="21">
                  <c:v>41456</c:v>
                </c:pt>
                <c:pt idx="22">
                  <c:v>41487</c:v>
                </c:pt>
                <c:pt idx="23">
                  <c:v>41518</c:v>
                </c:pt>
                <c:pt idx="24">
                  <c:v>41548</c:v>
                </c:pt>
                <c:pt idx="25">
                  <c:v>41579</c:v>
                </c:pt>
                <c:pt idx="26">
                  <c:v>41609</c:v>
                </c:pt>
                <c:pt idx="27">
                  <c:v>41640</c:v>
                </c:pt>
                <c:pt idx="28">
                  <c:v>41671</c:v>
                </c:pt>
                <c:pt idx="29">
                  <c:v>41699</c:v>
                </c:pt>
                <c:pt idx="30">
                  <c:v>41730</c:v>
                </c:pt>
                <c:pt idx="31">
                  <c:v>41760</c:v>
                </c:pt>
                <c:pt idx="32">
                  <c:v>41791</c:v>
                </c:pt>
                <c:pt idx="33">
                  <c:v>41821</c:v>
                </c:pt>
                <c:pt idx="34">
                  <c:v>41852</c:v>
                </c:pt>
                <c:pt idx="35">
                  <c:v>41883</c:v>
                </c:pt>
              </c:numCache>
            </c:numRef>
          </c:cat>
          <c:val>
            <c:numRef>
              <c:f>Summary!$O$20:$AX$20</c:f>
              <c:numCache>
                <c:formatCode>0.0</c:formatCode>
                <c:ptCount val="36"/>
                <c:pt idx="0">
                  <c:v>20.24812734082397</c:v>
                </c:pt>
                <c:pt idx="1">
                  <c:v>18.090930730778386</c:v>
                </c:pt>
                <c:pt idx="2">
                  <c:v>13.457679140597332</c:v>
                </c:pt>
                <c:pt idx="3">
                  <c:v>15.723270440251572</c:v>
                </c:pt>
                <c:pt idx="4">
                  <c:v>14.760147601476016</c:v>
                </c:pt>
                <c:pt idx="5">
                  <c:v>25.588163958282802</c:v>
                </c:pt>
                <c:pt idx="6">
                  <c:v>17.656914550844181</c:v>
                </c:pt>
                <c:pt idx="7">
                  <c:v>17.141477547078704</c:v>
                </c:pt>
                <c:pt idx="8">
                  <c:v>17.092966060009839</c:v>
                </c:pt>
                <c:pt idx="9">
                  <c:v>17.156862745098039</c:v>
                </c:pt>
                <c:pt idx="10">
                  <c:v>15.434314429289303</c:v>
                </c:pt>
                <c:pt idx="11">
                  <c:v>17.776664997496244</c:v>
                </c:pt>
                <c:pt idx="12">
                  <c:v>14.234875444839858</c:v>
                </c:pt>
                <c:pt idx="13">
                  <c:v>17.946161515453639</c:v>
                </c:pt>
                <c:pt idx="14">
                  <c:v>16.503288249162427</c:v>
                </c:pt>
                <c:pt idx="15">
                  <c:v>18.352059925093634</c:v>
                </c:pt>
                <c:pt idx="16">
                  <c:v>18.316554809843399</c:v>
                </c:pt>
                <c:pt idx="17">
                  <c:v>16.602172013481464</c:v>
                </c:pt>
                <c:pt idx="18">
                  <c:v>18.691588785046729</c:v>
                </c:pt>
                <c:pt idx="19">
                  <c:v>25.328554360812426</c:v>
                </c:pt>
                <c:pt idx="20">
                  <c:v>16.848756087929445</c:v>
                </c:pt>
                <c:pt idx="21">
                  <c:v>17.571673933148368</c:v>
                </c:pt>
                <c:pt idx="22">
                  <c:v>13.908748212660861</c:v>
                </c:pt>
                <c:pt idx="23">
                  <c:v>16.347737929286527</c:v>
                </c:pt>
                <c:pt idx="24">
                  <c:v>19.750648068139736</c:v>
                </c:pt>
                <c:pt idx="25">
                  <c:v>21.702183291933586</c:v>
                </c:pt>
                <c:pt idx="26">
                  <c:v>21.927587965323813</c:v>
                </c:pt>
                <c:pt idx="27">
                  <c:v>23.82654276864427</c:v>
                </c:pt>
                <c:pt idx="28">
                  <c:v>20.495075858397659</c:v>
                </c:pt>
                <c:pt idx="29">
                  <c:v>22.920517560073936</c:v>
                </c:pt>
                <c:pt idx="30">
                  <c:v>25.934009500577737</c:v>
                </c:pt>
                <c:pt idx="31">
                  <c:v>22.396279525149922</c:v>
                </c:pt>
                <c:pt idx="32">
                  <c:v>20.652310792091676</c:v>
                </c:pt>
                <c:pt idx="33">
                  <c:v>23.008411677387432</c:v>
                </c:pt>
                <c:pt idx="34">
                  <c:v>27.787845837863962</c:v>
                </c:pt>
                <c:pt idx="35">
                  <c:v>21.378813355753064</c:v>
                </c:pt>
              </c:numCache>
            </c:numRef>
          </c:val>
          <c:smooth val="1"/>
        </c:ser>
        <c:dLbls>
          <c:showLegendKey val="0"/>
          <c:showVal val="0"/>
          <c:showCatName val="0"/>
          <c:showSerName val="0"/>
          <c:showPercent val="0"/>
          <c:showBubbleSize val="0"/>
        </c:dLbls>
        <c:marker val="1"/>
        <c:smooth val="0"/>
        <c:axId val="284416000"/>
        <c:axId val="286157632"/>
      </c:lineChart>
      <c:lineChart>
        <c:grouping val="standard"/>
        <c:varyColors val="0"/>
        <c:ser>
          <c:idx val="2"/>
          <c:order val="0"/>
          <c:tx>
            <c:v>Number of Admissions</c:v>
          </c:tx>
          <c:spPr>
            <a:ln>
              <a:solidFill>
                <a:schemeClr val="accent2">
                  <a:lumMod val="60000"/>
                  <a:lumOff val="40000"/>
                </a:schemeClr>
              </a:solidFill>
            </a:ln>
          </c:spPr>
          <c:marker>
            <c:symbol val="none"/>
          </c:marker>
          <c:cat>
            <c:numRef>
              <c:f>Summary!$O$5:$AX$5</c:f>
              <c:numCache>
                <c:formatCode>mmm\-yy</c:formatCode>
                <c:ptCount val="36"/>
                <c:pt idx="0">
                  <c:v>40817</c:v>
                </c:pt>
                <c:pt idx="1">
                  <c:v>40848</c:v>
                </c:pt>
                <c:pt idx="2">
                  <c:v>40878</c:v>
                </c:pt>
                <c:pt idx="3">
                  <c:v>40909</c:v>
                </c:pt>
                <c:pt idx="4">
                  <c:v>40940</c:v>
                </c:pt>
                <c:pt idx="5">
                  <c:v>40969</c:v>
                </c:pt>
                <c:pt idx="6">
                  <c:v>41000</c:v>
                </c:pt>
                <c:pt idx="7">
                  <c:v>41030</c:v>
                </c:pt>
                <c:pt idx="8">
                  <c:v>41061</c:v>
                </c:pt>
                <c:pt idx="9">
                  <c:v>41091</c:v>
                </c:pt>
                <c:pt idx="10">
                  <c:v>41122</c:v>
                </c:pt>
                <c:pt idx="11">
                  <c:v>41153</c:v>
                </c:pt>
                <c:pt idx="12">
                  <c:v>41183</c:v>
                </c:pt>
                <c:pt idx="13">
                  <c:v>41214</c:v>
                </c:pt>
                <c:pt idx="14">
                  <c:v>41244</c:v>
                </c:pt>
                <c:pt idx="15">
                  <c:v>41275</c:v>
                </c:pt>
                <c:pt idx="16">
                  <c:v>41306</c:v>
                </c:pt>
                <c:pt idx="17">
                  <c:v>41334</c:v>
                </c:pt>
                <c:pt idx="18">
                  <c:v>41365</c:v>
                </c:pt>
                <c:pt idx="19">
                  <c:v>41395</c:v>
                </c:pt>
                <c:pt idx="20">
                  <c:v>41426</c:v>
                </c:pt>
                <c:pt idx="21">
                  <c:v>41456</c:v>
                </c:pt>
                <c:pt idx="22">
                  <c:v>41487</c:v>
                </c:pt>
                <c:pt idx="23">
                  <c:v>41518</c:v>
                </c:pt>
                <c:pt idx="24">
                  <c:v>41548</c:v>
                </c:pt>
                <c:pt idx="25">
                  <c:v>41579</c:v>
                </c:pt>
                <c:pt idx="26">
                  <c:v>41609</c:v>
                </c:pt>
                <c:pt idx="27">
                  <c:v>41640</c:v>
                </c:pt>
                <c:pt idx="28">
                  <c:v>41671</c:v>
                </c:pt>
                <c:pt idx="29">
                  <c:v>41699</c:v>
                </c:pt>
                <c:pt idx="30">
                  <c:v>41730</c:v>
                </c:pt>
                <c:pt idx="31">
                  <c:v>41760</c:v>
                </c:pt>
                <c:pt idx="32">
                  <c:v>41791</c:v>
                </c:pt>
                <c:pt idx="33">
                  <c:v>41821</c:v>
                </c:pt>
                <c:pt idx="34">
                  <c:v>41852</c:v>
                </c:pt>
                <c:pt idx="35">
                  <c:v>41883</c:v>
                </c:pt>
              </c:numCache>
            </c:numRef>
          </c:cat>
          <c:val>
            <c:numRef>
              <c:f>Summary!$O$24:$AX$24</c:f>
              <c:numCache>
                <c:formatCode>0</c:formatCode>
                <c:ptCount val="36"/>
                <c:pt idx="0">
                  <c:v>43</c:v>
                </c:pt>
                <c:pt idx="1">
                  <c:v>38</c:v>
                </c:pt>
                <c:pt idx="2">
                  <c:v>34</c:v>
                </c:pt>
                <c:pt idx="3">
                  <c:v>48</c:v>
                </c:pt>
                <c:pt idx="4">
                  <c:v>28</c:v>
                </c:pt>
                <c:pt idx="5">
                  <c:v>38</c:v>
                </c:pt>
                <c:pt idx="6">
                  <c:v>35</c:v>
                </c:pt>
                <c:pt idx="7">
                  <c:v>26</c:v>
                </c:pt>
                <c:pt idx="8">
                  <c:v>25</c:v>
                </c:pt>
                <c:pt idx="9">
                  <c:v>33</c:v>
                </c:pt>
                <c:pt idx="10">
                  <c:v>39</c:v>
                </c:pt>
                <c:pt idx="11">
                  <c:v>25</c:v>
                </c:pt>
                <c:pt idx="12">
                  <c:v>31</c:v>
                </c:pt>
                <c:pt idx="13">
                  <c:v>36</c:v>
                </c:pt>
                <c:pt idx="14">
                  <c:v>25</c:v>
                </c:pt>
                <c:pt idx="15">
                  <c:v>39</c:v>
                </c:pt>
                <c:pt idx="16">
                  <c:v>28</c:v>
                </c:pt>
                <c:pt idx="17">
                  <c:v>43</c:v>
                </c:pt>
                <c:pt idx="18">
                  <c:v>44</c:v>
                </c:pt>
                <c:pt idx="19">
                  <c:v>31</c:v>
                </c:pt>
                <c:pt idx="20">
                  <c:v>28</c:v>
                </c:pt>
                <c:pt idx="21">
                  <c:v>37</c:v>
                </c:pt>
                <c:pt idx="22">
                  <c:v>35</c:v>
                </c:pt>
                <c:pt idx="23">
                  <c:v>46</c:v>
                </c:pt>
                <c:pt idx="24">
                  <c:v>31</c:v>
                </c:pt>
                <c:pt idx="25">
                  <c:v>32</c:v>
                </c:pt>
                <c:pt idx="26">
                  <c:v>31</c:v>
                </c:pt>
                <c:pt idx="27">
                  <c:v>40</c:v>
                </c:pt>
                <c:pt idx="28">
                  <c:v>27</c:v>
                </c:pt>
                <c:pt idx="29">
                  <c:v>31</c:v>
                </c:pt>
                <c:pt idx="30">
                  <c:v>55</c:v>
                </c:pt>
                <c:pt idx="31">
                  <c:v>38</c:v>
                </c:pt>
                <c:pt idx="32">
                  <c:v>32</c:v>
                </c:pt>
                <c:pt idx="33">
                  <c:v>38</c:v>
                </c:pt>
                <c:pt idx="34">
                  <c:v>42</c:v>
                </c:pt>
                <c:pt idx="35">
                  <c:v>37</c:v>
                </c:pt>
              </c:numCache>
            </c:numRef>
          </c:val>
          <c:smooth val="1"/>
        </c:ser>
        <c:dLbls>
          <c:showLegendKey val="0"/>
          <c:showVal val="0"/>
          <c:showCatName val="0"/>
          <c:showSerName val="0"/>
          <c:showPercent val="0"/>
          <c:showBubbleSize val="0"/>
        </c:dLbls>
        <c:marker val="1"/>
        <c:smooth val="0"/>
        <c:axId val="292931584"/>
        <c:axId val="286158208"/>
      </c:lineChart>
      <c:valAx>
        <c:axId val="286157632"/>
        <c:scaling>
          <c:orientation val="minMax"/>
          <c:max val="60"/>
          <c:min val="0"/>
        </c:scaling>
        <c:delete val="0"/>
        <c:axPos val="l"/>
        <c:majorGridlines>
          <c:spPr>
            <a:ln>
              <a:solidFill>
                <a:schemeClr val="bg1">
                  <a:lumMod val="75000"/>
                </a:schemeClr>
              </a:solidFill>
            </a:ln>
          </c:spPr>
        </c:majorGridlines>
        <c:title>
          <c:tx>
            <c:rich>
              <a:bodyPr rot="-5400000" vert="horz"/>
              <a:lstStyle/>
              <a:p>
                <a:pPr>
                  <a:defRPr>
                    <a:solidFill>
                      <a:srgbClr val="C00000"/>
                    </a:solidFill>
                  </a:defRPr>
                </a:pPr>
                <a:r>
                  <a:rPr lang="en-US">
                    <a:solidFill>
                      <a:srgbClr val="C00000"/>
                    </a:solidFill>
                  </a:rPr>
                  <a:t>Patient UI Rate</a:t>
                </a:r>
              </a:p>
            </c:rich>
          </c:tx>
          <c:overlay val="0"/>
        </c:title>
        <c:numFmt formatCode="0" sourceLinked="0"/>
        <c:majorTickMark val="cross"/>
        <c:minorTickMark val="none"/>
        <c:tickLblPos val="nextTo"/>
        <c:spPr>
          <a:ln>
            <a:solidFill>
              <a:srgbClr val="C00000"/>
            </a:solidFill>
          </a:ln>
        </c:spPr>
        <c:txPr>
          <a:bodyPr/>
          <a:lstStyle/>
          <a:p>
            <a:pPr>
              <a:defRPr>
                <a:solidFill>
                  <a:srgbClr val="C00000"/>
                </a:solidFill>
              </a:defRPr>
            </a:pPr>
            <a:endParaRPr lang="en-US"/>
          </a:p>
        </c:txPr>
        <c:crossAx val="284416000"/>
        <c:crosses val="autoZero"/>
        <c:crossBetween val="between"/>
        <c:majorUnit val="10"/>
      </c:valAx>
      <c:catAx>
        <c:axId val="284416000"/>
        <c:scaling>
          <c:orientation val="minMax"/>
        </c:scaling>
        <c:delete val="0"/>
        <c:axPos val="b"/>
        <c:numFmt formatCode="mmm\-yy" sourceLinked="1"/>
        <c:majorTickMark val="out"/>
        <c:minorTickMark val="none"/>
        <c:tickLblPos val="nextTo"/>
        <c:crossAx val="286157632"/>
        <c:crosses val="autoZero"/>
        <c:auto val="0"/>
        <c:lblAlgn val="ctr"/>
        <c:lblOffset val="100"/>
        <c:noMultiLvlLbl val="0"/>
      </c:catAx>
      <c:valAx>
        <c:axId val="286158208"/>
        <c:scaling>
          <c:orientation val="minMax"/>
          <c:max val="60"/>
          <c:min val="0"/>
        </c:scaling>
        <c:delete val="0"/>
        <c:axPos val="r"/>
        <c:title>
          <c:tx>
            <c:rich>
              <a:bodyPr rot="5400000" vert="horz"/>
              <a:lstStyle/>
              <a:p>
                <a:pPr>
                  <a:defRPr>
                    <a:solidFill>
                      <a:schemeClr val="accent2">
                        <a:lumMod val="75000"/>
                      </a:schemeClr>
                    </a:solidFill>
                  </a:defRPr>
                </a:pPr>
                <a:r>
                  <a:rPr lang="en-US">
                    <a:solidFill>
                      <a:schemeClr val="accent2">
                        <a:lumMod val="75000"/>
                      </a:schemeClr>
                    </a:solidFill>
                  </a:rPr>
                  <a:t>Number of Admissions</a:t>
                </a:r>
              </a:p>
            </c:rich>
          </c:tx>
          <c:layout>
            <c:manualLayout>
              <c:xMode val="edge"/>
              <c:yMode val="edge"/>
              <c:x val="0.97352156809402701"/>
              <c:y val="0.19298068592359033"/>
            </c:manualLayout>
          </c:layout>
          <c:overlay val="0"/>
        </c:title>
        <c:numFmt formatCode="0" sourceLinked="1"/>
        <c:majorTickMark val="cross"/>
        <c:minorTickMark val="none"/>
        <c:tickLblPos val="nextTo"/>
        <c:spPr>
          <a:ln>
            <a:solidFill>
              <a:schemeClr val="accent2">
                <a:lumMod val="60000"/>
                <a:lumOff val="40000"/>
              </a:schemeClr>
            </a:solidFill>
          </a:ln>
        </c:spPr>
        <c:txPr>
          <a:bodyPr/>
          <a:lstStyle/>
          <a:p>
            <a:pPr>
              <a:defRPr>
                <a:solidFill>
                  <a:schemeClr val="accent2">
                    <a:lumMod val="75000"/>
                  </a:schemeClr>
                </a:solidFill>
              </a:defRPr>
            </a:pPr>
            <a:endParaRPr lang="en-US"/>
          </a:p>
        </c:txPr>
        <c:crossAx val="292931584"/>
        <c:crosses val="max"/>
        <c:crossBetween val="between"/>
        <c:majorUnit val="10"/>
        <c:minorUnit val="10"/>
      </c:valAx>
      <c:dateAx>
        <c:axId val="292931584"/>
        <c:scaling>
          <c:orientation val="minMax"/>
        </c:scaling>
        <c:delete val="1"/>
        <c:axPos val="b"/>
        <c:numFmt formatCode="mmm\-yy" sourceLinked="1"/>
        <c:majorTickMark val="out"/>
        <c:minorTickMark val="none"/>
        <c:tickLblPos val="nextTo"/>
        <c:crossAx val="286158208"/>
        <c:crosses val="autoZero"/>
        <c:auto val="1"/>
        <c:lblOffset val="100"/>
        <c:baseTimeUnit val="months"/>
      </c:dateAx>
    </c:plotArea>
    <c:legend>
      <c:legendPos val="r"/>
      <c:legendEntry>
        <c:idx val="0"/>
        <c:txPr>
          <a:bodyPr/>
          <a:lstStyle/>
          <a:p>
            <a:pPr>
              <a:defRPr sz="1100" b="1">
                <a:solidFill>
                  <a:srgbClr val="C00000"/>
                </a:solidFill>
              </a:defRPr>
            </a:pPr>
            <a:endParaRPr lang="en-US"/>
          </a:p>
        </c:txPr>
      </c:legendEntry>
      <c:legendEntry>
        <c:idx val="1"/>
        <c:txPr>
          <a:bodyPr/>
          <a:lstStyle/>
          <a:p>
            <a:pPr>
              <a:defRPr sz="1100" b="1">
                <a:solidFill>
                  <a:schemeClr val="accent2">
                    <a:lumMod val="75000"/>
                  </a:schemeClr>
                </a:solidFill>
              </a:defRPr>
            </a:pPr>
            <a:endParaRPr lang="en-US"/>
          </a:p>
        </c:txPr>
      </c:legendEntry>
      <c:layout>
        <c:manualLayout>
          <c:xMode val="edge"/>
          <c:yMode val="edge"/>
          <c:x val="0.2204226398536322"/>
          <c:y val="6.242856766649988E-2"/>
          <c:w val="0.52371989679378239"/>
          <c:h val="9.9956284728622946E-2"/>
        </c:manualLayout>
      </c:layout>
      <c:overlay val="0"/>
      <c:txPr>
        <a:bodyPr/>
        <a:lstStyle/>
        <a:p>
          <a:pPr>
            <a:defRPr sz="1100"/>
          </a:pPr>
          <a:endParaRPr lang="en-US"/>
        </a:p>
      </c:txPr>
    </c:legend>
    <c:plotVisOnly val="1"/>
    <c:dispBlanksAs val="gap"/>
    <c:showDLblsOverMax val="0"/>
  </c:chart>
  <c:spPr>
    <a:ln>
      <a:noFill/>
    </a:ln>
  </c:sp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7034425489754021"/>
          <c:y val="5.5443294307312707E-2"/>
          <c:w val="0.60987295795792462"/>
          <c:h val="0.77248229245316935"/>
        </c:manualLayout>
      </c:layout>
      <c:barChart>
        <c:barDir val="col"/>
        <c:grouping val="percentStacked"/>
        <c:varyColors val="0"/>
        <c:ser>
          <c:idx val="0"/>
          <c:order val="0"/>
          <c:tx>
            <c:v>Major UI</c:v>
          </c:tx>
          <c:spPr>
            <a:gradFill>
              <a:gsLst>
                <a:gs pos="0">
                  <a:srgbClr val="C00000"/>
                </a:gs>
                <a:gs pos="50000">
                  <a:schemeClr val="accent2"/>
                </a:gs>
                <a:gs pos="100000">
                  <a:schemeClr val="accent2">
                    <a:lumMod val="60000"/>
                    <a:lumOff val="40000"/>
                  </a:schemeClr>
                </a:gs>
              </a:gsLst>
              <a:lin ang="5400000" scaled="0"/>
            </a:gradFill>
          </c:spPr>
          <c:invertIfNegative val="0"/>
          <c:dLbls>
            <c:txPr>
              <a:bodyPr/>
              <a:lstStyle/>
              <a:p>
                <a:pPr>
                  <a:defRPr b="1">
                    <a:solidFill>
                      <a:schemeClr val="bg1"/>
                    </a:solidFill>
                    <a:effectLst>
                      <a:glow rad="76200">
                        <a:srgbClr val="C00000"/>
                      </a:glow>
                    </a:effectLst>
                  </a:defRPr>
                </a:pPr>
                <a:endParaRPr lang="en-US"/>
              </a:p>
            </c:txPr>
            <c:showLegendKey val="0"/>
            <c:showVal val="1"/>
            <c:showCatName val="0"/>
            <c:showSerName val="0"/>
            <c:showPercent val="0"/>
            <c:showBubbleSize val="0"/>
            <c:showLeaderLines val="0"/>
          </c:dLbls>
          <c:cat>
            <c:strRef>
              <c:f>Summary!$BC$3:$BF$3</c:f>
              <c:strCache>
                <c:ptCount val="4"/>
                <c:pt idx="0">
                  <c:v>FY11
(n=2037)</c:v>
                </c:pt>
                <c:pt idx="1">
                  <c:v>FY12
(n=1867)</c:v>
                </c:pt>
                <c:pt idx="2">
                  <c:v>FY13
(n=1808)</c:v>
                </c:pt>
                <c:pt idx="3">
                  <c:v>FY14
(n=2321)</c:v>
                </c:pt>
              </c:strCache>
            </c:strRef>
          </c:cat>
          <c:val>
            <c:numRef>
              <c:f>Summary!$BC$47:$BF$47</c:f>
              <c:numCache>
                <c:formatCode>0%</c:formatCode>
                <c:ptCount val="4"/>
                <c:pt idx="0">
                  <c:v>0.83750613647520866</c:v>
                </c:pt>
                <c:pt idx="1">
                  <c:v>0.71451526513122654</c:v>
                </c:pt>
                <c:pt idx="2">
                  <c:v>0.74059734513274333</c:v>
                </c:pt>
                <c:pt idx="3">
                  <c:v>0.73071951744937524</c:v>
                </c:pt>
              </c:numCache>
            </c:numRef>
          </c:val>
        </c:ser>
        <c:ser>
          <c:idx val="1"/>
          <c:order val="1"/>
          <c:tx>
            <c:v>Non-Major UI</c:v>
          </c:tx>
          <c:spPr>
            <a:gradFill>
              <a:gsLst>
                <a:gs pos="0">
                  <a:schemeClr val="tx2"/>
                </a:gs>
                <a:gs pos="50000">
                  <a:schemeClr val="accent1">
                    <a:lumMod val="50000"/>
                  </a:schemeClr>
                </a:gs>
                <a:gs pos="100000">
                  <a:schemeClr val="accent1"/>
                </a:gs>
              </a:gsLst>
              <a:lin ang="5400000" scaled="0"/>
            </a:gradFill>
          </c:spPr>
          <c:invertIfNegative val="0"/>
          <c:dLbls>
            <c:txPr>
              <a:bodyPr/>
              <a:lstStyle/>
              <a:p>
                <a:pPr>
                  <a:defRPr b="1">
                    <a:solidFill>
                      <a:schemeClr val="bg1"/>
                    </a:solidFill>
                  </a:defRPr>
                </a:pPr>
                <a:endParaRPr lang="en-US"/>
              </a:p>
            </c:txPr>
            <c:showLegendKey val="0"/>
            <c:showVal val="1"/>
            <c:showCatName val="0"/>
            <c:showSerName val="0"/>
            <c:showPercent val="0"/>
            <c:showBubbleSize val="0"/>
            <c:showLeaderLines val="0"/>
          </c:dLbls>
          <c:cat>
            <c:strRef>
              <c:f>Summary!$BC$3:$BF$3</c:f>
              <c:strCache>
                <c:ptCount val="4"/>
                <c:pt idx="0">
                  <c:v>FY11
(n=2037)</c:v>
                </c:pt>
                <c:pt idx="1">
                  <c:v>FY12
(n=1867)</c:v>
                </c:pt>
                <c:pt idx="2">
                  <c:v>FY13
(n=1808)</c:v>
                </c:pt>
                <c:pt idx="3">
                  <c:v>FY14
(n=2321)</c:v>
                </c:pt>
              </c:strCache>
            </c:strRef>
          </c:cat>
          <c:val>
            <c:numRef>
              <c:f>Summary!$BC$49:$BF$49</c:f>
              <c:numCache>
                <c:formatCode>0%</c:formatCode>
                <c:ptCount val="4"/>
                <c:pt idx="0">
                  <c:v>0.16249386352479137</c:v>
                </c:pt>
                <c:pt idx="1">
                  <c:v>0.28548473486877346</c:v>
                </c:pt>
                <c:pt idx="2">
                  <c:v>0.25940265486725661</c:v>
                </c:pt>
                <c:pt idx="3">
                  <c:v>0.26928048255062476</c:v>
                </c:pt>
              </c:numCache>
            </c:numRef>
          </c:val>
        </c:ser>
        <c:dLbls>
          <c:showLegendKey val="0"/>
          <c:showVal val="0"/>
          <c:showCatName val="0"/>
          <c:showSerName val="0"/>
          <c:showPercent val="0"/>
          <c:showBubbleSize val="0"/>
        </c:dLbls>
        <c:gapWidth val="50"/>
        <c:overlap val="100"/>
        <c:axId val="292932096"/>
        <c:axId val="286159936"/>
      </c:barChart>
      <c:catAx>
        <c:axId val="292932096"/>
        <c:scaling>
          <c:orientation val="minMax"/>
        </c:scaling>
        <c:delete val="0"/>
        <c:axPos val="b"/>
        <c:majorTickMark val="out"/>
        <c:minorTickMark val="none"/>
        <c:tickLblPos val="nextTo"/>
        <c:txPr>
          <a:bodyPr rot="0"/>
          <a:lstStyle/>
          <a:p>
            <a:pPr>
              <a:defRPr/>
            </a:pPr>
            <a:endParaRPr lang="en-US"/>
          </a:p>
        </c:txPr>
        <c:crossAx val="286159936"/>
        <c:crosses val="autoZero"/>
        <c:auto val="0"/>
        <c:lblAlgn val="ctr"/>
        <c:lblOffset val="100"/>
        <c:tickLblSkip val="1"/>
        <c:noMultiLvlLbl val="0"/>
      </c:catAx>
      <c:valAx>
        <c:axId val="286159936"/>
        <c:scaling>
          <c:orientation val="minMax"/>
        </c:scaling>
        <c:delete val="0"/>
        <c:axPos val="l"/>
        <c:majorGridlines/>
        <c:numFmt formatCode="0%" sourceLinked="1"/>
        <c:majorTickMark val="out"/>
        <c:minorTickMark val="none"/>
        <c:tickLblPos val="nextTo"/>
        <c:crossAx val="292932096"/>
        <c:crosses val="autoZero"/>
        <c:crossBetween val="between"/>
      </c:valAx>
    </c:plotArea>
    <c:legend>
      <c:legendPos val="r"/>
      <c:legendEntry>
        <c:idx val="0"/>
        <c:txPr>
          <a:bodyPr/>
          <a:lstStyle/>
          <a:p>
            <a:pPr>
              <a:defRPr b="1">
                <a:solidFill>
                  <a:schemeClr val="tx2"/>
                </a:solidFill>
              </a:defRPr>
            </a:pPr>
            <a:endParaRPr lang="en-US"/>
          </a:p>
        </c:txPr>
      </c:legendEntry>
      <c:legendEntry>
        <c:idx val="1"/>
        <c:txPr>
          <a:bodyPr/>
          <a:lstStyle/>
          <a:p>
            <a:pPr>
              <a:defRPr b="1">
                <a:solidFill>
                  <a:srgbClr val="C00000"/>
                </a:solidFill>
              </a:defRPr>
            </a:pPr>
            <a:endParaRPr lang="en-US"/>
          </a:p>
        </c:txPr>
      </c:legendEntry>
      <c:layout>
        <c:manualLayout>
          <c:xMode val="edge"/>
          <c:yMode val="edge"/>
          <c:x val="0.7846838624872261"/>
          <c:y val="0.18142163736382269"/>
          <c:w val="0.20868679202015467"/>
          <c:h val="0.5002038790095058"/>
        </c:manualLayout>
      </c:layout>
      <c:overlay val="0"/>
    </c:legend>
    <c:plotVisOnly val="1"/>
    <c:dispBlanksAs val="gap"/>
    <c:showDLblsOverMax val="0"/>
  </c:chart>
  <c:spPr>
    <a:ln>
      <a:noFill/>
    </a:ln>
  </c:sp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2"/>
    </mc:Choice>
    <mc:Fallback>
      <c:style val="12"/>
    </mc:Fallback>
  </mc:AlternateContent>
  <c:chart>
    <c:autoTitleDeleted val="0"/>
    <c:plotArea>
      <c:layout>
        <c:manualLayout>
          <c:layoutTarget val="inner"/>
          <c:xMode val="edge"/>
          <c:yMode val="edge"/>
          <c:x val="3.0917026598921506E-2"/>
          <c:y val="5.7418870735327379E-2"/>
          <c:w val="0.67994909330092446"/>
          <c:h val="0.82108838525188399"/>
        </c:manualLayout>
      </c:layout>
      <c:barChart>
        <c:barDir val="col"/>
        <c:grouping val="stacked"/>
        <c:varyColors val="0"/>
        <c:ser>
          <c:idx val="4"/>
          <c:order val="0"/>
          <c:tx>
            <c:strRef>
              <c:f>Summary!$B$42</c:f>
              <c:strCache>
                <c:ptCount val="1"/>
                <c:pt idx="0">
                  <c:v>Catastrophic</c:v>
                </c:pt>
              </c:strCache>
            </c:strRef>
          </c:tx>
          <c:spPr>
            <a:solidFill>
              <a:schemeClr val="tx1"/>
            </a:solidFill>
          </c:spPr>
          <c:invertIfNegative val="0"/>
          <c:dLbls>
            <c:dLbl>
              <c:idx val="2"/>
              <c:layout>
                <c:manualLayout>
                  <c:x val="4.0908319302638777E-3"/>
                  <c:y val="9.3107719399726473E-3"/>
                </c:manualLayout>
              </c:layout>
              <c:showLegendKey val="0"/>
              <c:showVal val="1"/>
              <c:showCatName val="0"/>
              <c:showSerName val="0"/>
              <c:showPercent val="0"/>
              <c:showBubbleSize val="0"/>
            </c:dLbl>
            <c:txPr>
              <a:bodyPr/>
              <a:lstStyle/>
              <a:p>
                <a:pPr>
                  <a:defRPr b="1">
                    <a:solidFill>
                      <a:schemeClr val="tx1"/>
                    </a:solidFill>
                    <a:effectLst>
                      <a:glow rad="88900">
                        <a:sysClr val="window" lastClr="FFFFFF">
                          <a:lumMod val="65000"/>
                        </a:sysClr>
                      </a:glow>
                    </a:effectLst>
                  </a:defRPr>
                </a:pPr>
                <a:endParaRPr lang="en-US"/>
              </a:p>
            </c:txPr>
            <c:showLegendKey val="0"/>
            <c:showVal val="1"/>
            <c:showCatName val="0"/>
            <c:showSerName val="0"/>
            <c:showPercent val="0"/>
            <c:showBubbleSize val="0"/>
            <c:showLeaderLines val="0"/>
          </c:dLbls>
          <c:cat>
            <c:strRef>
              <c:f>Summary!$BC$34:$BF$34</c:f>
              <c:strCache>
                <c:ptCount val="4"/>
                <c:pt idx="0">
                  <c:v>FY11</c:v>
                </c:pt>
                <c:pt idx="1">
                  <c:v>FY12</c:v>
                </c:pt>
                <c:pt idx="2">
                  <c:v>FY13</c:v>
                </c:pt>
                <c:pt idx="3">
                  <c:v>FY14</c:v>
                </c:pt>
              </c:strCache>
            </c:strRef>
          </c:cat>
          <c:val>
            <c:numRef>
              <c:f>Summary!$BC$53:$BF$53</c:f>
              <c:numCache>
                <c:formatCode>0.0</c:formatCode>
                <c:ptCount val="4"/>
                <c:pt idx="0">
                  <c:v>8.3333333333333329E-2</c:v>
                </c:pt>
                <c:pt idx="1">
                  <c:v>8.3333333333333329E-2</c:v>
                </c:pt>
                <c:pt idx="2">
                  <c:v>0</c:v>
                </c:pt>
                <c:pt idx="3">
                  <c:v>0.16666666666666666</c:v>
                </c:pt>
              </c:numCache>
            </c:numRef>
          </c:val>
        </c:ser>
        <c:ser>
          <c:idx val="0"/>
          <c:order val="1"/>
          <c:tx>
            <c:v>High</c:v>
          </c:tx>
          <c:spPr>
            <a:solidFill>
              <a:schemeClr val="accent2">
                <a:lumMod val="50000"/>
              </a:schemeClr>
            </a:solidFill>
          </c:spPr>
          <c:invertIfNegative val="0"/>
          <c:dLbls>
            <c:txPr>
              <a:bodyPr/>
              <a:lstStyle/>
              <a:p>
                <a:pPr>
                  <a:defRPr b="1">
                    <a:solidFill>
                      <a:schemeClr val="bg1"/>
                    </a:solidFill>
                  </a:defRPr>
                </a:pPr>
                <a:endParaRPr lang="en-US"/>
              </a:p>
            </c:txPr>
            <c:dLblPos val="ctr"/>
            <c:showLegendKey val="0"/>
            <c:showVal val="1"/>
            <c:showCatName val="0"/>
            <c:showSerName val="0"/>
            <c:showPercent val="0"/>
            <c:showBubbleSize val="0"/>
            <c:showLeaderLines val="0"/>
          </c:dLbls>
          <c:cat>
            <c:strRef>
              <c:f>Summary!$BC$34:$BF$34</c:f>
              <c:strCache>
                <c:ptCount val="4"/>
                <c:pt idx="0">
                  <c:v>FY11</c:v>
                </c:pt>
                <c:pt idx="1">
                  <c:v>FY12</c:v>
                </c:pt>
                <c:pt idx="2">
                  <c:v>FY13</c:v>
                </c:pt>
                <c:pt idx="3">
                  <c:v>FY14</c:v>
                </c:pt>
              </c:strCache>
            </c:strRef>
          </c:cat>
          <c:val>
            <c:numRef>
              <c:f>Summary!$BC$52:$BF$52</c:f>
              <c:numCache>
                <c:formatCode>0</c:formatCode>
                <c:ptCount val="4"/>
                <c:pt idx="0">
                  <c:v>48.583333333333336</c:v>
                </c:pt>
                <c:pt idx="1">
                  <c:v>32.75</c:v>
                </c:pt>
                <c:pt idx="2">
                  <c:v>19.083333333333332</c:v>
                </c:pt>
                <c:pt idx="3">
                  <c:v>34.5</c:v>
                </c:pt>
              </c:numCache>
            </c:numRef>
          </c:val>
        </c:ser>
        <c:ser>
          <c:idx val="1"/>
          <c:order val="2"/>
          <c:tx>
            <c:v>Medium</c:v>
          </c:tx>
          <c:invertIfNegative val="0"/>
          <c:dLbls>
            <c:txPr>
              <a:bodyPr/>
              <a:lstStyle/>
              <a:p>
                <a:pPr>
                  <a:defRPr b="1">
                    <a:solidFill>
                      <a:schemeClr val="bg1"/>
                    </a:solidFill>
                  </a:defRPr>
                </a:pPr>
                <a:endParaRPr lang="en-US"/>
              </a:p>
            </c:txPr>
            <c:dLblPos val="ctr"/>
            <c:showLegendKey val="0"/>
            <c:showVal val="1"/>
            <c:showCatName val="0"/>
            <c:showSerName val="0"/>
            <c:showPercent val="0"/>
            <c:showBubbleSize val="0"/>
            <c:showLeaderLines val="0"/>
          </c:dLbls>
          <c:cat>
            <c:strRef>
              <c:f>Summary!$BC$34:$BF$34</c:f>
              <c:strCache>
                <c:ptCount val="4"/>
                <c:pt idx="0">
                  <c:v>FY11</c:v>
                </c:pt>
                <c:pt idx="1">
                  <c:v>FY12</c:v>
                </c:pt>
                <c:pt idx="2">
                  <c:v>FY13</c:v>
                </c:pt>
                <c:pt idx="3">
                  <c:v>FY14</c:v>
                </c:pt>
              </c:strCache>
            </c:strRef>
          </c:cat>
          <c:val>
            <c:numRef>
              <c:f>Summary!$BC$51:$BF$51</c:f>
              <c:numCache>
                <c:formatCode>0</c:formatCode>
                <c:ptCount val="4"/>
                <c:pt idx="0">
                  <c:v>65.166666666666671</c:v>
                </c:pt>
                <c:pt idx="1">
                  <c:v>55.666666666666664</c:v>
                </c:pt>
                <c:pt idx="2">
                  <c:v>63.666666666666664</c:v>
                </c:pt>
                <c:pt idx="3">
                  <c:v>88.5</c:v>
                </c:pt>
              </c:numCache>
            </c:numRef>
          </c:val>
        </c:ser>
        <c:ser>
          <c:idx val="2"/>
          <c:order val="3"/>
          <c:tx>
            <c:v>Low</c:v>
          </c:tx>
          <c:spPr>
            <a:solidFill>
              <a:schemeClr val="accent2">
                <a:lumMod val="40000"/>
                <a:lumOff val="60000"/>
              </a:schemeClr>
            </a:solidFill>
          </c:spPr>
          <c:invertIfNegative val="0"/>
          <c:dLbls>
            <c:txPr>
              <a:bodyPr/>
              <a:lstStyle/>
              <a:p>
                <a:pPr>
                  <a:defRPr b="1"/>
                </a:pPr>
                <a:endParaRPr lang="en-US"/>
              </a:p>
            </c:txPr>
            <c:dLblPos val="ctr"/>
            <c:showLegendKey val="0"/>
            <c:showVal val="1"/>
            <c:showCatName val="0"/>
            <c:showSerName val="0"/>
            <c:showPercent val="0"/>
            <c:showBubbleSize val="0"/>
            <c:showLeaderLines val="0"/>
          </c:dLbls>
          <c:cat>
            <c:strRef>
              <c:f>Summary!$BC$34:$BF$34</c:f>
              <c:strCache>
                <c:ptCount val="4"/>
                <c:pt idx="0">
                  <c:v>FY11</c:v>
                </c:pt>
                <c:pt idx="1">
                  <c:v>FY12</c:v>
                </c:pt>
                <c:pt idx="2">
                  <c:v>FY13</c:v>
                </c:pt>
                <c:pt idx="3">
                  <c:v>FY14</c:v>
                </c:pt>
              </c:strCache>
            </c:strRef>
          </c:cat>
          <c:val>
            <c:numRef>
              <c:f>Summary!$BC$50:$BF$50</c:f>
              <c:numCache>
                <c:formatCode>0</c:formatCode>
                <c:ptCount val="4"/>
                <c:pt idx="0">
                  <c:v>55.916666666666664</c:v>
                </c:pt>
                <c:pt idx="1">
                  <c:v>67.083333333333329</c:v>
                </c:pt>
                <c:pt idx="2">
                  <c:v>67.916666666666671</c:v>
                </c:pt>
                <c:pt idx="3">
                  <c:v>70.25</c:v>
                </c:pt>
              </c:numCache>
            </c:numRef>
          </c:val>
        </c:ser>
        <c:dLbls>
          <c:showLegendKey val="0"/>
          <c:showVal val="0"/>
          <c:showCatName val="0"/>
          <c:showSerName val="0"/>
          <c:showPercent val="0"/>
          <c:showBubbleSize val="0"/>
        </c:dLbls>
        <c:gapWidth val="30"/>
        <c:overlap val="100"/>
        <c:axId val="364233216"/>
        <c:axId val="286161664"/>
      </c:barChart>
      <c:barChart>
        <c:barDir val="col"/>
        <c:grouping val="stacked"/>
        <c:varyColors val="0"/>
        <c:ser>
          <c:idx val="3"/>
          <c:order val="4"/>
          <c:tx>
            <c:v>Total</c:v>
          </c:tx>
          <c:spPr>
            <a:noFill/>
            <a:ln w="25400">
              <a:solidFill>
                <a:schemeClr val="accent2">
                  <a:lumMod val="50000"/>
                </a:schemeClr>
              </a:solidFill>
            </a:ln>
          </c:spPr>
          <c:invertIfNegative val="0"/>
          <c:dLbls>
            <c:dLbl>
              <c:idx val="0"/>
              <c:layout>
                <c:manualLayout>
                  <c:x val="-3.435332483170414E-3"/>
                  <c:y val="-0.43646369550403352"/>
                </c:manualLayout>
              </c:layout>
              <c:showLegendKey val="0"/>
              <c:showVal val="1"/>
              <c:showCatName val="0"/>
              <c:showSerName val="0"/>
              <c:showPercent val="0"/>
              <c:showBubbleSize val="0"/>
            </c:dLbl>
            <c:dLbl>
              <c:idx val="1"/>
              <c:layout>
                <c:manualLayout>
                  <c:x val="2.5446907282743807E-5"/>
                  <c:y val="-0.3852177932517431"/>
                </c:manualLayout>
              </c:layout>
              <c:showLegendKey val="0"/>
              <c:showVal val="1"/>
              <c:showCatName val="0"/>
              <c:showSerName val="0"/>
              <c:showPercent val="0"/>
              <c:showBubbleSize val="0"/>
            </c:dLbl>
            <c:dLbl>
              <c:idx val="2"/>
              <c:layout>
                <c:manualLayout>
                  <c:x val="-3.4356545959209036E-3"/>
                  <c:y val="-0.41061127417180865"/>
                </c:manualLayout>
              </c:layout>
              <c:showLegendKey val="0"/>
              <c:showVal val="1"/>
              <c:showCatName val="0"/>
              <c:showSerName val="0"/>
              <c:showPercent val="0"/>
              <c:showBubbleSize val="0"/>
            </c:dLbl>
            <c:dLbl>
              <c:idx val="3"/>
              <c:layout>
                <c:manualLayout>
                  <c:x val="0"/>
                  <c:y val="-0.40681713567841071"/>
                </c:manualLayout>
              </c:layout>
              <c:showLegendKey val="0"/>
              <c:showVal val="1"/>
              <c:showCatName val="0"/>
              <c:showSerName val="0"/>
              <c:showPercent val="0"/>
              <c:showBubbleSize val="0"/>
            </c:dLbl>
            <c:txPr>
              <a:bodyPr/>
              <a:lstStyle/>
              <a:p>
                <a:pPr>
                  <a:defRPr b="1" u="sng"/>
                </a:pPr>
                <a:endParaRPr lang="en-US"/>
              </a:p>
            </c:txPr>
            <c:showLegendKey val="0"/>
            <c:showVal val="1"/>
            <c:showCatName val="0"/>
            <c:showSerName val="0"/>
            <c:showPercent val="0"/>
            <c:showBubbleSize val="0"/>
            <c:showLeaderLines val="0"/>
          </c:dLbls>
          <c:cat>
            <c:strRef>
              <c:f>Summary!$BC$34:$BF$34</c:f>
              <c:strCache>
                <c:ptCount val="4"/>
                <c:pt idx="0">
                  <c:v>FY11</c:v>
                </c:pt>
                <c:pt idx="1">
                  <c:v>FY12</c:v>
                </c:pt>
                <c:pt idx="2">
                  <c:v>FY13</c:v>
                </c:pt>
                <c:pt idx="3">
                  <c:v>FY14</c:v>
                </c:pt>
              </c:strCache>
            </c:strRef>
          </c:cat>
          <c:val>
            <c:numRef>
              <c:f>Summary!$BC$54:$BF$54</c:f>
              <c:numCache>
                <c:formatCode>0</c:formatCode>
                <c:ptCount val="4"/>
                <c:pt idx="0">
                  <c:v>169.75</c:v>
                </c:pt>
                <c:pt idx="1">
                  <c:v>155.58333333333334</c:v>
                </c:pt>
                <c:pt idx="2">
                  <c:v>150.66666666666666</c:v>
                </c:pt>
                <c:pt idx="3">
                  <c:v>193.41666666666666</c:v>
                </c:pt>
              </c:numCache>
            </c:numRef>
          </c:val>
        </c:ser>
        <c:dLbls>
          <c:showLegendKey val="0"/>
          <c:showVal val="0"/>
          <c:showCatName val="0"/>
          <c:showSerName val="0"/>
          <c:showPercent val="0"/>
          <c:showBubbleSize val="0"/>
        </c:dLbls>
        <c:gapWidth val="30"/>
        <c:overlap val="100"/>
        <c:axId val="364233728"/>
        <c:axId val="286162240"/>
      </c:barChart>
      <c:catAx>
        <c:axId val="364233216"/>
        <c:scaling>
          <c:orientation val="minMax"/>
        </c:scaling>
        <c:delete val="0"/>
        <c:axPos val="b"/>
        <c:majorTickMark val="out"/>
        <c:minorTickMark val="none"/>
        <c:tickLblPos val="nextTo"/>
        <c:crossAx val="286161664"/>
        <c:crosses val="autoZero"/>
        <c:auto val="1"/>
        <c:lblAlgn val="ctr"/>
        <c:lblOffset val="100"/>
        <c:noMultiLvlLbl val="0"/>
      </c:catAx>
      <c:valAx>
        <c:axId val="286161664"/>
        <c:scaling>
          <c:orientation val="minMax"/>
          <c:max val="225"/>
        </c:scaling>
        <c:delete val="1"/>
        <c:axPos val="l"/>
        <c:numFmt formatCode="0.0" sourceLinked="1"/>
        <c:majorTickMark val="out"/>
        <c:minorTickMark val="none"/>
        <c:tickLblPos val="none"/>
        <c:crossAx val="364233216"/>
        <c:crosses val="autoZero"/>
        <c:crossBetween val="between"/>
        <c:majorUnit val="25"/>
      </c:valAx>
      <c:valAx>
        <c:axId val="286162240"/>
        <c:scaling>
          <c:orientation val="minMax"/>
        </c:scaling>
        <c:delete val="1"/>
        <c:axPos val="r"/>
        <c:numFmt formatCode="0" sourceLinked="1"/>
        <c:majorTickMark val="out"/>
        <c:minorTickMark val="none"/>
        <c:tickLblPos val="none"/>
        <c:crossAx val="364233728"/>
        <c:crosses val="max"/>
        <c:crossBetween val="between"/>
      </c:valAx>
      <c:catAx>
        <c:axId val="364233728"/>
        <c:scaling>
          <c:orientation val="minMax"/>
        </c:scaling>
        <c:delete val="1"/>
        <c:axPos val="b"/>
        <c:majorTickMark val="out"/>
        <c:minorTickMark val="none"/>
        <c:tickLblPos val="none"/>
        <c:crossAx val="286162240"/>
        <c:crosses val="autoZero"/>
        <c:auto val="1"/>
        <c:lblAlgn val="ctr"/>
        <c:lblOffset val="100"/>
        <c:noMultiLvlLbl val="0"/>
      </c:catAx>
    </c:plotArea>
    <c:legend>
      <c:legendPos val="r"/>
      <c:layout>
        <c:manualLayout>
          <c:xMode val="edge"/>
          <c:yMode val="edge"/>
          <c:x val="0.70423413989292327"/>
          <c:y val="0.14522568174828435"/>
          <c:w val="0.29167502817681279"/>
          <c:h val="0.7374809523233492"/>
        </c:manualLayout>
      </c:layout>
      <c:overlay val="0"/>
      <c:txPr>
        <a:bodyPr/>
        <a:lstStyle/>
        <a:p>
          <a:pPr>
            <a:defRPr b="1"/>
          </a:pPr>
          <a:endParaRPr lang="en-US"/>
        </a:p>
      </c:txPr>
    </c:legend>
    <c:plotVisOnly val="1"/>
    <c:dispBlanksAs val="gap"/>
    <c:showDLblsOverMax val="0"/>
  </c:chart>
  <c:spPr>
    <a:ln>
      <a:noFill/>
    </a:ln>
  </c:sp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6.3830244068574689E-3"/>
          <c:y val="2.3573413617415474E-2"/>
          <c:w val="0.98658329909043407"/>
          <c:h val="0.76864906592558269"/>
        </c:manualLayout>
      </c:layout>
      <c:barChart>
        <c:barDir val="col"/>
        <c:grouping val="clustered"/>
        <c:varyColors val="0"/>
        <c:ser>
          <c:idx val="0"/>
          <c:order val="0"/>
          <c:tx>
            <c:strRef>
              <c:f>Summary!$BC$57</c:f>
              <c:strCache>
                <c:ptCount val="1"/>
                <c:pt idx="0">
                  <c:v>FY11</c:v>
                </c:pt>
              </c:strCache>
            </c:strRef>
          </c:tx>
          <c:invertIfNegative val="0"/>
          <c:dLbls>
            <c:txPr>
              <a:bodyPr/>
              <a:lstStyle/>
              <a:p>
                <a:pPr>
                  <a:defRPr sz="1100" b="1">
                    <a:solidFill>
                      <a:schemeClr val="bg1"/>
                    </a:solidFill>
                    <a:effectLst>
                      <a:glow rad="101600">
                        <a:srgbClr val="1F497D"/>
                      </a:glow>
                    </a:effectLst>
                  </a:defRPr>
                </a:pPr>
                <a:endParaRPr lang="en-US"/>
              </a:p>
            </c:txPr>
            <c:dLblPos val="inEnd"/>
            <c:showLegendKey val="0"/>
            <c:showVal val="1"/>
            <c:showCatName val="0"/>
            <c:showSerName val="0"/>
            <c:showPercent val="0"/>
            <c:showBubbleSize val="0"/>
            <c:showLeaderLines val="0"/>
          </c:dLbls>
          <c:cat>
            <c:strRef>
              <c:f>(Summary!$BI$59,Summary!$BI$71,Summary!$BI$74,Summary!$BI$73,Summary!$BI$79,Summary!$BI$81)</c:f>
              <c:strCache>
                <c:ptCount val="6"/>
                <c:pt idx="0">
                  <c:v>Aggressive Behavior</c:v>
                </c:pt>
                <c:pt idx="1">
                  <c:v>Physical Assault</c:v>
                </c:pt>
                <c:pt idx="2">
                  <c:v>Property Destruction</c:v>
                </c:pt>
                <c:pt idx="3">
                  <c:v>Psychiatric Emergency</c:v>
                </c:pt>
                <c:pt idx="4">
                  <c:v>Self Injurious Behavior</c:v>
                </c:pt>
                <c:pt idx="5">
                  <c:v>Suicide Attempt/Gesture</c:v>
                </c:pt>
              </c:strCache>
            </c:strRef>
          </c:cat>
          <c:val>
            <c:numRef>
              <c:f>(Summary!$BC$59,Summary!$BC$71,Summary!$BC$74,Summary!$BC$73,Summary!$BC$79,Summary!$BC$81)</c:f>
              <c:numCache>
                <c:formatCode>0</c:formatCode>
                <c:ptCount val="6"/>
                <c:pt idx="0">
                  <c:v>19.083333333333332</c:v>
                </c:pt>
                <c:pt idx="1">
                  <c:v>45.333333333333336</c:v>
                </c:pt>
                <c:pt idx="2">
                  <c:v>2.75</c:v>
                </c:pt>
                <c:pt idx="3">
                  <c:v>24.25</c:v>
                </c:pt>
                <c:pt idx="4">
                  <c:v>4.833333333333333</c:v>
                </c:pt>
                <c:pt idx="5" formatCode="0.0">
                  <c:v>8.3333333333333329E-2</c:v>
                </c:pt>
              </c:numCache>
            </c:numRef>
          </c:val>
        </c:ser>
        <c:ser>
          <c:idx val="1"/>
          <c:order val="1"/>
          <c:tx>
            <c:strRef>
              <c:f>Summary!$BD$5</c:f>
              <c:strCache>
                <c:ptCount val="1"/>
                <c:pt idx="0">
                  <c:v>FY12</c:v>
                </c:pt>
              </c:strCache>
            </c:strRef>
          </c:tx>
          <c:invertIfNegative val="0"/>
          <c:dLbls>
            <c:txPr>
              <a:bodyPr/>
              <a:lstStyle/>
              <a:p>
                <a:pPr>
                  <a:defRPr sz="1100" b="1">
                    <a:solidFill>
                      <a:schemeClr val="bg1"/>
                    </a:solidFill>
                    <a:effectLst>
                      <a:glow rad="88900">
                        <a:srgbClr val="C00000"/>
                      </a:glow>
                    </a:effectLst>
                  </a:defRPr>
                </a:pPr>
                <a:endParaRPr lang="en-US"/>
              </a:p>
            </c:txPr>
            <c:dLblPos val="inEnd"/>
            <c:showLegendKey val="0"/>
            <c:showVal val="1"/>
            <c:showCatName val="0"/>
            <c:showSerName val="0"/>
            <c:showPercent val="0"/>
            <c:showBubbleSize val="0"/>
            <c:showLeaderLines val="0"/>
          </c:dLbls>
          <c:cat>
            <c:strRef>
              <c:f>(Summary!$BI$59,Summary!$BI$71,Summary!$BI$74,Summary!$BI$73,Summary!$BI$79,Summary!$BI$81)</c:f>
              <c:strCache>
                <c:ptCount val="6"/>
                <c:pt idx="0">
                  <c:v>Aggressive Behavior</c:v>
                </c:pt>
                <c:pt idx="1">
                  <c:v>Physical Assault</c:v>
                </c:pt>
                <c:pt idx="2">
                  <c:v>Property Destruction</c:v>
                </c:pt>
                <c:pt idx="3">
                  <c:v>Psychiatric Emergency</c:v>
                </c:pt>
                <c:pt idx="4">
                  <c:v>Self Injurious Behavior</c:v>
                </c:pt>
                <c:pt idx="5">
                  <c:v>Suicide Attempt/Gesture</c:v>
                </c:pt>
              </c:strCache>
            </c:strRef>
          </c:cat>
          <c:val>
            <c:numRef>
              <c:f>(Summary!$BD$59,Summary!$BD$71,Summary!$BD$74,Summary!$BD$73,Summary!$BD$79,Summary!$BD$81)</c:f>
              <c:numCache>
                <c:formatCode>0</c:formatCode>
                <c:ptCount val="6"/>
                <c:pt idx="0">
                  <c:v>26.25</c:v>
                </c:pt>
                <c:pt idx="1">
                  <c:v>37.5</c:v>
                </c:pt>
                <c:pt idx="2">
                  <c:v>4.25</c:v>
                </c:pt>
                <c:pt idx="3">
                  <c:v>14.833333333333334</c:v>
                </c:pt>
                <c:pt idx="4">
                  <c:v>3</c:v>
                </c:pt>
                <c:pt idx="5" formatCode="0.0">
                  <c:v>0.16666666666666666</c:v>
                </c:pt>
              </c:numCache>
            </c:numRef>
          </c:val>
        </c:ser>
        <c:ser>
          <c:idx val="2"/>
          <c:order val="2"/>
          <c:tx>
            <c:strRef>
              <c:f>Summary!$BE$57</c:f>
              <c:strCache>
                <c:ptCount val="1"/>
                <c:pt idx="0">
                  <c:v>FY13</c:v>
                </c:pt>
              </c:strCache>
            </c:strRef>
          </c:tx>
          <c:invertIfNegative val="0"/>
          <c:dLbls>
            <c:dLbl>
              <c:idx val="7"/>
              <c:delete val="1"/>
            </c:dLbl>
            <c:txPr>
              <a:bodyPr/>
              <a:lstStyle/>
              <a:p>
                <a:pPr>
                  <a:defRPr sz="1100" b="1">
                    <a:solidFill>
                      <a:schemeClr val="bg1"/>
                    </a:solidFill>
                    <a:effectLst>
                      <a:glow rad="101600">
                        <a:srgbClr val="9BBB59">
                          <a:lumMod val="50000"/>
                        </a:srgbClr>
                      </a:glow>
                    </a:effectLst>
                  </a:defRPr>
                </a:pPr>
                <a:endParaRPr lang="en-US"/>
              </a:p>
            </c:txPr>
            <c:dLblPos val="inEnd"/>
            <c:showLegendKey val="0"/>
            <c:showVal val="1"/>
            <c:showCatName val="0"/>
            <c:showSerName val="0"/>
            <c:showPercent val="0"/>
            <c:showBubbleSize val="0"/>
            <c:showLeaderLines val="0"/>
          </c:dLbls>
          <c:cat>
            <c:strRef>
              <c:f>(Summary!$BI$59,Summary!$BI$71,Summary!$BI$74,Summary!$BI$73,Summary!$BI$79,Summary!$BI$81)</c:f>
              <c:strCache>
                <c:ptCount val="6"/>
                <c:pt idx="0">
                  <c:v>Aggressive Behavior</c:v>
                </c:pt>
                <c:pt idx="1">
                  <c:v>Physical Assault</c:v>
                </c:pt>
                <c:pt idx="2">
                  <c:v>Property Destruction</c:v>
                </c:pt>
                <c:pt idx="3">
                  <c:v>Psychiatric Emergency</c:v>
                </c:pt>
                <c:pt idx="4">
                  <c:v>Self Injurious Behavior</c:v>
                </c:pt>
                <c:pt idx="5">
                  <c:v>Suicide Attempt/Gesture</c:v>
                </c:pt>
              </c:strCache>
            </c:strRef>
          </c:cat>
          <c:val>
            <c:numRef>
              <c:f>(Summary!$BE$59,Summary!$BE$71,Summary!$BE$74,Summary!$BE$73,Summary!$BE$79,Summary!$BE$81)</c:f>
              <c:numCache>
                <c:formatCode>0</c:formatCode>
                <c:ptCount val="6"/>
                <c:pt idx="0">
                  <c:v>38</c:v>
                </c:pt>
                <c:pt idx="1">
                  <c:v>36.166666666666664</c:v>
                </c:pt>
                <c:pt idx="2">
                  <c:v>5</c:v>
                </c:pt>
                <c:pt idx="3">
                  <c:v>15.25</c:v>
                </c:pt>
                <c:pt idx="4">
                  <c:v>3.4166666666666665</c:v>
                </c:pt>
                <c:pt idx="5" formatCode="0.0">
                  <c:v>0</c:v>
                </c:pt>
              </c:numCache>
            </c:numRef>
          </c:val>
        </c:ser>
        <c:ser>
          <c:idx val="3"/>
          <c:order val="3"/>
          <c:tx>
            <c:strRef>
              <c:f>Summary!$BF$57</c:f>
              <c:strCache>
                <c:ptCount val="1"/>
                <c:pt idx="0">
                  <c:v>FY14</c:v>
                </c:pt>
              </c:strCache>
            </c:strRef>
          </c:tx>
          <c:spPr>
            <a:gradFill>
              <a:gsLst>
                <a:gs pos="0">
                  <a:schemeClr val="tx1">
                    <a:lumMod val="50000"/>
                    <a:lumOff val="50000"/>
                  </a:schemeClr>
                </a:gs>
                <a:gs pos="50000">
                  <a:schemeClr val="tx1">
                    <a:lumMod val="85000"/>
                    <a:lumOff val="15000"/>
                  </a:schemeClr>
                </a:gs>
                <a:gs pos="100000">
                  <a:schemeClr val="tx1"/>
                </a:gs>
              </a:gsLst>
              <a:lin ang="5400000" scaled="0"/>
            </a:gradFill>
          </c:spPr>
          <c:invertIfNegative val="0"/>
          <c:dLbls>
            <c:dLbl>
              <c:idx val="2"/>
              <c:layout>
                <c:manualLayout>
                  <c:x val="0"/>
                  <c:y val="8.9867222479542999E-2"/>
                </c:manualLayout>
              </c:layout>
              <c:dLblPos val="outEnd"/>
              <c:showLegendKey val="0"/>
              <c:showVal val="1"/>
              <c:showCatName val="0"/>
              <c:showSerName val="0"/>
              <c:showPercent val="0"/>
              <c:showBubbleSize val="0"/>
            </c:dLbl>
            <c:dLbl>
              <c:idx val="4"/>
              <c:layout>
                <c:manualLayout>
                  <c:x val="-1.9723865877712033E-3"/>
                  <c:y val="6.0957619268179712E-2"/>
                </c:manualLayout>
              </c:layout>
              <c:dLblPos val="outEnd"/>
              <c:showLegendKey val="0"/>
              <c:showVal val="1"/>
              <c:showCatName val="0"/>
              <c:showSerName val="0"/>
              <c:showPercent val="0"/>
              <c:showBubbleSize val="0"/>
            </c:dLbl>
            <c:dLbl>
              <c:idx val="5"/>
              <c:layout>
                <c:manualLayout>
                  <c:x val="0"/>
                  <c:y val="-1.1824918943955535E-2"/>
                </c:manualLayout>
              </c:layout>
              <c:dLblPos val="outEnd"/>
              <c:showLegendKey val="0"/>
              <c:showVal val="1"/>
              <c:showCatName val="0"/>
              <c:showSerName val="0"/>
              <c:showPercent val="0"/>
              <c:showBubbleSize val="0"/>
            </c:dLbl>
            <c:spPr>
              <a:noFill/>
            </c:spPr>
            <c:txPr>
              <a:bodyPr/>
              <a:lstStyle/>
              <a:p>
                <a:pPr>
                  <a:defRPr sz="1100" b="1" u="sng">
                    <a:solidFill>
                      <a:schemeClr val="bg1"/>
                    </a:solidFill>
                    <a:effectLst>
                      <a:glow rad="127000">
                        <a:schemeClr val="tx1">
                          <a:lumMod val="95000"/>
                          <a:lumOff val="5000"/>
                        </a:schemeClr>
                      </a:glow>
                    </a:effectLst>
                  </a:defRPr>
                </a:pPr>
                <a:endParaRPr lang="en-US"/>
              </a:p>
            </c:txPr>
            <c:dLblPos val="inEnd"/>
            <c:showLegendKey val="0"/>
            <c:showVal val="1"/>
            <c:showCatName val="0"/>
            <c:showSerName val="0"/>
            <c:showPercent val="0"/>
            <c:showBubbleSize val="0"/>
            <c:showLeaderLines val="0"/>
          </c:dLbls>
          <c:cat>
            <c:strRef>
              <c:f>(Summary!$BI$59,Summary!$BI$71,Summary!$BI$74,Summary!$BI$73,Summary!$BI$79,Summary!$BI$81)</c:f>
              <c:strCache>
                <c:ptCount val="6"/>
                <c:pt idx="0">
                  <c:v>Aggressive Behavior</c:v>
                </c:pt>
                <c:pt idx="1">
                  <c:v>Physical Assault</c:v>
                </c:pt>
                <c:pt idx="2">
                  <c:v>Property Destruction</c:v>
                </c:pt>
                <c:pt idx="3">
                  <c:v>Psychiatric Emergency</c:v>
                </c:pt>
                <c:pt idx="4">
                  <c:v>Self Injurious Behavior</c:v>
                </c:pt>
                <c:pt idx="5">
                  <c:v>Suicide Attempt/Gesture</c:v>
                </c:pt>
              </c:strCache>
            </c:strRef>
          </c:cat>
          <c:val>
            <c:numRef>
              <c:f>(Summary!$BF$59,Summary!$BF$71,Summary!$BF$74,Summary!$BF$73,Summary!$BF$79,Summary!$BF$81)</c:f>
              <c:numCache>
                <c:formatCode>0</c:formatCode>
                <c:ptCount val="6"/>
                <c:pt idx="0">
                  <c:v>61.166666666666664</c:v>
                </c:pt>
                <c:pt idx="1">
                  <c:v>46.083333333333336</c:v>
                </c:pt>
                <c:pt idx="2">
                  <c:v>9.5</c:v>
                </c:pt>
                <c:pt idx="3">
                  <c:v>45.333333333333336</c:v>
                </c:pt>
                <c:pt idx="4">
                  <c:v>7.416666666666667</c:v>
                </c:pt>
                <c:pt idx="5" formatCode="0.0">
                  <c:v>0.16666666666666666</c:v>
                </c:pt>
              </c:numCache>
            </c:numRef>
          </c:val>
        </c:ser>
        <c:dLbls>
          <c:showLegendKey val="0"/>
          <c:showVal val="0"/>
          <c:showCatName val="0"/>
          <c:showSerName val="0"/>
          <c:showPercent val="0"/>
          <c:showBubbleSize val="0"/>
        </c:dLbls>
        <c:gapWidth val="49"/>
        <c:axId val="364232704"/>
        <c:axId val="285934720"/>
      </c:barChart>
      <c:catAx>
        <c:axId val="364232704"/>
        <c:scaling>
          <c:orientation val="minMax"/>
        </c:scaling>
        <c:delete val="0"/>
        <c:axPos val="b"/>
        <c:numFmt formatCode="General" sourceLinked="1"/>
        <c:majorTickMark val="out"/>
        <c:minorTickMark val="none"/>
        <c:tickLblPos val="nextTo"/>
        <c:txPr>
          <a:bodyPr rot="0"/>
          <a:lstStyle/>
          <a:p>
            <a:pPr>
              <a:defRPr/>
            </a:pPr>
            <a:endParaRPr lang="en-US"/>
          </a:p>
        </c:txPr>
        <c:crossAx val="285934720"/>
        <c:crosses val="autoZero"/>
        <c:auto val="1"/>
        <c:lblAlgn val="ctr"/>
        <c:lblOffset val="100"/>
        <c:tickLblSkip val="1"/>
        <c:noMultiLvlLbl val="0"/>
      </c:catAx>
      <c:valAx>
        <c:axId val="285934720"/>
        <c:scaling>
          <c:orientation val="minMax"/>
          <c:max val="65"/>
          <c:min val="0"/>
        </c:scaling>
        <c:delete val="1"/>
        <c:axPos val="l"/>
        <c:numFmt formatCode="0" sourceLinked="1"/>
        <c:majorTickMark val="out"/>
        <c:minorTickMark val="none"/>
        <c:tickLblPos val="nextTo"/>
        <c:crossAx val="364232704"/>
        <c:crosses val="autoZero"/>
        <c:crossBetween val="between"/>
        <c:majorUnit val="5"/>
      </c:valAx>
    </c:plotArea>
    <c:legend>
      <c:legendPos val="r"/>
      <c:legendEntry>
        <c:idx val="0"/>
        <c:txPr>
          <a:bodyPr/>
          <a:lstStyle/>
          <a:p>
            <a:pPr>
              <a:defRPr sz="1100" b="1">
                <a:solidFill>
                  <a:schemeClr val="tx2"/>
                </a:solidFill>
              </a:defRPr>
            </a:pPr>
            <a:endParaRPr lang="en-US"/>
          </a:p>
        </c:txPr>
      </c:legendEntry>
      <c:legendEntry>
        <c:idx val="1"/>
        <c:txPr>
          <a:bodyPr/>
          <a:lstStyle/>
          <a:p>
            <a:pPr>
              <a:defRPr sz="1100" b="1">
                <a:solidFill>
                  <a:srgbClr val="C00000"/>
                </a:solidFill>
              </a:defRPr>
            </a:pPr>
            <a:endParaRPr lang="en-US"/>
          </a:p>
        </c:txPr>
      </c:legendEntry>
      <c:legendEntry>
        <c:idx val="2"/>
        <c:txPr>
          <a:bodyPr/>
          <a:lstStyle/>
          <a:p>
            <a:pPr>
              <a:defRPr sz="1100" b="1">
                <a:solidFill>
                  <a:schemeClr val="accent3">
                    <a:lumMod val="50000"/>
                  </a:schemeClr>
                </a:solidFill>
              </a:defRPr>
            </a:pPr>
            <a:endParaRPr lang="en-US"/>
          </a:p>
        </c:txPr>
      </c:legendEntry>
      <c:legendEntry>
        <c:idx val="3"/>
        <c:txPr>
          <a:bodyPr/>
          <a:lstStyle/>
          <a:p>
            <a:pPr>
              <a:defRPr sz="1100" b="1" u="sng"/>
            </a:pPr>
            <a:endParaRPr lang="en-US"/>
          </a:p>
        </c:txPr>
      </c:legendEntry>
      <c:layout>
        <c:manualLayout>
          <c:xMode val="edge"/>
          <c:yMode val="edge"/>
          <c:x val="0.59457935361630099"/>
          <c:y val="4.6117415470125059E-2"/>
          <c:w val="0.37870241811489541"/>
          <c:h val="0.12834645669291336"/>
        </c:manualLayout>
      </c:layout>
      <c:overlay val="0"/>
      <c:txPr>
        <a:bodyPr/>
        <a:lstStyle/>
        <a:p>
          <a:pPr>
            <a:defRPr sz="1100" b="1"/>
          </a:pPr>
          <a:endParaRPr lang="en-US"/>
        </a:p>
      </c:txPr>
    </c:legend>
    <c:plotVisOnly val="1"/>
    <c:dispBlanksAs val="gap"/>
    <c:showDLblsOverMax val="0"/>
  </c:chart>
  <c:spPr>
    <a:ln>
      <a:noFill/>
    </a:ln>
  </c:sp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3.2024103495938747E-2"/>
          <c:y val="6.7691060676238993E-2"/>
          <c:w val="0.93332882945844786"/>
          <c:h val="0.7245314188667592"/>
        </c:manualLayout>
      </c:layout>
      <c:barChart>
        <c:barDir val="col"/>
        <c:grouping val="clustered"/>
        <c:varyColors val="0"/>
        <c:ser>
          <c:idx val="0"/>
          <c:order val="0"/>
          <c:tx>
            <c:strRef>
              <c:f>Summary!$BC$57</c:f>
              <c:strCache>
                <c:ptCount val="1"/>
                <c:pt idx="0">
                  <c:v>FY11</c:v>
                </c:pt>
              </c:strCache>
            </c:strRef>
          </c:tx>
          <c:invertIfNegative val="0"/>
          <c:dLbls>
            <c:txPr>
              <a:bodyPr/>
              <a:lstStyle/>
              <a:p>
                <a:pPr>
                  <a:defRPr sz="1100" b="1">
                    <a:solidFill>
                      <a:schemeClr val="bg1"/>
                    </a:solidFill>
                    <a:effectLst>
                      <a:glow rad="101600">
                        <a:srgbClr val="1F497D"/>
                      </a:glow>
                    </a:effectLst>
                  </a:defRPr>
                </a:pPr>
                <a:endParaRPr lang="en-US"/>
              </a:p>
            </c:txPr>
            <c:dLblPos val="inEnd"/>
            <c:showLegendKey val="0"/>
            <c:showVal val="1"/>
            <c:showCatName val="0"/>
            <c:showSerName val="0"/>
            <c:showPercent val="0"/>
            <c:showBubbleSize val="0"/>
            <c:showLeaderLines val="0"/>
          </c:dLbls>
          <c:cat>
            <c:strRef>
              <c:f>Summary!$B$90:$B$92</c:f>
              <c:strCache>
                <c:ptCount val="3"/>
                <c:pt idx="0">
                  <c:v>% Violence Related UIs
ouf of All UIs</c:v>
                </c:pt>
                <c:pt idx="1">
                  <c:v>% Physical Assaults
out of All Violence UIs</c:v>
                </c:pt>
                <c:pt idx="2">
                  <c:v>% Aggressive Behaviors
out of All Violence UIs</c:v>
                </c:pt>
              </c:strCache>
            </c:strRef>
          </c:cat>
          <c:val>
            <c:numRef>
              <c:f>Summary!$AY$90:$AY$92</c:f>
              <c:numCache>
                <c:formatCode>0%</c:formatCode>
                <c:ptCount val="3"/>
                <c:pt idx="0">
                  <c:v>0.45802650957290131</c:v>
                </c:pt>
                <c:pt idx="1">
                  <c:v>0.58306538049303325</c:v>
                </c:pt>
                <c:pt idx="2">
                  <c:v>0.24544480171489819</c:v>
                </c:pt>
              </c:numCache>
            </c:numRef>
          </c:val>
        </c:ser>
        <c:ser>
          <c:idx val="1"/>
          <c:order val="1"/>
          <c:tx>
            <c:strRef>
              <c:f>Summary!$BD$5</c:f>
              <c:strCache>
                <c:ptCount val="1"/>
                <c:pt idx="0">
                  <c:v>FY12</c:v>
                </c:pt>
              </c:strCache>
            </c:strRef>
          </c:tx>
          <c:invertIfNegative val="0"/>
          <c:dLbls>
            <c:txPr>
              <a:bodyPr/>
              <a:lstStyle/>
              <a:p>
                <a:pPr>
                  <a:defRPr sz="1100" b="1">
                    <a:solidFill>
                      <a:schemeClr val="bg1"/>
                    </a:solidFill>
                    <a:effectLst>
                      <a:glow rad="88900">
                        <a:srgbClr val="C00000"/>
                      </a:glow>
                    </a:effectLst>
                  </a:defRPr>
                </a:pPr>
                <a:endParaRPr lang="en-US"/>
              </a:p>
            </c:txPr>
            <c:dLblPos val="inEnd"/>
            <c:showLegendKey val="0"/>
            <c:showVal val="1"/>
            <c:showCatName val="0"/>
            <c:showSerName val="0"/>
            <c:showPercent val="0"/>
            <c:showBubbleSize val="0"/>
            <c:showLeaderLines val="0"/>
          </c:dLbls>
          <c:cat>
            <c:strRef>
              <c:f>Summary!$B$90:$B$92</c:f>
              <c:strCache>
                <c:ptCount val="3"/>
                <c:pt idx="0">
                  <c:v>% Violence Related UIs
ouf of All UIs</c:v>
                </c:pt>
                <c:pt idx="1">
                  <c:v>% Physical Assaults
out of All Violence UIs</c:v>
                </c:pt>
                <c:pt idx="2">
                  <c:v>% Aggressive Behaviors
out of All Violence UIs</c:v>
                </c:pt>
              </c:strCache>
            </c:strRef>
          </c:cat>
          <c:val>
            <c:numRef>
              <c:f>Summary!$AZ$90:$AZ$92</c:f>
              <c:numCache>
                <c:formatCode>0%</c:formatCode>
                <c:ptCount val="3"/>
                <c:pt idx="0">
                  <c:v>0.43599357257632565</c:v>
                </c:pt>
                <c:pt idx="1">
                  <c:v>0.55282555282555279</c:v>
                </c:pt>
                <c:pt idx="2">
                  <c:v>0.38697788697788699</c:v>
                </c:pt>
              </c:numCache>
            </c:numRef>
          </c:val>
        </c:ser>
        <c:ser>
          <c:idx val="2"/>
          <c:order val="2"/>
          <c:tx>
            <c:strRef>
              <c:f>Summary!$BE$57</c:f>
              <c:strCache>
                <c:ptCount val="1"/>
                <c:pt idx="0">
                  <c:v>FY13</c:v>
                </c:pt>
              </c:strCache>
            </c:strRef>
          </c:tx>
          <c:invertIfNegative val="0"/>
          <c:dLbls>
            <c:dLbl>
              <c:idx val="7"/>
              <c:delete val="1"/>
            </c:dLbl>
            <c:txPr>
              <a:bodyPr/>
              <a:lstStyle/>
              <a:p>
                <a:pPr>
                  <a:defRPr sz="1100" b="1">
                    <a:solidFill>
                      <a:schemeClr val="bg1"/>
                    </a:solidFill>
                    <a:effectLst>
                      <a:glow rad="101600">
                        <a:srgbClr val="9BBB59">
                          <a:lumMod val="50000"/>
                        </a:srgbClr>
                      </a:glow>
                    </a:effectLst>
                  </a:defRPr>
                </a:pPr>
                <a:endParaRPr lang="en-US"/>
              </a:p>
            </c:txPr>
            <c:dLblPos val="inEnd"/>
            <c:showLegendKey val="0"/>
            <c:showVal val="1"/>
            <c:showCatName val="0"/>
            <c:showSerName val="0"/>
            <c:showPercent val="0"/>
            <c:showBubbleSize val="0"/>
            <c:showLeaderLines val="0"/>
          </c:dLbls>
          <c:cat>
            <c:strRef>
              <c:f>Summary!$B$90:$B$92</c:f>
              <c:strCache>
                <c:ptCount val="3"/>
                <c:pt idx="0">
                  <c:v>% Violence Related UIs
ouf of All UIs</c:v>
                </c:pt>
                <c:pt idx="1">
                  <c:v>% Physical Assaults
out of All Violence UIs</c:v>
                </c:pt>
                <c:pt idx="2">
                  <c:v>% Aggressive Behaviors
out of All Violence UIs</c:v>
                </c:pt>
              </c:strCache>
            </c:strRef>
          </c:cat>
          <c:val>
            <c:numRef>
              <c:f>Summary!$BA$90:$BA$92</c:f>
              <c:numCache>
                <c:formatCode>0%</c:formatCode>
                <c:ptCount val="3"/>
                <c:pt idx="0">
                  <c:v>0.52323008849557517</c:v>
                </c:pt>
                <c:pt idx="1">
                  <c:v>0.45877378435517968</c:v>
                </c:pt>
                <c:pt idx="2">
                  <c:v>0.48202959830866809</c:v>
                </c:pt>
              </c:numCache>
            </c:numRef>
          </c:val>
        </c:ser>
        <c:ser>
          <c:idx val="3"/>
          <c:order val="3"/>
          <c:tx>
            <c:strRef>
              <c:f>Summary!$BF$57</c:f>
              <c:strCache>
                <c:ptCount val="1"/>
                <c:pt idx="0">
                  <c:v>FY14</c:v>
                </c:pt>
              </c:strCache>
            </c:strRef>
          </c:tx>
          <c:spPr>
            <a:gradFill>
              <a:gsLst>
                <a:gs pos="0">
                  <a:schemeClr val="tx1">
                    <a:lumMod val="50000"/>
                    <a:lumOff val="50000"/>
                  </a:schemeClr>
                </a:gs>
                <a:gs pos="50000">
                  <a:schemeClr val="tx1">
                    <a:lumMod val="85000"/>
                    <a:lumOff val="15000"/>
                  </a:schemeClr>
                </a:gs>
                <a:gs pos="100000">
                  <a:schemeClr val="tx1"/>
                </a:gs>
              </a:gsLst>
              <a:lin ang="5400000" scaled="0"/>
            </a:gradFill>
          </c:spPr>
          <c:invertIfNegative val="0"/>
          <c:dLbls>
            <c:dLbl>
              <c:idx val="2"/>
              <c:layout>
                <c:manualLayout>
                  <c:x val="0"/>
                  <c:y val="0.1249551042961735"/>
                </c:manualLayout>
              </c:layout>
              <c:dLblPos val="outEnd"/>
              <c:showLegendKey val="0"/>
              <c:showVal val="1"/>
              <c:showCatName val="0"/>
              <c:showSerName val="0"/>
              <c:showPercent val="0"/>
              <c:showBubbleSize val="0"/>
            </c:dLbl>
            <c:dLbl>
              <c:idx val="4"/>
              <c:layout>
                <c:manualLayout>
                  <c:x val="-1.9723865877712033E-3"/>
                  <c:y val="6.0957619268179712E-2"/>
                </c:manualLayout>
              </c:layout>
              <c:dLblPos val="outEnd"/>
              <c:showLegendKey val="0"/>
              <c:showVal val="1"/>
              <c:showCatName val="0"/>
              <c:showSerName val="0"/>
              <c:showPercent val="0"/>
              <c:showBubbleSize val="0"/>
            </c:dLbl>
            <c:dLbl>
              <c:idx val="5"/>
              <c:layout>
                <c:manualLayout>
                  <c:x val="0"/>
                  <c:y val="-1.1824918943955535E-2"/>
                </c:manualLayout>
              </c:layout>
              <c:dLblPos val="outEnd"/>
              <c:showLegendKey val="0"/>
              <c:showVal val="1"/>
              <c:showCatName val="0"/>
              <c:showSerName val="0"/>
              <c:showPercent val="0"/>
              <c:showBubbleSize val="0"/>
            </c:dLbl>
            <c:spPr>
              <a:noFill/>
            </c:spPr>
            <c:txPr>
              <a:bodyPr/>
              <a:lstStyle/>
              <a:p>
                <a:pPr>
                  <a:defRPr sz="1100" b="1" u="sng">
                    <a:solidFill>
                      <a:schemeClr val="bg1"/>
                    </a:solidFill>
                    <a:effectLst>
                      <a:glow rad="127000">
                        <a:schemeClr val="tx1">
                          <a:lumMod val="95000"/>
                          <a:lumOff val="5000"/>
                        </a:schemeClr>
                      </a:glow>
                    </a:effectLst>
                  </a:defRPr>
                </a:pPr>
                <a:endParaRPr lang="en-US"/>
              </a:p>
            </c:txPr>
            <c:dLblPos val="inEnd"/>
            <c:showLegendKey val="0"/>
            <c:showVal val="1"/>
            <c:showCatName val="0"/>
            <c:showSerName val="0"/>
            <c:showPercent val="0"/>
            <c:showBubbleSize val="0"/>
            <c:showLeaderLines val="0"/>
          </c:dLbls>
          <c:cat>
            <c:strRef>
              <c:f>Summary!$B$90:$B$92</c:f>
              <c:strCache>
                <c:ptCount val="3"/>
                <c:pt idx="0">
                  <c:v>% Violence Related UIs
ouf of All UIs</c:v>
                </c:pt>
                <c:pt idx="1">
                  <c:v>% Physical Assaults
out of All Violence UIs</c:v>
                </c:pt>
                <c:pt idx="2">
                  <c:v>% Aggressive Behaviors
out of All Violence UIs</c:v>
                </c:pt>
              </c:strCache>
            </c:strRef>
          </c:cat>
          <c:val>
            <c:numRef>
              <c:f>Summary!$BB$90:$BB$92</c:f>
              <c:numCache>
                <c:formatCode>0%</c:formatCode>
                <c:ptCount val="3"/>
                <c:pt idx="0">
                  <c:v>0.59586385178802237</c:v>
                </c:pt>
                <c:pt idx="1">
                  <c:v>0.39985538684020244</c:v>
                </c:pt>
                <c:pt idx="2">
                  <c:v>0.53073029645697756</c:v>
                </c:pt>
              </c:numCache>
            </c:numRef>
          </c:val>
        </c:ser>
        <c:dLbls>
          <c:showLegendKey val="0"/>
          <c:showVal val="0"/>
          <c:showCatName val="0"/>
          <c:showSerName val="0"/>
          <c:showPercent val="0"/>
          <c:showBubbleSize val="0"/>
        </c:dLbls>
        <c:gapWidth val="49"/>
        <c:axId val="364235264"/>
        <c:axId val="285936448"/>
      </c:barChart>
      <c:catAx>
        <c:axId val="364235264"/>
        <c:scaling>
          <c:orientation val="minMax"/>
        </c:scaling>
        <c:delete val="0"/>
        <c:axPos val="b"/>
        <c:numFmt formatCode="General" sourceLinked="1"/>
        <c:majorTickMark val="out"/>
        <c:minorTickMark val="none"/>
        <c:tickLblPos val="nextTo"/>
        <c:txPr>
          <a:bodyPr rot="0"/>
          <a:lstStyle/>
          <a:p>
            <a:pPr>
              <a:defRPr sz="1100"/>
            </a:pPr>
            <a:endParaRPr lang="en-US"/>
          </a:p>
        </c:txPr>
        <c:crossAx val="285936448"/>
        <c:crosses val="autoZero"/>
        <c:auto val="1"/>
        <c:lblAlgn val="ctr"/>
        <c:lblOffset val="100"/>
        <c:tickLblSkip val="1"/>
        <c:noMultiLvlLbl val="0"/>
      </c:catAx>
      <c:valAx>
        <c:axId val="285936448"/>
        <c:scaling>
          <c:orientation val="minMax"/>
          <c:max val="0.70000000000000007"/>
          <c:min val="0.2"/>
        </c:scaling>
        <c:delete val="0"/>
        <c:axPos val="l"/>
        <c:numFmt formatCode="0%" sourceLinked="1"/>
        <c:majorTickMark val="none"/>
        <c:minorTickMark val="none"/>
        <c:tickLblPos val="none"/>
        <c:spPr>
          <a:ln>
            <a:noFill/>
          </a:ln>
        </c:spPr>
        <c:crossAx val="364235264"/>
        <c:crosses val="autoZero"/>
        <c:crossBetween val="between"/>
        <c:majorUnit val="0.1"/>
      </c:valAx>
    </c:plotArea>
    <c:legend>
      <c:legendPos val="r"/>
      <c:legendEntry>
        <c:idx val="0"/>
        <c:txPr>
          <a:bodyPr/>
          <a:lstStyle/>
          <a:p>
            <a:pPr>
              <a:defRPr sz="1100" b="1">
                <a:solidFill>
                  <a:schemeClr val="tx2"/>
                </a:solidFill>
              </a:defRPr>
            </a:pPr>
            <a:endParaRPr lang="en-US"/>
          </a:p>
        </c:txPr>
      </c:legendEntry>
      <c:legendEntry>
        <c:idx val="1"/>
        <c:txPr>
          <a:bodyPr/>
          <a:lstStyle/>
          <a:p>
            <a:pPr>
              <a:defRPr sz="1100" b="1">
                <a:solidFill>
                  <a:srgbClr val="C00000"/>
                </a:solidFill>
              </a:defRPr>
            </a:pPr>
            <a:endParaRPr lang="en-US"/>
          </a:p>
        </c:txPr>
      </c:legendEntry>
      <c:legendEntry>
        <c:idx val="2"/>
        <c:txPr>
          <a:bodyPr/>
          <a:lstStyle/>
          <a:p>
            <a:pPr>
              <a:defRPr sz="1100" b="1">
                <a:solidFill>
                  <a:schemeClr val="accent3">
                    <a:lumMod val="50000"/>
                  </a:schemeClr>
                </a:solidFill>
              </a:defRPr>
            </a:pPr>
            <a:endParaRPr lang="en-US"/>
          </a:p>
        </c:txPr>
      </c:legendEntry>
      <c:legendEntry>
        <c:idx val="3"/>
        <c:txPr>
          <a:bodyPr/>
          <a:lstStyle/>
          <a:p>
            <a:pPr>
              <a:defRPr sz="1100" b="1" u="sng"/>
            </a:pPr>
            <a:endParaRPr lang="en-US"/>
          </a:p>
        </c:txPr>
      </c:legendEntry>
      <c:layout>
        <c:manualLayout>
          <c:xMode val="edge"/>
          <c:yMode val="edge"/>
          <c:x val="0.56893832797527533"/>
          <c:y val="2.1607611548556432E-2"/>
          <c:w val="0.37870241811489541"/>
          <c:h val="0.11854253512428591"/>
        </c:manualLayout>
      </c:layout>
      <c:overlay val="0"/>
      <c:txPr>
        <a:bodyPr/>
        <a:lstStyle/>
        <a:p>
          <a:pPr>
            <a:defRPr sz="1100" b="1"/>
          </a:pPr>
          <a:endParaRPr lang="en-US"/>
        </a:p>
      </c:txPr>
    </c:legend>
    <c:plotVisOnly val="1"/>
    <c:dispBlanksAs val="gap"/>
    <c:showDLblsOverMax val="0"/>
  </c:chart>
  <c:spPr>
    <a:ln>
      <a:noFill/>
    </a:ln>
  </c:sp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6895299710045284E-2"/>
          <c:y val="4.9864250839612781E-2"/>
          <c:w val="0.95642965071083041"/>
          <c:h val="0.74868888700740366"/>
        </c:manualLayout>
      </c:layout>
      <c:barChart>
        <c:barDir val="col"/>
        <c:grouping val="clustered"/>
        <c:varyColors val="0"/>
        <c:ser>
          <c:idx val="0"/>
          <c:order val="0"/>
          <c:tx>
            <c:strRef>
              <c:f>'T-Details'!$B$67</c:f>
              <c:strCache>
                <c:ptCount val="1"/>
                <c:pt idx="0">
                  <c:v>Seclusion/Restraint with Assault</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c:spPr>
          <c:invertIfNegative val="0"/>
          <c:dLbls>
            <c:txPr>
              <a:bodyPr/>
              <a:lstStyle/>
              <a:p>
                <a:pPr>
                  <a:defRPr sz="1100" b="1">
                    <a:solidFill>
                      <a:srgbClr val="C00000"/>
                    </a:solidFill>
                  </a:defRPr>
                </a:pPr>
                <a:endParaRPr lang="en-US"/>
              </a:p>
            </c:txPr>
            <c:showLegendKey val="0"/>
            <c:showVal val="1"/>
            <c:showCatName val="0"/>
            <c:showSerName val="0"/>
            <c:showPercent val="0"/>
            <c:showBubbleSize val="0"/>
            <c:showLeaderLines val="0"/>
          </c:dLbls>
          <c:cat>
            <c:strRef>
              <c:f>'T-Details'!$BC$66:$BF$66</c:f>
              <c:strCache>
                <c:ptCount val="4"/>
                <c:pt idx="0">
                  <c:v>FY11
(n=56)</c:v>
                </c:pt>
                <c:pt idx="1">
                  <c:v>FY12
(n=34)</c:v>
                </c:pt>
                <c:pt idx="2">
                  <c:v>FY13
(n=65)</c:v>
                </c:pt>
                <c:pt idx="3">
                  <c:v>FY14
(n=191)</c:v>
                </c:pt>
              </c:strCache>
            </c:strRef>
          </c:cat>
          <c:val>
            <c:numRef>
              <c:f>'T-Details'!$BC$67:$BF$67</c:f>
              <c:numCache>
                <c:formatCode>General</c:formatCode>
                <c:ptCount val="4"/>
                <c:pt idx="0">
                  <c:v>22</c:v>
                </c:pt>
                <c:pt idx="1">
                  <c:v>18</c:v>
                </c:pt>
                <c:pt idx="2">
                  <c:v>14</c:v>
                </c:pt>
                <c:pt idx="3">
                  <c:v>71</c:v>
                </c:pt>
              </c:numCache>
            </c:numRef>
          </c:val>
        </c:ser>
        <c:ser>
          <c:idx val="2"/>
          <c:order val="1"/>
          <c:tx>
            <c:strRef>
              <c:f>'T-Details'!$B$68</c:f>
              <c:strCache>
                <c:ptCount val="1"/>
                <c:pt idx="0">
                  <c:v>Seclusion/Restraint with Aggressive Behavior</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c:spPr>
          <c:invertIfNegative val="0"/>
          <c:dLbls>
            <c:txPr>
              <a:bodyPr/>
              <a:lstStyle/>
              <a:p>
                <a:pPr>
                  <a:defRPr b="1">
                    <a:solidFill>
                      <a:schemeClr val="tx2"/>
                    </a:solidFill>
                  </a:defRPr>
                </a:pPr>
                <a:endParaRPr lang="en-US"/>
              </a:p>
            </c:txPr>
            <c:showLegendKey val="0"/>
            <c:showVal val="1"/>
            <c:showCatName val="0"/>
            <c:showSerName val="0"/>
            <c:showPercent val="0"/>
            <c:showBubbleSize val="0"/>
            <c:showLeaderLines val="0"/>
          </c:dLbls>
          <c:cat>
            <c:strRef>
              <c:f>'T-Details'!$BC$66:$BF$66</c:f>
              <c:strCache>
                <c:ptCount val="4"/>
                <c:pt idx="0">
                  <c:v>FY11
(n=56)</c:v>
                </c:pt>
                <c:pt idx="1">
                  <c:v>FY12
(n=34)</c:v>
                </c:pt>
                <c:pt idx="2">
                  <c:v>FY13
(n=65)</c:v>
                </c:pt>
                <c:pt idx="3">
                  <c:v>FY14
(n=191)</c:v>
                </c:pt>
              </c:strCache>
            </c:strRef>
          </c:cat>
          <c:val>
            <c:numRef>
              <c:f>'T-Details'!$BC$68:$BF$68</c:f>
              <c:numCache>
                <c:formatCode>General</c:formatCode>
                <c:ptCount val="4"/>
                <c:pt idx="0">
                  <c:v>9</c:v>
                </c:pt>
                <c:pt idx="1">
                  <c:v>11</c:v>
                </c:pt>
                <c:pt idx="2">
                  <c:v>45</c:v>
                </c:pt>
                <c:pt idx="3">
                  <c:v>108</c:v>
                </c:pt>
              </c:numCache>
            </c:numRef>
          </c:val>
        </c:ser>
        <c:ser>
          <c:idx val="1"/>
          <c:order val="2"/>
          <c:tx>
            <c:strRef>
              <c:f>'T-Details'!$B$69</c:f>
              <c:strCache>
                <c:ptCount val="1"/>
                <c:pt idx="0">
                  <c:v>Seclusion/Restraint without Assault or Aggressive Behavior</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c:spPr>
          <c:invertIfNegative val="0"/>
          <c:dLbls>
            <c:txPr>
              <a:bodyPr/>
              <a:lstStyle/>
              <a:p>
                <a:pPr>
                  <a:defRPr sz="1100" b="1">
                    <a:solidFill>
                      <a:schemeClr val="accent3">
                        <a:lumMod val="50000"/>
                      </a:schemeClr>
                    </a:solidFill>
                  </a:defRPr>
                </a:pPr>
                <a:endParaRPr lang="en-US"/>
              </a:p>
            </c:txPr>
            <c:showLegendKey val="0"/>
            <c:showVal val="1"/>
            <c:showCatName val="0"/>
            <c:showSerName val="0"/>
            <c:showPercent val="0"/>
            <c:showBubbleSize val="0"/>
            <c:showLeaderLines val="0"/>
          </c:dLbls>
          <c:cat>
            <c:strRef>
              <c:f>'T-Details'!$BC$66:$BF$66</c:f>
              <c:strCache>
                <c:ptCount val="4"/>
                <c:pt idx="0">
                  <c:v>FY11
(n=56)</c:v>
                </c:pt>
                <c:pt idx="1">
                  <c:v>FY12
(n=34)</c:v>
                </c:pt>
                <c:pt idx="2">
                  <c:v>FY13
(n=65)</c:v>
                </c:pt>
                <c:pt idx="3">
                  <c:v>FY14
(n=191)</c:v>
                </c:pt>
              </c:strCache>
            </c:strRef>
          </c:cat>
          <c:val>
            <c:numRef>
              <c:f>'T-Details'!$BC$69:$BF$69</c:f>
              <c:numCache>
                <c:formatCode>General</c:formatCode>
                <c:ptCount val="4"/>
                <c:pt idx="0">
                  <c:v>25</c:v>
                </c:pt>
                <c:pt idx="1">
                  <c:v>5</c:v>
                </c:pt>
                <c:pt idx="2">
                  <c:v>6</c:v>
                </c:pt>
                <c:pt idx="3">
                  <c:v>12</c:v>
                </c:pt>
              </c:numCache>
            </c:numRef>
          </c:val>
        </c:ser>
        <c:dLbls>
          <c:showLegendKey val="0"/>
          <c:showVal val="0"/>
          <c:showCatName val="0"/>
          <c:showSerName val="0"/>
          <c:showPercent val="0"/>
          <c:showBubbleSize val="0"/>
        </c:dLbls>
        <c:gapWidth val="50"/>
        <c:axId val="364235776"/>
        <c:axId val="285938176"/>
      </c:barChart>
      <c:catAx>
        <c:axId val="364235776"/>
        <c:scaling>
          <c:orientation val="minMax"/>
        </c:scaling>
        <c:delete val="0"/>
        <c:axPos val="b"/>
        <c:majorTickMark val="out"/>
        <c:minorTickMark val="none"/>
        <c:tickLblPos val="nextTo"/>
        <c:txPr>
          <a:bodyPr/>
          <a:lstStyle/>
          <a:p>
            <a:pPr>
              <a:defRPr sz="1100" b="1"/>
            </a:pPr>
            <a:endParaRPr lang="en-US"/>
          </a:p>
        </c:txPr>
        <c:crossAx val="285938176"/>
        <c:crosses val="autoZero"/>
        <c:auto val="1"/>
        <c:lblAlgn val="ctr"/>
        <c:lblOffset val="100"/>
        <c:noMultiLvlLbl val="0"/>
      </c:catAx>
      <c:valAx>
        <c:axId val="285938176"/>
        <c:scaling>
          <c:orientation val="minMax"/>
          <c:max val="120"/>
        </c:scaling>
        <c:delete val="0"/>
        <c:axPos val="l"/>
        <c:numFmt formatCode="General" sourceLinked="1"/>
        <c:majorTickMark val="none"/>
        <c:minorTickMark val="none"/>
        <c:tickLblPos val="none"/>
        <c:spPr>
          <a:ln>
            <a:noFill/>
          </a:ln>
        </c:spPr>
        <c:crossAx val="364235776"/>
        <c:crosses val="autoZero"/>
        <c:crossBetween val="between"/>
      </c:valAx>
    </c:plotArea>
    <c:legend>
      <c:legendPos val="r"/>
      <c:legendEntry>
        <c:idx val="0"/>
        <c:txPr>
          <a:bodyPr/>
          <a:lstStyle/>
          <a:p>
            <a:pPr>
              <a:defRPr b="1">
                <a:solidFill>
                  <a:srgbClr val="C00000"/>
                </a:solidFill>
              </a:defRPr>
            </a:pPr>
            <a:endParaRPr lang="en-US"/>
          </a:p>
        </c:txPr>
      </c:legendEntry>
      <c:legendEntry>
        <c:idx val="1"/>
        <c:txPr>
          <a:bodyPr/>
          <a:lstStyle/>
          <a:p>
            <a:pPr>
              <a:defRPr b="1">
                <a:solidFill>
                  <a:schemeClr val="tx2"/>
                </a:solidFill>
              </a:defRPr>
            </a:pPr>
            <a:endParaRPr lang="en-US"/>
          </a:p>
        </c:txPr>
      </c:legendEntry>
      <c:legendEntry>
        <c:idx val="2"/>
        <c:txPr>
          <a:bodyPr/>
          <a:lstStyle/>
          <a:p>
            <a:pPr>
              <a:defRPr b="1">
                <a:solidFill>
                  <a:schemeClr val="accent3">
                    <a:lumMod val="50000"/>
                  </a:schemeClr>
                </a:solidFill>
              </a:defRPr>
            </a:pPr>
            <a:endParaRPr lang="en-US"/>
          </a:p>
        </c:txPr>
      </c:legendEntry>
      <c:layout>
        <c:manualLayout>
          <c:xMode val="edge"/>
          <c:yMode val="edge"/>
          <c:x val="1.5396515210779558E-2"/>
          <c:y val="3.7986351706036751E-2"/>
          <c:w val="0.47845893507587461"/>
          <c:h val="0.42369994073321482"/>
        </c:manualLayout>
      </c:layout>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2.7738407699037616E-2"/>
          <c:y val="5.6086460376441369E-2"/>
          <c:w val="0.91339927271689636"/>
          <c:h val="0.73787872133513177"/>
        </c:manualLayout>
      </c:layout>
      <c:barChart>
        <c:barDir val="col"/>
        <c:grouping val="clustered"/>
        <c:varyColors val="0"/>
        <c:ser>
          <c:idx val="0"/>
          <c:order val="0"/>
          <c:tx>
            <c:strRef>
              <c:f>'TA Summary'!$Q$20</c:f>
              <c:strCache>
                <c:ptCount val="1"/>
                <c:pt idx="0">
                  <c:v>Civil</c:v>
                </c:pt>
              </c:strCache>
            </c:strRef>
          </c:tx>
          <c:invertIfNegative val="0"/>
          <c:dLbls>
            <c:dLbl>
              <c:idx val="3"/>
              <c:layout>
                <c:manualLayout>
                  <c:x val="-2.1872265966754156E-7"/>
                  <c:y val="0.12154288532739382"/>
                </c:manualLayout>
              </c:layout>
              <c:dLblPos val="outEnd"/>
              <c:showLegendKey val="0"/>
              <c:showVal val="1"/>
              <c:showCatName val="0"/>
              <c:showSerName val="0"/>
              <c:showPercent val="0"/>
              <c:showBubbleSize val="0"/>
            </c:dLbl>
            <c:txPr>
              <a:bodyPr/>
              <a:lstStyle/>
              <a:p>
                <a:pPr>
                  <a:defRPr b="1">
                    <a:solidFill>
                      <a:schemeClr val="bg1"/>
                    </a:solidFill>
                  </a:defRPr>
                </a:pPr>
                <a:endParaRPr lang="en-US"/>
              </a:p>
            </c:txPr>
            <c:dLblPos val="inEnd"/>
            <c:showLegendKey val="0"/>
            <c:showVal val="1"/>
            <c:showCatName val="0"/>
            <c:showSerName val="0"/>
            <c:showPercent val="0"/>
            <c:showBubbleSize val="0"/>
            <c:showLeaderLines val="0"/>
          </c:dLbls>
          <c:cat>
            <c:strRef>
              <c:f>'TA Summary'!$U$21:$U$25</c:f>
              <c:strCache>
                <c:ptCount val="5"/>
                <c:pt idx="0">
                  <c:v>FY10
(n=442)</c:v>
                </c:pt>
                <c:pt idx="1">
                  <c:v>FY11
(n=424)</c:v>
                </c:pt>
                <c:pt idx="2">
                  <c:v>FY12
(n=400)</c:v>
                </c:pt>
                <c:pt idx="3">
                  <c:v>FY13
(n=423)</c:v>
                </c:pt>
                <c:pt idx="4">
                  <c:v>FY14
(n=434)</c:v>
                </c:pt>
              </c:strCache>
            </c:strRef>
          </c:cat>
          <c:val>
            <c:numRef>
              <c:f>'TA Summary'!$Q$21:$Q$25</c:f>
              <c:numCache>
                <c:formatCode>General</c:formatCode>
                <c:ptCount val="5"/>
                <c:pt idx="0">
                  <c:v>244</c:v>
                </c:pt>
                <c:pt idx="1">
                  <c:v>172</c:v>
                </c:pt>
                <c:pt idx="2">
                  <c:v>174</c:v>
                </c:pt>
                <c:pt idx="3">
                  <c:v>211</c:v>
                </c:pt>
                <c:pt idx="4">
                  <c:v>180</c:v>
                </c:pt>
              </c:numCache>
            </c:numRef>
          </c:val>
        </c:ser>
        <c:ser>
          <c:idx val="1"/>
          <c:order val="1"/>
          <c:tx>
            <c:strRef>
              <c:f>'TA Summary'!$R$20</c:f>
              <c:strCache>
                <c:ptCount val="1"/>
                <c:pt idx="0">
                  <c:v>Pre-trial</c:v>
                </c:pt>
              </c:strCache>
            </c:strRef>
          </c:tx>
          <c:invertIfNegative val="0"/>
          <c:dLbls>
            <c:txPr>
              <a:bodyPr/>
              <a:lstStyle/>
              <a:p>
                <a:pPr>
                  <a:defRPr b="1">
                    <a:solidFill>
                      <a:schemeClr val="bg1"/>
                    </a:solidFill>
                  </a:defRPr>
                </a:pPr>
                <a:endParaRPr lang="en-US"/>
              </a:p>
            </c:txPr>
            <c:dLblPos val="inEnd"/>
            <c:showLegendKey val="0"/>
            <c:showVal val="1"/>
            <c:showCatName val="0"/>
            <c:showSerName val="0"/>
            <c:showPercent val="0"/>
            <c:showBubbleSize val="0"/>
            <c:showLeaderLines val="0"/>
          </c:dLbls>
          <c:cat>
            <c:strRef>
              <c:f>'TA Summary'!$U$21:$U$25</c:f>
              <c:strCache>
                <c:ptCount val="5"/>
                <c:pt idx="0">
                  <c:v>FY10
(n=442)</c:v>
                </c:pt>
                <c:pt idx="1">
                  <c:v>FY11
(n=424)</c:v>
                </c:pt>
                <c:pt idx="2">
                  <c:v>FY12
(n=400)</c:v>
                </c:pt>
                <c:pt idx="3">
                  <c:v>FY13
(n=423)</c:v>
                </c:pt>
                <c:pt idx="4">
                  <c:v>FY14
(n=434)</c:v>
                </c:pt>
              </c:strCache>
            </c:strRef>
          </c:cat>
          <c:val>
            <c:numRef>
              <c:f>'TA Summary'!$R$21:$R$25</c:f>
              <c:numCache>
                <c:formatCode>General</c:formatCode>
                <c:ptCount val="5"/>
                <c:pt idx="0">
                  <c:v>180</c:v>
                </c:pt>
                <c:pt idx="1">
                  <c:v>227</c:v>
                </c:pt>
                <c:pt idx="2">
                  <c:v>205</c:v>
                </c:pt>
                <c:pt idx="3">
                  <c:v>189</c:v>
                </c:pt>
                <c:pt idx="4">
                  <c:v>229</c:v>
                </c:pt>
              </c:numCache>
            </c:numRef>
          </c:val>
        </c:ser>
        <c:ser>
          <c:idx val="2"/>
          <c:order val="2"/>
          <c:tx>
            <c:strRef>
              <c:f>'TA Summary'!$S$20</c:f>
              <c:strCache>
                <c:ptCount val="1"/>
                <c:pt idx="0">
                  <c:v>Post-trial</c:v>
                </c:pt>
              </c:strCache>
            </c:strRef>
          </c:tx>
          <c:invertIfNegative val="0"/>
          <c:dLbls>
            <c:txPr>
              <a:bodyPr/>
              <a:lstStyle/>
              <a:p>
                <a:pPr>
                  <a:defRPr b="1">
                    <a:solidFill>
                      <a:srgbClr val="006600"/>
                    </a:solidFill>
                  </a:defRPr>
                </a:pPr>
                <a:endParaRPr lang="en-US"/>
              </a:p>
            </c:txPr>
            <c:showLegendKey val="0"/>
            <c:showVal val="1"/>
            <c:showCatName val="0"/>
            <c:showSerName val="0"/>
            <c:showPercent val="0"/>
            <c:showBubbleSize val="0"/>
            <c:showLeaderLines val="0"/>
          </c:dLbls>
          <c:cat>
            <c:strRef>
              <c:f>'TA Summary'!$U$21:$U$25</c:f>
              <c:strCache>
                <c:ptCount val="5"/>
                <c:pt idx="0">
                  <c:v>FY10
(n=442)</c:v>
                </c:pt>
                <c:pt idx="1">
                  <c:v>FY11
(n=424)</c:v>
                </c:pt>
                <c:pt idx="2">
                  <c:v>FY12
(n=400)</c:v>
                </c:pt>
                <c:pt idx="3">
                  <c:v>FY13
(n=423)</c:v>
                </c:pt>
                <c:pt idx="4">
                  <c:v>FY14
(n=434)</c:v>
                </c:pt>
              </c:strCache>
            </c:strRef>
          </c:cat>
          <c:val>
            <c:numRef>
              <c:f>'TA Summary'!$S$21:$S$25</c:f>
              <c:numCache>
                <c:formatCode>General</c:formatCode>
                <c:ptCount val="5"/>
                <c:pt idx="0">
                  <c:v>18</c:v>
                </c:pt>
                <c:pt idx="1">
                  <c:v>25</c:v>
                </c:pt>
                <c:pt idx="2">
                  <c:v>21</c:v>
                </c:pt>
                <c:pt idx="3">
                  <c:v>23</c:v>
                </c:pt>
                <c:pt idx="4">
                  <c:v>25</c:v>
                </c:pt>
              </c:numCache>
            </c:numRef>
          </c:val>
        </c:ser>
        <c:dLbls>
          <c:showLegendKey val="0"/>
          <c:showVal val="0"/>
          <c:showCatName val="0"/>
          <c:showSerName val="0"/>
          <c:showPercent val="0"/>
          <c:showBubbleSize val="0"/>
        </c:dLbls>
        <c:gapWidth val="50"/>
        <c:axId val="238764032"/>
        <c:axId val="171823616"/>
      </c:barChart>
      <c:catAx>
        <c:axId val="238764032"/>
        <c:scaling>
          <c:orientation val="minMax"/>
        </c:scaling>
        <c:delete val="0"/>
        <c:axPos val="b"/>
        <c:majorTickMark val="out"/>
        <c:minorTickMark val="none"/>
        <c:tickLblPos val="nextTo"/>
        <c:txPr>
          <a:bodyPr/>
          <a:lstStyle/>
          <a:p>
            <a:pPr>
              <a:defRPr sz="1100" b="1"/>
            </a:pPr>
            <a:endParaRPr lang="en-US"/>
          </a:p>
        </c:txPr>
        <c:crossAx val="171823616"/>
        <c:crosses val="autoZero"/>
        <c:auto val="1"/>
        <c:lblAlgn val="ctr"/>
        <c:lblOffset val="100"/>
        <c:noMultiLvlLbl val="0"/>
      </c:catAx>
      <c:valAx>
        <c:axId val="171823616"/>
        <c:scaling>
          <c:orientation val="minMax"/>
          <c:max val="250"/>
          <c:min val="0"/>
        </c:scaling>
        <c:delete val="0"/>
        <c:axPos val="l"/>
        <c:numFmt formatCode="General" sourceLinked="1"/>
        <c:majorTickMark val="none"/>
        <c:minorTickMark val="none"/>
        <c:tickLblPos val="none"/>
        <c:spPr>
          <a:ln>
            <a:noFill/>
          </a:ln>
        </c:spPr>
        <c:crossAx val="238764032"/>
        <c:crosses val="autoZero"/>
        <c:crossBetween val="between"/>
      </c:valAx>
    </c:plotArea>
    <c:legend>
      <c:legendPos val="r"/>
      <c:legendEntry>
        <c:idx val="0"/>
        <c:txPr>
          <a:bodyPr/>
          <a:lstStyle/>
          <a:p>
            <a:pPr>
              <a:defRPr sz="900" b="1">
                <a:solidFill>
                  <a:schemeClr val="tx2"/>
                </a:solidFill>
              </a:defRPr>
            </a:pPr>
            <a:endParaRPr lang="en-US"/>
          </a:p>
        </c:txPr>
      </c:legendEntry>
      <c:legendEntry>
        <c:idx val="1"/>
        <c:txPr>
          <a:bodyPr/>
          <a:lstStyle/>
          <a:p>
            <a:pPr>
              <a:defRPr sz="900" b="1">
                <a:solidFill>
                  <a:schemeClr val="accent2">
                    <a:lumMod val="75000"/>
                  </a:schemeClr>
                </a:solidFill>
              </a:defRPr>
            </a:pPr>
            <a:endParaRPr lang="en-US"/>
          </a:p>
        </c:txPr>
      </c:legendEntry>
      <c:legendEntry>
        <c:idx val="2"/>
        <c:txPr>
          <a:bodyPr/>
          <a:lstStyle/>
          <a:p>
            <a:pPr>
              <a:defRPr sz="900" b="1">
                <a:solidFill>
                  <a:srgbClr val="006600"/>
                </a:solidFill>
              </a:defRPr>
            </a:pPr>
            <a:endParaRPr lang="en-US"/>
          </a:p>
        </c:txPr>
      </c:legendEntry>
      <c:layout>
        <c:manualLayout>
          <c:xMode val="edge"/>
          <c:yMode val="edge"/>
          <c:x val="0"/>
          <c:y val="1.0424644307187363E-2"/>
          <c:w val="0.94127652630471348"/>
          <c:h val="0.13139836038247871"/>
        </c:manualLayout>
      </c:layout>
      <c:overlay val="0"/>
      <c:txPr>
        <a:bodyPr/>
        <a:lstStyle/>
        <a:p>
          <a:pPr>
            <a:defRPr sz="900" b="1"/>
          </a:pPr>
          <a:endParaRPr lang="en-US"/>
        </a:p>
      </c:txPr>
    </c:legend>
    <c:plotVisOnly val="1"/>
    <c:dispBlanksAs val="gap"/>
    <c:showDLblsOverMax val="0"/>
  </c:chart>
  <c:spPr>
    <a:ln>
      <a:noFill/>
    </a:ln>
  </c:sp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505069509773179E-2"/>
          <c:y val="9.4287153090992129E-2"/>
          <c:w val="0.91643432360332833"/>
          <c:h val="0.64121671790425516"/>
        </c:manualLayout>
      </c:layout>
      <c:barChart>
        <c:barDir val="col"/>
        <c:grouping val="clustered"/>
        <c:varyColors val="0"/>
        <c:ser>
          <c:idx val="0"/>
          <c:order val="0"/>
          <c:tx>
            <c:strRef>
              <c:f>'T-Details'!$BM$66</c:f>
              <c:strCache>
                <c:ptCount val="1"/>
                <c:pt idx="0">
                  <c:v>SEH</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c:spPr>
          <c:invertIfNegative val="0"/>
          <c:dLbls>
            <c:txPr>
              <a:bodyPr/>
              <a:lstStyle/>
              <a:p>
                <a:pPr>
                  <a:defRPr sz="1000" b="1">
                    <a:solidFill>
                      <a:schemeClr val="tx2"/>
                    </a:solidFill>
                  </a:defRPr>
                </a:pPr>
                <a:endParaRPr lang="en-US"/>
              </a:p>
            </c:txPr>
            <c:showLegendKey val="0"/>
            <c:showVal val="1"/>
            <c:showCatName val="0"/>
            <c:showSerName val="0"/>
            <c:showPercent val="0"/>
            <c:showBubbleSize val="0"/>
            <c:showLeaderLines val="0"/>
          </c:dLbls>
          <c:cat>
            <c:strRef>
              <c:f>'T-Details'!$BL$67:$BL$68</c:f>
              <c:strCache>
                <c:ptCount val="2"/>
                <c:pt idx="0">
                  <c:v>Percentage of Patients Restrained</c:v>
                </c:pt>
                <c:pt idx="1">
                  <c:v>Percentage of Patients Secluded</c:v>
                </c:pt>
              </c:strCache>
            </c:strRef>
          </c:cat>
          <c:val>
            <c:numRef>
              <c:f>'T-Details'!$BM$67:$BM$68</c:f>
              <c:numCache>
                <c:formatCode>0.0%</c:formatCode>
                <c:ptCount val="2"/>
                <c:pt idx="0">
                  <c:v>4.3617881644799836E-3</c:v>
                </c:pt>
                <c:pt idx="1">
                  <c:v>2.1032028647031815E-2</c:v>
                </c:pt>
              </c:numCache>
            </c:numRef>
          </c:val>
        </c:ser>
        <c:ser>
          <c:idx val="1"/>
          <c:order val="1"/>
          <c:tx>
            <c:strRef>
              <c:f>'T-Details'!$BN$66</c:f>
              <c:strCache>
                <c:ptCount val="1"/>
                <c:pt idx="0">
                  <c:v>NPR</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c:spPr>
          <c:invertIfNegative val="0"/>
          <c:dLbls>
            <c:txPr>
              <a:bodyPr/>
              <a:lstStyle/>
              <a:p>
                <a:pPr>
                  <a:defRPr b="1">
                    <a:solidFill>
                      <a:schemeClr val="accent3">
                        <a:lumMod val="50000"/>
                      </a:schemeClr>
                    </a:solidFill>
                  </a:defRPr>
                </a:pPr>
                <a:endParaRPr lang="en-US"/>
              </a:p>
            </c:txPr>
            <c:showLegendKey val="0"/>
            <c:showVal val="1"/>
            <c:showCatName val="0"/>
            <c:showSerName val="0"/>
            <c:showPercent val="0"/>
            <c:showBubbleSize val="0"/>
            <c:showLeaderLines val="0"/>
          </c:dLbls>
          <c:cat>
            <c:strRef>
              <c:f>'T-Details'!$BL$67:$BL$68</c:f>
              <c:strCache>
                <c:ptCount val="2"/>
                <c:pt idx="0">
                  <c:v>Percentage of Patients Restrained</c:v>
                </c:pt>
                <c:pt idx="1">
                  <c:v>Percentage of Patients Secluded</c:v>
                </c:pt>
              </c:strCache>
            </c:strRef>
          </c:cat>
          <c:val>
            <c:numRef>
              <c:f>'T-Details'!$BN$67:$BN$68</c:f>
              <c:numCache>
                <c:formatCode>0.0%</c:formatCode>
                <c:ptCount val="2"/>
                <c:pt idx="0">
                  <c:v>5.8400000000000001E-2</c:v>
                </c:pt>
                <c:pt idx="1">
                  <c:v>2.4299999999999999E-2</c:v>
                </c:pt>
              </c:numCache>
            </c:numRef>
          </c:val>
        </c:ser>
        <c:dLbls>
          <c:showLegendKey val="0"/>
          <c:showVal val="0"/>
          <c:showCatName val="0"/>
          <c:showSerName val="0"/>
          <c:showPercent val="0"/>
          <c:showBubbleSize val="0"/>
        </c:dLbls>
        <c:gapWidth val="50"/>
        <c:axId val="378482688"/>
        <c:axId val="285939904"/>
      </c:barChart>
      <c:catAx>
        <c:axId val="378482688"/>
        <c:scaling>
          <c:orientation val="minMax"/>
        </c:scaling>
        <c:delete val="0"/>
        <c:axPos val="b"/>
        <c:majorTickMark val="out"/>
        <c:minorTickMark val="none"/>
        <c:tickLblPos val="nextTo"/>
        <c:txPr>
          <a:bodyPr/>
          <a:lstStyle/>
          <a:p>
            <a:pPr>
              <a:defRPr b="1"/>
            </a:pPr>
            <a:endParaRPr lang="en-US"/>
          </a:p>
        </c:txPr>
        <c:crossAx val="285939904"/>
        <c:crosses val="autoZero"/>
        <c:auto val="1"/>
        <c:lblAlgn val="ctr"/>
        <c:lblOffset val="100"/>
        <c:noMultiLvlLbl val="0"/>
      </c:catAx>
      <c:valAx>
        <c:axId val="285939904"/>
        <c:scaling>
          <c:orientation val="minMax"/>
          <c:max val="6.0000000000000012E-2"/>
        </c:scaling>
        <c:delete val="0"/>
        <c:axPos val="l"/>
        <c:numFmt formatCode="0.0%" sourceLinked="1"/>
        <c:majorTickMark val="none"/>
        <c:minorTickMark val="none"/>
        <c:tickLblPos val="none"/>
        <c:spPr>
          <a:ln>
            <a:noFill/>
          </a:ln>
        </c:spPr>
        <c:crossAx val="378482688"/>
        <c:crosses val="autoZero"/>
        <c:crossBetween val="between"/>
      </c:valAx>
    </c:plotArea>
    <c:legend>
      <c:legendPos val="r"/>
      <c:legendEntry>
        <c:idx val="0"/>
        <c:txPr>
          <a:bodyPr/>
          <a:lstStyle/>
          <a:p>
            <a:pPr>
              <a:defRPr b="1">
                <a:solidFill>
                  <a:schemeClr val="tx2"/>
                </a:solidFill>
              </a:defRPr>
            </a:pPr>
            <a:endParaRPr lang="en-US"/>
          </a:p>
        </c:txPr>
      </c:legendEntry>
      <c:legendEntry>
        <c:idx val="1"/>
        <c:txPr>
          <a:bodyPr/>
          <a:lstStyle/>
          <a:p>
            <a:pPr>
              <a:defRPr b="1">
                <a:solidFill>
                  <a:schemeClr val="accent3">
                    <a:lumMod val="50000"/>
                  </a:schemeClr>
                </a:solidFill>
              </a:defRPr>
            </a:pPr>
            <a:endParaRPr lang="en-US"/>
          </a:p>
        </c:txPr>
      </c:legendEntry>
      <c:layout>
        <c:manualLayout>
          <c:xMode val="edge"/>
          <c:yMode val="edge"/>
          <c:x val="0.66811469226189668"/>
          <c:y val="0.10609762321376495"/>
          <c:w val="0.24904336010107209"/>
          <c:h val="0.19387943330368687"/>
        </c:manualLayout>
      </c:layout>
      <c:overlay val="0"/>
    </c:legend>
    <c:plotVisOnly val="1"/>
    <c:dispBlanksAs val="gap"/>
    <c:showDLblsOverMax val="0"/>
  </c:chart>
  <c:spPr>
    <a:ln>
      <a:noFill/>
    </a:ln>
  </c:sp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505069509773179E-2"/>
          <c:y val="5.1400554097404488E-2"/>
          <c:w val="0.91643432360332833"/>
          <c:h val="0.74307279480327171"/>
        </c:manualLayout>
      </c:layout>
      <c:barChart>
        <c:barDir val="col"/>
        <c:grouping val="clustered"/>
        <c:varyColors val="0"/>
        <c:ser>
          <c:idx val="0"/>
          <c:order val="0"/>
          <c:tx>
            <c:strRef>
              <c:f>'T-Details'!$BM$66</c:f>
              <c:strCache>
                <c:ptCount val="1"/>
                <c:pt idx="0">
                  <c:v>SEH</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c:spPr>
          <c:invertIfNegative val="0"/>
          <c:dLbls>
            <c:numFmt formatCode="#,##0.00" sourceLinked="0"/>
            <c:txPr>
              <a:bodyPr/>
              <a:lstStyle/>
              <a:p>
                <a:pPr>
                  <a:defRPr sz="1000" b="1">
                    <a:solidFill>
                      <a:schemeClr val="tx2"/>
                    </a:solidFill>
                  </a:defRPr>
                </a:pPr>
                <a:endParaRPr lang="en-US"/>
              </a:p>
            </c:txPr>
            <c:showLegendKey val="0"/>
            <c:showVal val="1"/>
            <c:showCatName val="0"/>
            <c:showSerName val="0"/>
            <c:showPercent val="0"/>
            <c:showBubbleSize val="0"/>
            <c:showLeaderLines val="0"/>
          </c:dLbls>
          <c:cat>
            <c:strRef>
              <c:f>'T-Details'!$BL$69:$BL$70</c:f>
              <c:strCache>
                <c:ptCount val="2"/>
                <c:pt idx="0">
                  <c:v>Restraint Hours Rate</c:v>
                </c:pt>
                <c:pt idx="1">
                  <c:v>Seclusion Hours Rate</c:v>
                </c:pt>
              </c:strCache>
            </c:strRef>
          </c:cat>
          <c:val>
            <c:numRef>
              <c:f>'T-Details'!$BM$69:$BM$70</c:f>
              <c:numCache>
                <c:formatCode>0.000</c:formatCode>
                <c:ptCount val="2"/>
                <c:pt idx="0">
                  <c:v>2.9949067096304766E-2</c:v>
                </c:pt>
                <c:pt idx="1">
                  <c:v>7.2847911577707328E-2</c:v>
                </c:pt>
              </c:numCache>
            </c:numRef>
          </c:val>
        </c:ser>
        <c:ser>
          <c:idx val="1"/>
          <c:order val="1"/>
          <c:tx>
            <c:strRef>
              <c:f>'T-Details'!$BN$66</c:f>
              <c:strCache>
                <c:ptCount val="1"/>
                <c:pt idx="0">
                  <c:v>NPR</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c:spPr>
          <c:invertIfNegative val="0"/>
          <c:dLbls>
            <c:txPr>
              <a:bodyPr/>
              <a:lstStyle/>
              <a:p>
                <a:pPr>
                  <a:defRPr b="1">
                    <a:solidFill>
                      <a:schemeClr val="accent3">
                        <a:lumMod val="50000"/>
                      </a:schemeClr>
                    </a:solidFill>
                  </a:defRPr>
                </a:pPr>
                <a:endParaRPr lang="en-US"/>
              </a:p>
            </c:txPr>
            <c:showLegendKey val="0"/>
            <c:showVal val="1"/>
            <c:showCatName val="0"/>
            <c:showSerName val="0"/>
            <c:showPercent val="0"/>
            <c:showBubbleSize val="0"/>
            <c:showLeaderLines val="0"/>
          </c:dLbls>
          <c:cat>
            <c:strRef>
              <c:f>'T-Details'!$BL$69:$BL$70</c:f>
              <c:strCache>
                <c:ptCount val="2"/>
                <c:pt idx="0">
                  <c:v>Restraint Hours Rate</c:v>
                </c:pt>
                <c:pt idx="1">
                  <c:v>Seclusion Hours Rate</c:v>
                </c:pt>
              </c:strCache>
            </c:strRef>
          </c:cat>
          <c:val>
            <c:numRef>
              <c:f>'T-Details'!$BN$69:$BN$70</c:f>
              <c:numCache>
                <c:formatCode>0.00</c:formatCode>
                <c:ptCount val="2"/>
                <c:pt idx="0">
                  <c:v>0.71</c:v>
                </c:pt>
                <c:pt idx="1">
                  <c:v>0.44</c:v>
                </c:pt>
              </c:numCache>
            </c:numRef>
          </c:val>
        </c:ser>
        <c:dLbls>
          <c:showLegendKey val="0"/>
          <c:showVal val="0"/>
          <c:showCatName val="0"/>
          <c:showSerName val="0"/>
          <c:showPercent val="0"/>
          <c:showBubbleSize val="0"/>
        </c:dLbls>
        <c:gapWidth val="50"/>
        <c:axId val="378484224"/>
        <c:axId val="286023680"/>
      </c:barChart>
      <c:catAx>
        <c:axId val="378484224"/>
        <c:scaling>
          <c:orientation val="minMax"/>
        </c:scaling>
        <c:delete val="0"/>
        <c:axPos val="b"/>
        <c:majorTickMark val="out"/>
        <c:minorTickMark val="none"/>
        <c:tickLblPos val="nextTo"/>
        <c:txPr>
          <a:bodyPr/>
          <a:lstStyle/>
          <a:p>
            <a:pPr>
              <a:defRPr b="1"/>
            </a:pPr>
            <a:endParaRPr lang="en-US"/>
          </a:p>
        </c:txPr>
        <c:crossAx val="286023680"/>
        <c:crosses val="autoZero"/>
        <c:auto val="1"/>
        <c:lblAlgn val="ctr"/>
        <c:lblOffset val="100"/>
        <c:noMultiLvlLbl val="0"/>
      </c:catAx>
      <c:valAx>
        <c:axId val="286023680"/>
        <c:scaling>
          <c:orientation val="minMax"/>
          <c:max val="0.8"/>
        </c:scaling>
        <c:delete val="0"/>
        <c:axPos val="l"/>
        <c:numFmt formatCode="0.000" sourceLinked="1"/>
        <c:majorTickMark val="none"/>
        <c:minorTickMark val="none"/>
        <c:tickLblPos val="none"/>
        <c:spPr>
          <a:ln>
            <a:noFill/>
          </a:ln>
        </c:spPr>
        <c:crossAx val="378484224"/>
        <c:crosses val="autoZero"/>
        <c:crossBetween val="between"/>
      </c:valAx>
    </c:plotArea>
    <c:legend>
      <c:legendPos val="r"/>
      <c:legendEntry>
        <c:idx val="0"/>
        <c:txPr>
          <a:bodyPr/>
          <a:lstStyle/>
          <a:p>
            <a:pPr>
              <a:defRPr b="1">
                <a:solidFill>
                  <a:schemeClr val="tx2"/>
                </a:solidFill>
              </a:defRPr>
            </a:pPr>
            <a:endParaRPr lang="en-US"/>
          </a:p>
        </c:txPr>
      </c:legendEntry>
      <c:legendEntry>
        <c:idx val="1"/>
        <c:txPr>
          <a:bodyPr/>
          <a:lstStyle/>
          <a:p>
            <a:pPr>
              <a:defRPr b="1">
                <a:solidFill>
                  <a:schemeClr val="accent3">
                    <a:lumMod val="50000"/>
                  </a:schemeClr>
                </a:solidFill>
              </a:defRPr>
            </a:pPr>
            <a:endParaRPr lang="en-US"/>
          </a:p>
        </c:txPr>
      </c:legendEntry>
      <c:layout>
        <c:manualLayout>
          <c:xMode val="edge"/>
          <c:yMode val="edge"/>
          <c:x val="0.71140207961243584"/>
          <c:y val="2.5684784778911528E-2"/>
          <c:w val="0.24904336010107209"/>
          <c:h val="0.19387943330368687"/>
        </c:manualLayout>
      </c:layout>
      <c:overlay val="0"/>
    </c:legend>
    <c:plotVisOnly val="1"/>
    <c:dispBlanksAs val="gap"/>
    <c:showDLblsOverMax val="0"/>
  </c:chart>
  <c:spPr>
    <a:ln>
      <a:noFill/>
    </a:ln>
  </c:sp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3.9333947854543569E-2"/>
          <c:y val="5.8821075313184104E-2"/>
          <c:w val="0.73155092566884727"/>
          <c:h val="0.79875528659354267"/>
        </c:manualLayout>
      </c:layout>
      <c:areaChart>
        <c:grouping val="standard"/>
        <c:varyColors val="0"/>
        <c:ser>
          <c:idx val="6"/>
          <c:order val="0"/>
          <c:tx>
            <c:v>Average Daily Census</c:v>
          </c:tx>
          <c:spPr>
            <a:solidFill>
              <a:schemeClr val="bg1">
                <a:lumMod val="50000"/>
                <a:alpha val="50000"/>
              </a:schemeClr>
            </a:solidFill>
            <a:ln>
              <a:noFill/>
            </a:ln>
          </c:spPr>
          <c:cat>
            <c:numRef>
              <c:f>Summary!$AM$5:$AX$5</c:f>
              <c:numCache>
                <c:formatCode>mmm\-yy</c:formatCode>
                <c:ptCount val="12"/>
                <c:pt idx="0">
                  <c:v>41548</c:v>
                </c:pt>
                <c:pt idx="1">
                  <c:v>41579</c:v>
                </c:pt>
                <c:pt idx="2">
                  <c:v>41609</c:v>
                </c:pt>
                <c:pt idx="3">
                  <c:v>41640</c:v>
                </c:pt>
                <c:pt idx="4">
                  <c:v>41671</c:v>
                </c:pt>
                <c:pt idx="5">
                  <c:v>41699</c:v>
                </c:pt>
                <c:pt idx="6">
                  <c:v>41730</c:v>
                </c:pt>
                <c:pt idx="7">
                  <c:v>41760</c:v>
                </c:pt>
                <c:pt idx="8">
                  <c:v>41791</c:v>
                </c:pt>
                <c:pt idx="9">
                  <c:v>41821</c:v>
                </c:pt>
                <c:pt idx="10">
                  <c:v>41852</c:v>
                </c:pt>
                <c:pt idx="11">
                  <c:v>41883</c:v>
                </c:pt>
              </c:numCache>
            </c:numRef>
          </c:cat>
          <c:val>
            <c:numRef>
              <c:f>Summary!$AM$23:$AX$23</c:f>
              <c:numCache>
                <c:formatCode>0</c:formatCode>
                <c:ptCount val="12"/>
                <c:pt idx="0">
                  <c:v>261.32258064516128</c:v>
                </c:pt>
                <c:pt idx="1">
                  <c:v>254.96666666666667</c:v>
                </c:pt>
                <c:pt idx="2">
                  <c:v>253.03225806451613</c:v>
                </c:pt>
                <c:pt idx="3">
                  <c:v>270.77419354838707</c:v>
                </c:pt>
                <c:pt idx="4">
                  <c:v>268.35714285714283</c:v>
                </c:pt>
                <c:pt idx="5">
                  <c:v>261.77419354838707</c:v>
                </c:pt>
                <c:pt idx="6">
                  <c:v>260</c:v>
                </c:pt>
                <c:pt idx="7">
                  <c:v>264</c:v>
                </c:pt>
                <c:pt idx="8">
                  <c:v>265</c:v>
                </c:pt>
                <c:pt idx="9">
                  <c:v>261</c:v>
                </c:pt>
                <c:pt idx="10">
                  <c:v>267</c:v>
                </c:pt>
                <c:pt idx="11">
                  <c:v>278</c:v>
                </c:pt>
              </c:numCache>
            </c:numRef>
          </c:val>
        </c:ser>
        <c:dLbls>
          <c:showLegendKey val="0"/>
          <c:showVal val="0"/>
          <c:showCatName val="0"/>
          <c:showSerName val="0"/>
          <c:showPercent val="0"/>
          <c:showBubbleSize val="0"/>
        </c:dLbls>
        <c:axId val="378483712"/>
        <c:axId val="286025984"/>
      </c:areaChart>
      <c:barChart>
        <c:barDir val="col"/>
        <c:grouping val="clustered"/>
        <c:varyColors val="0"/>
        <c:ser>
          <c:idx val="2"/>
          <c:order val="3"/>
          <c:tx>
            <c:v>Admissions</c:v>
          </c:tx>
          <c:spPr>
            <a:solidFill>
              <a:srgbClr val="FFFF00">
                <a:alpha val="40000"/>
              </a:srgbClr>
            </a:solidFill>
          </c:spPr>
          <c:invertIfNegative val="0"/>
          <c:cat>
            <c:numRef>
              <c:f>Summary!$AM$5:$AX$5</c:f>
              <c:numCache>
                <c:formatCode>mmm\-yy</c:formatCode>
                <c:ptCount val="12"/>
                <c:pt idx="0">
                  <c:v>41548</c:v>
                </c:pt>
                <c:pt idx="1">
                  <c:v>41579</c:v>
                </c:pt>
                <c:pt idx="2">
                  <c:v>41609</c:v>
                </c:pt>
                <c:pt idx="3">
                  <c:v>41640</c:v>
                </c:pt>
                <c:pt idx="4">
                  <c:v>41671</c:v>
                </c:pt>
                <c:pt idx="5">
                  <c:v>41699</c:v>
                </c:pt>
                <c:pt idx="6">
                  <c:v>41730</c:v>
                </c:pt>
                <c:pt idx="7">
                  <c:v>41760</c:v>
                </c:pt>
                <c:pt idx="8">
                  <c:v>41791</c:v>
                </c:pt>
                <c:pt idx="9">
                  <c:v>41821</c:v>
                </c:pt>
                <c:pt idx="10">
                  <c:v>41852</c:v>
                </c:pt>
                <c:pt idx="11">
                  <c:v>41883</c:v>
                </c:pt>
              </c:numCache>
            </c:numRef>
          </c:cat>
          <c:val>
            <c:numRef>
              <c:f>Summary!$AM$24:$AX$24</c:f>
              <c:numCache>
                <c:formatCode>0</c:formatCode>
                <c:ptCount val="12"/>
                <c:pt idx="0">
                  <c:v>31</c:v>
                </c:pt>
                <c:pt idx="1">
                  <c:v>32</c:v>
                </c:pt>
                <c:pt idx="2">
                  <c:v>31</c:v>
                </c:pt>
                <c:pt idx="3">
                  <c:v>40</c:v>
                </c:pt>
                <c:pt idx="4">
                  <c:v>27</c:v>
                </c:pt>
                <c:pt idx="5">
                  <c:v>31</c:v>
                </c:pt>
                <c:pt idx="6">
                  <c:v>55</c:v>
                </c:pt>
                <c:pt idx="7">
                  <c:v>38</c:v>
                </c:pt>
                <c:pt idx="8">
                  <c:v>32</c:v>
                </c:pt>
                <c:pt idx="9">
                  <c:v>38</c:v>
                </c:pt>
                <c:pt idx="10">
                  <c:v>42</c:v>
                </c:pt>
                <c:pt idx="11">
                  <c:v>37</c:v>
                </c:pt>
              </c:numCache>
            </c:numRef>
          </c:val>
        </c:ser>
        <c:dLbls>
          <c:showLegendKey val="0"/>
          <c:showVal val="0"/>
          <c:showCatName val="0"/>
          <c:showSerName val="0"/>
          <c:showPercent val="0"/>
          <c:showBubbleSize val="0"/>
        </c:dLbls>
        <c:gapWidth val="30"/>
        <c:axId val="378485760"/>
        <c:axId val="286025408"/>
      </c:barChart>
      <c:lineChart>
        <c:grouping val="standard"/>
        <c:varyColors val="0"/>
        <c:ser>
          <c:idx val="0"/>
          <c:order val="1"/>
          <c:tx>
            <c:strRef>
              <c:f>Summary!$A$59</c:f>
              <c:strCache>
                <c:ptCount val="1"/>
                <c:pt idx="0">
                  <c:v>Aggressive Behavior</c:v>
                </c:pt>
              </c:strCache>
            </c:strRef>
          </c:tx>
          <c:spPr>
            <a:ln w="28575"/>
          </c:spPr>
          <c:marker>
            <c:symbol val="diamond"/>
            <c:size val="8"/>
          </c:marker>
          <c:dLbls>
            <c:delete val="1"/>
          </c:dLbls>
          <c:cat>
            <c:numRef>
              <c:f>Summary!$AM$5:$AX$5</c:f>
              <c:numCache>
                <c:formatCode>mmm\-yy</c:formatCode>
                <c:ptCount val="12"/>
                <c:pt idx="0">
                  <c:v>41548</c:v>
                </c:pt>
                <c:pt idx="1">
                  <c:v>41579</c:v>
                </c:pt>
                <c:pt idx="2">
                  <c:v>41609</c:v>
                </c:pt>
                <c:pt idx="3">
                  <c:v>41640</c:v>
                </c:pt>
                <c:pt idx="4">
                  <c:v>41671</c:v>
                </c:pt>
                <c:pt idx="5">
                  <c:v>41699</c:v>
                </c:pt>
                <c:pt idx="6">
                  <c:v>41730</c:v>
                </c:pt>
                <c:pt idx="7">
                  <c:v>41760</c:v>
                </c:pt>
                <c:pt idx="8">
                  <c:v>41791</c:v>
                </c:pt>
                <c:pt idx="9">
                  <c:v>41821</c:v>
                </c:pt>
                <c:pt idx="10">
                  <c:v>41852</c:v>
                </c:pt>
                <c:pt idx="11">
                  <c:v>41883</c:v>
                </c:pt>
              </c:numCache>
            </c:numRef>
          </c:cat>
          <c:val>
            <c:numRef>
              <c:f>Summary!$AM$59:$AX$59</c:f>
              <c:numCache>
                <c:formatCode>General</c:formatCode>
                <c:ptCount val="12"/>
                <c:pt idx="0">
                  <c:v>45</c:v>
                </c:pt>
                <c:pt idx="1">
                  <c:v>45</c:v>
                </c:pt>
                <c:pt idx="2">
                  <c:v>49</c:v>
                </c:pt>
                <c:pt idx="3">
                  <c:v>68</c:v>
                </c:pt>
                <c:pt idx="4">
                  <c:v>48</c:v>
                </c:pt>
                <c:pt idx="5">
                  <c:v>65</c:v>
                </c:pt>
                <c:pt idx="6">
                  <c:v>61</c:v>
                </c:pt>
                <c:pt idx="7">
                  <c:v>57</c:v>
                </c:pt>
                <c:pt idx="8">
                  <c:v>61</c:v>
                </c:pt>
                <c:pt idx="9">
                  <c:v>70</c:v>
                </c:pt>
                <c:pt idx="10">
                  <c:v>102</c:v>
                </c:pt>
                <c:pt idx="11">
                  <c:v>63</c:v>
                </c:pt>
              </c:numCache>
            </c:numRef>
          </c:val>
          <c:smooth val="1"/>
        </c:ser>
        <c:ser>
          <c:idx val="1"/>
          <c:order val="2"/>
          <c:tx>
            <c:strRef>
              <c:f>Summary!$A$71</c:f>
              <c:strCache>
                <c:ptCount val="1"/>
                <c:pt idx="0">
                  <c:v>Physical Assault</c:v>
                </c:pt>
              </c:strCache>
            </c:strRef>
          </c:tx>
          <c:spPr>
            <a:ln w="31750"/>
          </c:spPr>
          <c:dLbls>
            <c:delete val="1"/>
          </c:dLbls>
          <c:cat>
            <c:numRef>
              <c:f>Summary!$AM$5:$AX$5</c:f>
              <c:numCache>
                <c:formatCode>mmm\-yy</c:formatCode>
                <c:ptCount val="12"/>
                <c:pt idx="0">
                  <c:v>41548</c:v>
                </c:pt>
                <c:pt idx="1">
                  <c:v>41579</c:v>
                </c:pt>
                <c:pt idx="2">
                  <c:v>41609</c:v>
                </c:pt>
                <c:pt idx="3">
                  <c:v>41640</c:v>
                </c:pt>
                <c:pt idx="4">
                  <c:v>41671</c:v>
                </c:pt>
                <c:pt idx="5">
                  <c:v>41699</c:v>
                </c:pt>
                <c:pt idx="6">
                  <c:v>41730</c:v>
                </c:pt>
                <c:pt idx="7">
                  <c:v>41760</c:v>
                </c:pt>
                <c:pt idx="8">
                  <c:v>41791</c:v>
                </c:pt>
                <c:pt idx="9">
                  <c:v>41821</c:v>
                </c:pt>
                <c:pt idx="10">
                  <c:v>41852</c:v>
                </c:pt>
                <c:pt idx="11">
                  <c:v>41883</c:v>
                </c:pt>
              </c:numCache>
            </c:numRef>
          </c:cat>
          <c:val>
            <c:numRef>
              <c:f>Summary!$AM$71:$AX$71</c:f>
              <c:numCache>
                <c:formatCode>General</c:formatCode>
                <c:ptCount val="12"/>
                <c:pt idx="0">
                  <c:v>42</c:v>
                </c:pt>
                <c:pt idx="1">
                  <c:v>43</c:v>
                </c:pt>
                <c:pt idx="2">
                  <c:v>46</c:v>
                </c:pt>
                <c:pt idx="3">
                  <c:v>54</c:v>
                </c:pt>
                <c:pt idx="4">
                  <c:v>41</c:v>
                </c:pt>
                <c:pt idx="5">
                  <c:v>40</c:v>
                </c:pt>
                <c:pt idx="6">
                  <c:v>64</c:v>
                </c:pt>
                <c:pt idx="7">
                  <c:v>55</c:v>
                </c:pt>
                <c:pt idx="8">
                  <c:v>36</c:v>
                </c:pt>
                <c:pt idx="9">
                  <c:v>38</c:v>
                </c:pt>
                <c:pt idx="10">
                  <c:v>50</c:v>
                </c:pt>
                <c:pt idx="11">
                  <c:v>44</c:v>
                </c:pt>
              </c:numCache>
            </c:numRef>
          </c:val>
          <c:smooth val="1"/>
        </c:ser>
        <c:dLbls>
          <c:showLegendKey val="0"/>
          <c:showVal val="1"/>
          <c:showCatName val="0"/>
          <c:showSerName val="0"/>
          <c:showPercent val="0"/>
          <c:showBubbleSize val="0"/>
        </c:dLbls>
        <c:marker val="1"/>
        <c:smooth val="0"/>
        <c:axId val="378485760"/>
        <c:axId val="286025408"/>
      </c:lineChart>
      <c:dateAx>
        <c:axId val="378485760"/>
        <c:scaling>
          <c:orientation val="minMax"/>
        </c:scaling>
        <c:delete val="0"/>
        <c:axPos val="b"/>
        <c:numFmt formatCode="[$-409]mmm\-yy;@" sourceLinked="0"/>
        <c:majorTickMark val="none"/>
        <c:minorTickMark val="none"/>
        <c:tickLblPos val="nextTo"/>
        <c:txPr>
          <a:bodyPr rot="0" vert="horz"/>
          <a:lstStyle/>
          <a:p>
            <a:pPr>
              <a:defRPr/>
            </a:pPr>
            <a:endParaRPr lang="en-US"/>
          </a:p>
        </c:txPr>
        <c:crossAx val="286025408"/>
        <c:crossesAt val="0"/>
        <c:auto val="1"/>
        <c:lblOffset val="100"/>
        <c:baseTimeUnit val="months"/>
        <c:majorUnit val="1"/>
        <c:majorTimeUnit val="months"/>
        <c:minorUnit val="1"/>
        <c:minorTimeUnit val="months"/>
      </c:dateAx>
      <c:valAx>
        <c:axId val="286025408"/>
        <c:scaling>
          <c:orientation val="minMax"/>
          <c:max val="110"/>
          <c:min val="0"/>
        </c:scaling>
        <c:delete val="0"/>
        <c:axPos val="l"/>
        <c:majorGridlines>
          <c:spPr>
            <a:ln>
              <a:solidFill>
                <a:schemeClr val="bg1">
                  <a:lumMod val="65000"/>
                </a:schemeClr>
              </a:solidFill>
            </a:ln>
          </c:spPr>
        </c:majorGridlines>
        <c:title>
          <c:tx>
            <c:rich>
              <a:bodyPr rot="-5400000" vert="horz"/>
              <a:lstStyle/>
              <a:p>
                <a:pPr>
                  <a:defRPr>
                    <a:gradFill>
                      <a:gsLst>
                        <a:gs pos="0">
                          <a:schemeClr val="tx2"/>
                        </a:gs>
                        <a:gs pos="50000">
                          <a:schemeClr val="accent3">
                            <a:lumMod val="75000"/>
                          </a:schemeClr>
                        </a:gs>
                        <a:gs pos="100000">
                          <a:srgbClr val="C00000"/>
                        </a:gs>
                      </a:gsLst>
                      <a:lin ang="5400000" scaled="0"/>
                    </a:gradFill>
                    <a:effectLst>
                      <a:glow rad="63500">
                        <a:srgbClr val="FFFF00"/>
                      </a:glow>
                    </a:effectLst>
                  </a:defRPr>
                </a:pPr>
                <a:r>
                  <a:rPr lang="en-US">
                    <a:gradFill>
                      <a:gsLst>
                        <a:gs pos="0">
                          <a:schemeClr val="tx2"/>
                        </a:gs>
                        <a:gs pos="50000">
                          <a:schemeClr val="accent3">
                            <a:lumMod val="75000"/>
                          </a:schemeClr>
                        </a:gs>
                        <a:gs pos="100000">
                          <a:srgbClr val="C00000"/>
                        </a:gs>
                      </a:gsLst>
                      <a:lin ang="5400000" scaled="0"/>
                    </a:gradFill>
                    <a:effectLst>
                      <a:glow rad="63500">
                        <a:srgbClr val="FFFF00"/>
                      </a:glow>
                    </a:effectLst>
                  </a:rPr>
                  <a:t>Number of Incidents/Admissions</a:t>
                </a:r>
              </a:p>
            </c:rich>
          </c:tx>
          <c:layout>
            <c:manualLayout>
              <c:xMode val="edge"/>
              <c:yMode val="edge"/>
              <c:x val="2.6522347851824182E-2"/>
              <c:y val="9.1886549895548786E-2"/>
            </c:manualLayout>
          </c:layout>
          <c:overlay val="0"/>
        </c:title>
        <c:numFmt formatCode="0" sourceLinked="1"/>
        <c:majorTickMark val="cross"/>
        <c:minorTickMark val="none"/>
        <c:tickLblPos val="nextTo"/>
        <c:crossAx val="378485760"/>
        <c:crossesAt val="1317"/>
        <c:crossBetween val="between"/>
        <c:majorUnit val="20"/>
        <c:minorUnit val="5"/>
      </c:valAx>
      <c:valAx>
        <c:axId val="286025984"/>
        <c:scaling>
          <c:orientation val="minMax"/>
          <c:max val="280"/>
          <c:min val="240"/>
        </c:scaling>
        <c:delete val="0"/>
        <c:axPos val="r"/>
        <c:title>
          <c:tx>
            <c:rich>
              <a:bodyPr rot="5400000" vert="horz"/>
              <a:lstStyle/>
              <a:p>
                <a:pPr>
                  <a:defRPr>
                    <a:effectLst>
                      <a:glow rad="88900">
                        <a:schemeClr val="bg1">
                          <a:lumMod val="85000"/>
                        </a:schemeClr>
                      </a:glow>
                    </a:effectLst>
                  </a:defRPr>
                </a:pPr>
                <a:r>
                  <a:rPr lang="en-US">
                    <a:effectLst>
                      <a:glow rad="88900">
                        <a:schemeClr val="bg1">
                          <a:lumMod val="85000"/>
                        </a:schemeClr>
                      </a:glow>
                    </a:effectLst>
                  </a:rPr>
                  <a:t>Average Daily Census</a:t>
                </a:r>
              </a:p>
            </c:rich>
          </c:tx>
          <c:layout>
            <c:manualLayout>
              <c:xMode val="edge"/>
              <c:yMode val="edge"/>
              <c:x val="0.7722312763230178"/>
              <c:y val="0.26815871974336541"/>
            </c:manualLayout>
          </c:layout>
          <c:overlay val="0"/>
        </c:title>
        <c:numFmt formatCode="0" sourceLinked="1"/>
        <c:majorTickMark val="out"/>
        <c:minorTickMark val="none"/>
        <c:tickLblPos val="nextTo"/>
        <c:crossAx val="378483712"/>
        <c:crosses val="max"/>
        <c:crossBetween val="between"/>
        <c:majorUnit val="10"/>
      </c:valAx>
      <c:dateAx>
        <c:axId val="378483712"/>
        <c:scaling>
          <c:orientation val="minMax"/>
        </c:scaling>
        <c:delete val="1"/>
        <c:axPos val="b"/>
        <c:numFmt formatCode="mmm\-yy" sourceLinked="1"/>
        <c:majorTickMark val="out"/>
        <c:minorTickMark val="none"/>
        <c:tickLblPos val="nextTo"/>
        <c:crossAx val="286025984"/>
        <c:crosses val="autoZero"/>
        <c:auto val="1"/>
        <c:lblOffset val="100"/>
        <c:baseTimeUnit val="months"/>
      </c:dateAx>
    </c:plotArea>
    <c:legend>
      <c:legendPos val="r"/>
      <c:legendEntry>
        <c:idx val="0"/>
        <c:txPr>
          <a:bodyPr/>
          <a:lstStyle/>
          <a:p>
            <a:pPr>
              <a:defRPr sz="1000" b="1">
                <a:effectLst>
                  <a:glow rad="127000">
                    <a:schemeClr val="bg1">
                      <a:lumMod val="75000"/>
                    </a:schemeClr>
                  </a:glow>
                </a:effectLst>
              </a:defRPr>
            </a:pPr>
            <a:endParaRPr lang="en-US"/>
          </a:p>
        </c:txPr>
      </c:legendEntry>
      <c:legendEntry>
        <c:idx val="1"/>
        <c:txPr>
          <a:bodyPr/>
          <a:lstStyle/>
          <a:p>
            <a:pPr>
              <a:defRPr sz="1000" b="1">
                <a:solidFill>
                  <a:schemeClr val="accent6">
                    <a:lumMod val="50000"/>
                  </a:schemeClr>
                </a:solidFill>
                <a:effectLst>
                  <a:glow rad="127000">
                    <a:srgbClr val="FFFF00"/>
                  </a:glow>
                </a:effectLst>
              </a:defRPr>
            </a:pPr>
            <a:endParaRPr lang="en-US"/>
          </a:p>
        </c:txPr>
      </c:legendEntry>
      <c:legendEntry>
        <c:idx val="2"/>
        <c:txPr>
          <a:bodyPr/>
          <a:lstStyle/>
          <a:p>
            <a:pPr>
              <a:defRPr sz="1000" b="1">
                <a:solidFill>
                  <a:schemeClr val="tx2"/>
                </a:solidFill>
              </a:defRPr>
            </a:pPr>
            <a:endParaRPr lang="en-US"/>
          </a:p>
        </c:txPr>
      </c:legendEntry>
      <c:legendEntry>
        <c:idx val="3"/>
        <c:txPr>
          <a:bodyPr/>
          <a:lstStyle/>
          <a:p>
            <a:pPr>
              <a:defRPr sz="1000" b="1">
                <a:solidFill>
                  <a:srgbClr val="C00000"/>
                </a:solidFill>
              </a:defRPr>
            </a:pPr>
            <a:endParaRPr lang="en-US"/>
          </a:p>
        </c:txPr>
      </c:legendEntry>
      <c:layout>
        <c:manualLayout>
          <c:xMode val="edge"/>
          <c:yMode val="edge"/>
          <c:x val="0.82849334947376996"/>
          <c:y val="3.3113044275579089E-2"/>
          <c:w val="0.1715066505262301"/>
          <c:h val="0.91735448231425942"/>
        </c:manualLayout>
      </c:layout>
      <c:overlay val="0"/>
      <c:txPr>
        <a:bodyPr/>
        <a:lstStyle/>
        <a:p>
          <a:pPr>
            <a:defRPr sz="1000" b="1"/>
          </a:pPr>
          <a:endParaRPr lang="en-US"/>
        </a:p>
      </c:txPr>
    </c:legend>
    <c:plotVisOnly val="1"/>
    <c:dispBlanksAs val="gap"/>
    <c:showDLblsOverMax val="0"/>
  </c:chart>
  <c:spPr>
    <a:noFill/>
    <a:ln>
      <a:noFill/>
    </a:ln>
  </c:sp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0593285214348207"/>
          <c:y val="5.1400554097404488E-2"/>
          <c:w val="0.59706036745406821"/>
          <c:h val="0.7591428429936824"/>
        </c:manualLayout>
      </c:layout>
      <c:barChart>
        <c:barDir val="col"/>
        <c:grouping val="percentStacked"/>
        <c:varyColors val="0"/>
        <c:ser>
          <c:idx val="0"/>
          <c:order val="0"/>
          <c:tx>
            <c:strRef>
              <c:f>'T-UI Location'!$B$33</c:f>
              <c:strCache>
                <c:ptCount val="1"/>
                <c:pt idx="0">
                  <c:v>Admission Units</c:v>
                </c:pt>
              </c:strCache>
            </c:strRef>
          </c:tx>
          <c:invertIfNegative val="0"/>
          <c:dLbls>
            <c:txPr>
              <a:bodyPr/>
              <a:lstStyle/>
              <a:p>
                <a:pPr>
                  <a:defRPr b="1">
                    <a:solidFill>
                      <a:schemeClr val="bg1"/>
                    </a:solidFill>
                  </a:defRPr>
                </a:pPr>
                <a:endParaRPr lang="en-US"/>
              </a:p>
            </c:txPr>
            <c:showLegendKey val="0"/>
            <c:showVal val="1"/>
            <c:showCatName val="0"/>
            <c:showSerName val="0"/>
            <c:showPercent val="0"/>
            <c:showBubbleSize val="0"/>
            <c:showLeaderLines val="0"/>
          </c:dLbls>
          <c:cat>
            <c:strRef>
              <c:f>('T-UI Location'!$AN$16,'T-UI Location'!$AN$39,'T-UI Location'!$AN$62)</c:f>
              <c:strCache>
                <c:ptCount val="3"/>
                <c:pt idx="0">
                  <c:v>Aggressive Behavior (n=737)</c:v>
                </c:pt>
                <c:pt idx="1">
                  <c:v>Physical Assault (n=434)</c:v>
                </c:pt>
                <c:pt idx="2">
                  <c:v>Psychiatric Emergency (n=540)</c:v>
                </c:pt>
              </c:strCache>
            </c:strRef>
          </c:cat>
          <c:val>
            <c:numRef>
              <c:f>('T-UI Location'!$AJ$33,'T-UI Location'!$AJ$56,'T-UI Location'!$AJ$79)</c:f>
              <c:numCache>
                <c:formatCode>0%</c:formatCode>
                <c:ptCount val="3"/>
                <c:pt idx="0">
                  <c:v>0.5725915875169606</c:v>
                </c:pt>
                <c:pt idx="1">
                  <c:v>0.53333333333333333</c:v>
                </c:pt>
                <c:pt idx="2">
                  <c:v>0.77222222222222225</c:v>
                </c:pt>
              </c:numCache>
            </c:numRef>
          </c:val>
        </c:ser>
        <c:ser>
          <c:idx val="2"/>
          <c:order val="1"/>
          <c:tx>
            <c:strRef>
              <c:f>'T-UI Location'!$B$35</c:f>
              <c:strCache>
                <c:ptCount val="1"/>
                <c:pt idx="0">
                  <c:v>Long-term Units</c:v>
                </c:pt>
              </c:strCache>
            </c:strRef>
          </c:tx>
          <c:invertIfNegative val="0"/>
          <c:dLbls>
            <c:txPr>
              <a:bodyPr/>
              <a:lstStyle/>
              <a:p>
                <a:pPr>
                  <a:defRPr b="1"/>
                </a:pPr>
                <a:endParaRPr lang="en-US"/>
              </a:p>
            </c:txPr>
            <c:showLegendKey val="0"/>
            <c:showVal val="1"/>
            <c:showCatName val="0"/>
            <c:showSerName val="0"/>
            <c:showPercent val="0"/>
            <c:showBubbleSize val="0"/>
            <c:showLeaderLines val="0"/>
          </c:dLbls>
          <c:cat>
            <c:strRef>
              <c:f>('T-UI Location'!$AN$16,'T-UI Location'!$AN$39,'T-UI Location'!$AN$62)</c:f>
              <c:strCache>
                <c:ptCount val="3"/>
                <c:pt idx="0">
                  <c:v>Aggressive Behavior (n=737)</c:v>
                </c:pt>
                <c:pt idx="1">
                  <c:v>Physical Assault (n=434)</c:v>
                </c:pt>
                <c:pt idx="2">
                  <c:v>Psychiatric Emergency (n=540)</c:v>
                </c:pt>
              </c:strCache>
            </c:strRef>
          </c:cat>
          <c:val>
            <c:numRef>
              <c:f>('T-UI Location'!$AJ$35,'T-UI Location'!$AJ$58,'T-UI Location'!$AJ$81)</c:f>
              <c:numCache>
                <c:formatCode>0%</c:formatCode>
                <c:ptCount val="3"/>
                <c:pt idx="0">
                  <c:v>0.25915875169606511</c:v>
                </c:pt>
                <c:pt idx="1">
                  <c:v>0.27927927927927926</c:v>
                </c:pt>
                <c:pt idx="2">
                  <c:v>0.1537037037037037</c:v>
                </c:pt>
              </c:numCache>
            </c:numRef>
          </c:val>
        </c:ser>
        <c:ser>
          <c:idx val="1"/>
          <c:order val="2"/>
          <c:tx>
            <c:strRef>
              <c:f>'T-UI Location'!$B$34</c:f>
              <c:strCache>
                <c:ptCount val="1"/>
                <c:pt idx="0">
                  <c:v>Geriatric Units</c:v>
                </c:pt>
              </c:strCache>
            </c:strRef>
          </c:tx>
          <c:invertIfNegative val="0"/>
          <c:dLbls>
            <c:dLbl>
              <c:idx val="2"/>
              <c:layout>
                <c:manualLayout>
                  <c:x val="4.5315897920381806E-2"/>
                  <c:y val="0"/>
                </c:manualLayout>
              </c:layout>
              <c:showLegendKey val="0"/>
              <c:showVal val="1"/>
              <c:showCatName val="0"/>
              <c:showSerName val="0"/>
              <c:showPercent val="0"/>
              <c:showBubbleSize val="0"/>
            </c:dLbl>
            <c:txPr>
              <a:bodyPr/>
              <a:lstStyle/>
              <a:p>
                <a:pPr>
                  <a:defRPr b="1">
                    <a:solidFill>
                      <a:schemeClr val="bg1"/>
                    </a:solidFill>
                    <a:effectLst>
                      <a:glow rad="76200">
                        <a:srgbClr val="C00000"/>
                      </a:glow>
                    </a:effectLst>
                  </a:defRPr>
                </a:pPr>
                <a:endParaRPr lang="en-US"/>
              </a:p>
            </c:txPr>
            <c:showLegendKey val="0"/>
            <c:showVal val="1"/>
            <c:showCatName val="0"/>
            <c:showSerName val="0"/>
            <c:showPercent val="0"/>
            <c:showBubbleSize val="0"/>
            <c:showLeaderLines val="0"/>
          </c:dLbls>
          <c:cat>
            <c:strRef>
              <c:f>('T-UI Location'!$AN$16,'T-UI Location'!$AN$39,'T-UI Location'!$AN$62)</c:f>
              <c:strCache>
                <c:ptCount val="3"/>
                <c:pt idx="0">
                  <c:v>Aggressive Behavior (n=737)</c:v>
                </c:pt>
                <c:pt idx="1">
                  <c:v>Physical Assault (n=434)</c:v>
                </c:pt>
                <c:pt idx="2">
                  <c:v>Psychiatric Emergency (n=540)</c:v>
                </c:pt>
              </c:strCache>
            </c:strRef>
          </c:cat>
          <c:val>
            <c:numRef>
              <c:f>('T-UI Location'!$AJ$34,'T-UI Location'!$AJ$57,'T-UI Location'!$AJ$80)</c:f>
              <c:numCache>
                <c:formatCode>0%</c:formatCode>
                <c:ptCount val="3"/>
                <c:pt idx="0">
                  <c:v>3.9348710990502037E-2</c:v>
                </c:pt>
                <c:pt idx="1">
                  <c:v>6.8468468468468463E-2</c:v>
                </c:pt>
                <c:pt idx="2">
                  <c:v>2.9629629629629627E-2</c:v>
                </c:pt>
              </c:numCache>
            </c:numRef>
          </c:val>
        </c:ser>
        <c:ser>
          <c:idx val="3"/>
          <c:order val="3"/>
          <c:tx>
            <c:strRef>
              <c:f>'T-UI Location'!$B$36</c:f>
              <c:strCache>
                <c:ptCount val="1"/>
                <c:pt idx="0">
                  <c:v>TLC</c:v>
                </c:pt>
              </c:strCache>
            </c:strRef>
          </c:tx>
          <c:invertIfNegative val="0"/>
          <c:dLbls>
            <c:txPr>
              <a:bodyPr/>
              <a:lstStyle/>
              <a:p>
                <a:pPr>
                  <a:defRPr b="1">
                    <a:solidFill>
                      <a:schemeClr val="bg1"/>
                    </a:solidFill>
                  </a:defRPr>
                </a:pPr>
                <a:endParaRPr lang="en-US"/>
              </a:p>
            </c:txPr>
            <c:showLegendKey val="0"/>
            <c:showVal val="1"/>
            <c:showCatName val="0"/>
            <c:showSerName val="0"/>
            <c:showPercent val="0"/>
            <c:showBubbleSize val="0"/>
            <c:showLeaderLines val="0"/>
          </c:dLbls>
          <c:cat>
            <c:strRef>
              <c:f>('T-UI Location'!$AN$16,'T-UI Location'!$AN$39,'T-UI Location'!$AN$62)</c:f>
              <c:strCache>
                <c:ptCount val="3"/>
                <c:pt idx="0">
                  <c:v>Aggressive Behavior (n=737)</c:v>
                </c:pt>
                <c:pt idx="1">
                  <c:v>Physical Assault (n=434)</c:v>
                </c:pt>
                <c:pt idx="2">
                  <c:v>Psychiatric Emergency (n=540)</c:v>
                </c:pt>
              </c:strCache>
            </c:strRef>
          </c:cat>
          <c:val>
            <c:numRef>
              <c:f>('T-UI Location'!$AJ$36,'T-UI Location'!$AJ$59,'T-UI Location'!$AJ$82)</c:f>
              <c:numCache>
                <c:formatCode>0%</c:formatCode>
                <c:ptCount val="3"/>
                <c:pt idx="0">
                  <c:v>0.10854816824966079</c:v>
                </c:pt>
                <c:pt idx="1">
                  <c:v>9.369369369369368E-2</c:v>
                </c:pt>
                <c:pt idx="2">
                  <c:v>3.888888888888889E-2</c:v>
                </c:pt>
              </c:numCache>
            </c:numRef>
          </c:val>
        </c:ser>
        <c:ser>
          <c:idx val="4"/>
          <c:order val="4"/>
          <c:tx>
            <c:strRef>
              <c:f>'T-UI Location'!$B$37</c:f>
              <c:strCache>
                <c:ptCount val="1"/>
                <c:pt idx="0">
                  <c:v>Other</c:v>
                </c:pt>
              </c:strCache>
            </c:strRef>
          </c:tx>
          <c:invertIfNegative val="0"/>
          <c:dLbls>
            <c:dLbl>
              <c:idx val="2"/>
              <c:layout>
                <c:manualLayout>
                  <c:x val="0"/>
                  <c:y val="-1.2866906291689217E-2"/>
                </c:manualLayout>
              </c:layout>
              <c:showLegendKey val="0"/>
              <c:showVal val="1"/>
              <c:showCatName val="0"/>
              <c:showSerName val="0"/>
              <c:showPercent val="0"/>
              <c:showBubbleSize val="0"/>
            </c:dLbl>
            <c:txPr>
              <a:bodyPr/>
              <a:lstStyle/>
              <a:p>
                <a:pPr>
                  <a:defRPr b="1">
                    <a:effectLst>
                      <a:glow rad="76200">
                        <a:schemeClr val="accent5">
                          <a:lumMod val="60000"/>
                          <a:lumOff val="40000"/>
                        </a:schemeClr>
                      </a:glow>
                    </a:effectLst>
                  </a:defRPr>
                </a:pPr>
                <a:endParaRPr lang="en-US"/>
              </a:p>
            </c:txPr>
            <c:showLegendKey val="0"/>
            <c:showVal val="1"/>
            <c:showCatName val="0"/>
            <c:showSerName val="0"/>
            <c:showPercent val="0"/>
            <c:showBubbleSize val="0"/>
            <c:showLeaderLines val="0"/>
          </c:dLbls>
          <c:cat>
            <c:strRef>
              <c:f>('T-UI Location'!$AN$16,'T-UI Location'!$AN$39,'T-UI Location'!$AN$62)</c:f>
              <c:strCache>
                <c:ptCount val="3"/>
                <c:pt idx="0">
                  <c:v>Aggressive Behavior (n=737)</c:v>
                </c:pt>
                <c:pt idx="1">
                  <c:v>Physical Assault (n=434)</c:v>
                </c:pt>
                <c:pt idx="2">
                  <c:v>Psychiatric Emergency (n=540)</c:v>
                </c:pt>
              </c:strCache>
            </c:strRef>
          </c:cat>
          <c:val>
            <c:numRef>
              <c:f>('T-UI Location'!$AJ$37,'T-UI Location'!$AJ$60,'T-UI Location'!$AJ$83)</c:f>
              <c:numCache>
                <c:formatCode>0%</c:formatCode>
                <c:ptCount val="3"/>
                <c:pt idx="0">
                  <c:v>2.0352781546811399E-2</c:v>
                </c:pt>
                <c:pt idx="1">
                  <c:v>2.5225225225225228E-2</c:v>
                </c:pt>
                <c:pt idx="2">
                  <c:v>5.5555555555555558E-3</c:v>
                </c:pt>
              </c:numCache>
            </c:numRef>
          </c:val>
        </c:ser>
        <c:dLbls>
          <c:showLegendKey val="0"/>
          <c:showVal val="0"/>
          <c:showCatName val="0"/>
          <c:showSerName val="0"/>
          <c:showPercent val="0"/>
          <c:showBubbleSize val="0"/>
        </c:dLbls>
        <c:gapWidth val="50"/>
        <c:overlap val="100"/>
        <c:axId val="378995712"/>
        <c:axId val="286027712"/>
      </c:barChart>
      <c:catAx>
        <c:axId val="378995712"/>
        <c:scaling>
          <c:orientation val="minMax"/>
        </c:scaling>
        <c:delete val="0"/>
        <c:axPos val="b"/>
        <c:numFmt formatCode="General" sourceLinked="1"/>
        <c:majorTickMark val="out"/>
        <c:minorTickMark val="none"/>
        <c:tickLblPos val="nextTo"/>
        <c:crossAx val="286027712"/>
        <c:crosses val="autoZero"/>
        <c:auto val="1"/>
        <c:lblAlgn val="ctr"/>
        <c:lblOffset val="100"/>
        <c:noMultiLvlLbl val="0"/>
      </c:catAx>
      <c:valAx>
        <c:axId val="286027712"/>
        <c:scaling>
          <c:orientation val="minMax"/>
        </c:scaling>
        <c:delete val="0"/>
        <c:axPos val="l"/>
        <c:majorGridlines/>
        <c:numFmt formatCode="0%" sourceLinked="1"/>
        <c:majorTickMark val="out"/>
        <c:minorTickMark val="none"/>
        <c:tickLblPos val="nextTo"/>
        <c:crossAx val="378995712"/>
        <c:crosses val="autoZero"/>
        <c:crossBetween val="between"/>
      </c:valAx>
    </c:plotArea>
    <c:legend>
      <c:legendPos val="r"/>
      <c:layout>
        <c:manualLayout>
          <c:xMode val="edge"/>
          <c:yMode val="edge"/>
          <c:x val="0.72913292088488935"/>
          <c:y val="4.9966097987751541E-2"/>
          <c:w val="0.25420041244844399"/>
          <c:h val="0.76083927744326074"/>
        </c:manualLayout>
      </c:layout>
      <c:overlay val="0"/>
      <c:txPr>
        <a:bodyPr/>
        <a:lstStyle/>
        <a:p>
          <a:pPr>
            <a:defRPr b="1"/>
          </a:pPr>
          <a:endParaRPr lang="en-US"/>
        </a:p>
      </c:txPr>
    </c:legend>
    <c:plotVisOnly val="1"/>
    <c:dispBlanksAs val="gap"/>
    <c:showDLblsOverMax val="0"/>
  </c:chart>
  <c:spPr>
    <a:ln>
      <a:noFill/>
    </a:ln>
  </c:sp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6.6458188774074977E-3"/>
          <c:y val="0.1479287146638282"/>
          <c:w val="0.98308623188599931"/>
          <c:h val="0.77380959452203213"/>
        </c:manualLayout>
      </c:layout>
      <c:barChart>
        <c:barDir val="col"/>
        <c:grouping val="clustered"/>
        <c:varyColors val="0"/>
        <c:ser>
          <c:idx val="0"/>
          <c:order val="0"/>
          <c:tx>
            <c:v>Aggressive Behavior</c:v>
          </c:tx>
          <c:invertIfNegative val="0"/>
          <c:dLbls>
            <c:txPr>
              <a:bodyPr/>
              <a:lstStyle/>
              <a:p>
                <a:pPr>
                  <a:defRPr b="1">
                    <a:solidFill>
                      <a:schemeClr val="tx2"/>
                    </a:solidFill>
                  </a:defRPr>
                </a:pPr>
                <a:endParaRPr lang="en-US"/>
              </a:p>
            </c:txPr>
            <c:showLegendKey val="0"/>
            <c:showVal val="1"/>
            <c:showCatName val="0"/>
            <c:showSerName val="0"/>
            <c:showPercent val="0"/>
            <c:showBubbleSize val="0"/>
            <c:showLeaderLines val="0"/>
          </c:dLbls>
          <c:cat>
            <c:strRef>
              <c:f>'T-UI Location'!$B$162:$B$165</c:f>
              <c:strCache>
                <c:ptCount val="4"/>
                <c:pt idx="0">
                  <c:v>1D</c:v>
                </c:pt>
                <c:pt idx="1">
                  <c:v>1E</c:v>
                </c:pt>
                <c:pt idx="2">
                  <c:v>1F</c:v>
                </c:pt>
                <c:pt idx="3">
                  <c:v>1G</c:v>
                </c:pt>
              </c:strCache>
            </c:strRef>
          </c:cat>
          <c:val>
            <c:numRef>
              <c:f>'T-UI Location'!$AH$22:$AH$25</c:f>
              <c:numCache>
                <c:formatCode>0</c:formatCode>
                <c:ptCount val="4"/>
                <c:pt idx="0">
                  <c:v>64</c:v>
                </c:pt>
                <c:pt idx="1">
                  <c:v>84</c:v>
                </c:pt>
                <c:pt idx="2">
                  <c:v>166</c:v>
                </c:pt>
                <c:pt idx="3">
                  <c:v>108</c:v>
                </c:pt>
              </c:numCache>
            </c:numRef>
          </c:val>
        </c:ser>
        <c:ser>
          <c:idx val="1"/>
          <c:order val="1"/>
          <c:tx>
            <c:v>Physical Assault</c:v>
          </c:tx>
          <c:invertIfNegative val="0"/>
          <c:dLbls>
            <c:dLbl>
              <c:idx val="2"/>
              <c:layout>
                <c:manualLayout>
                  <c:x val="0"/>
                  <c:y val="2.2792019870334173E-2"/>
                </c:manualLayout>
              </c:layout>
              <c:showLegendKey val="0"/>
              <c:showVal val="1"/>
              <c:showCatName val="0"/>
              <c:showSerName val="0"/>
              <c:showPercent val="0"/>
              <c:showBubbleSize val="0"/>
            </c:dLbl>
            <c:txPr>
              <a:bodyPr/>
              <a:lstStyle/>
              <a:p>
                <a:pPr>
                  <a:defRPr b="1">
                    <a:solidFill>
                      <a:srgbClr val="C00000"/>
                    </a:solidFill>
                  </a:defRPr>
                </a:pPr>
                <a:endParaRPr lang="en-US"/>
              </a:p>
            </c:txPr>
            <c:showLegendKey val="0"/>
            <c:showVal val="1"/>
            <c:showCatName val="0"/>
            <c:showSerName val="0"/>
            <c:showPercent val="0"/>
            <c:showBubbleSize val="0"/>
            <c:showLeaderLines val="0"/>
          </c:dLbls>
          <c:cat>
            <c:strRef>
              <c:f>'T-UI Location'!$B$162:$B$165</c:f>
              <c:strCache>
                <c:ptCount val="4"/>
                <c:pt idx="0">
                  <c:v>1D</c:v>
                </c:pt>
                <c:pt idx="1">
                  <c:v>1E</c:v>
                </c:pt>
                <c:pt idx="2">
                  <c:v>1F</c:v>
                </c:pt>
                <c:pt idx="3">
                  <c:v>1G</c:v>
                </c:pt>
              </c:strCache>
            </c:strRef>
          </c:cat>
          <c:val>
            <c:numRef>
              <c:f>'T-UI Location'!$AH$45:$AH$48</c:f>
              <c:numCache>
                <c:formatCode>0</c:formatCode>
                <c:ptCount val="4"/>
                <c:pt idx="0">
                  <c:v>86</c:v>
                </c:pt>
                <c:pt idx="1">
                  <c:v>66</c:v>
                </c:pt>
                <c:pt idx="2">
                  <c:v>53</c:v>
                </c:pt>
                <c:pt idx="3">
                  <c:v>91</c:v>
                </c:pt>
              </c:numCache>
            </c:numRef>
          </c:val>
        </c:ser>
        <c:ser>
          <c:idx val="2"/>
          <c:order val="2"/>
          <c:tx>
            <c:v>Psychiatric Emergency</c:v>
          </c:tx>
          <c:invertIfNegative val="0"/>
          <c:dLbls>
            <c:txPr>
              <a:bodyPr/>
              <a:lstStyle/>
              <a:p>
                <a:pPr>
                  <a:defRPr b="1">
                    <a:solidFill>
                      <a:schemeClr val="accent3">
                        <a:lumMod val="50000"/>
                      </a:schemeClr>
                    </a:solidFill>
                  </a:defRPr>
                </a:pPr>
                <a:endParaRPr lang="en-US"/>
              </a:p>
            </c:txPr>
            <c:showLegendKey val="0"/>
            <c:showVal val="1"/>
            <c:showCatName val="0"/>
            <c:showSerName val="0"/>
            <c:showPercent val="0"/>
            <c:showBubbleSize val="0"/>
            <c:showLeaderLines val="0"/>
          </c:dLbls>
          <c:cat>
            <c:strRef>
              <c:f>'T-UI Location'!$B$162:$B$165</c:f>
              <c:strCache>
                <c:ptCount val="4"/>
                <c:pt idx="0">
                  <c:v>1D</c:v>
                </c:pt>
                <c:pt idx="1">
                  <c:v>1E</c:v>
                </c:pt>
                <c:pt idx="2">
                  <c:v>1F</c:v>
                </c:pt>
                <c:pt idx="3">
                  <c:v>1G</c:v>
                </c:pt>
              </c:strCache>
            </c:strRef>
          </c:cat>
          <c:val>
            <c:numRef>
              <c:f>'T-UI Location'!$AH$68:$AH$71</c:f>
              <c:numCache>
                <c:formatCode>0</c:formatCode>
                <c:ptCount val="4"/>
                <c:pt idx="0">
                  <c:v>69</c:v>
                </c:pt>
                <c:pt idx="1">
                  <c:v>101</c:v>
                </c:pt>
                <c:pt idx="2">
                  <c:v>125</c:v>
                </c:pt>
                <c:pt idx="3">
                  <c:v>122</c:v>
                </c:pt>
              </c:numCache>
            </c:numRef>
          </c:val>
        </c:ser>
        <c:ser>
          <c:idx val="3"/>
          <c:order val="3"/>
          <c:tx>
            <c:v>Code 13</c:v>
          </c:tx>
          <c:spPr>
            <a:pattFill prst="trellis">
              <a:fgClr>
                <a:srgbClr val="7030A0"/>
              </a:fgClr>
              <a:bgClr>
                <a:srgbClr val="FFFF99"/>
              </a:bgClr>
            </a:pattFill>
            <a:ln w="50800">
              <a:noFill/>
              <a:prstDash val="sysDot"/>
            </a:ln>
          </c:spPr>
          <c:invertIfNegative val="0"/>
          <c:dLbls>
            <c:txPr>
              <a:bodyPr/>
              <a:lstStyle/>
              <a:p>
                <a:pPr>
                  <a:defRPr b="1"/>
                </a:pPr>
                <a:endParaRPr lang="en-US"/>
              </a:p>
            </c:txPr>
            <c:showLegendKey val="0"/>
            <c:showVal val="1"/>
            <c:showCatName val="0"/>
            <c:showSerName val="0"/>
            <c:showPercent val="0"/>
            <c:showBubbleSize val="0"/>
            <c:showLeaderLines val="0"/>
          </c:dLbls>
          <c:cat>
            <c:strRef>
              <c:f>'T-UI Location'!$B$162:$B$165</c:f>
              <c:strCache>
                <c:ptCount val="4"/>
                <c:pt idx="0">
                  <c:v>1D</c:v>
                </c:pt>
                <c:pt idx="1">
                  <c:v>1E</c:v>
                </c:pt>
                <c:pt idx="2">
                  <c:v>1F</c:v>
                </c:pt>
                <c:pt idx="3">
                  <c:v>1G</c:v>
                </c:pt>
              </c:strCache>
            </c:strRef>
          </c:cat>
          <c:val>
            <c:numRef>
              <c:f>'T-UI Location'!$AE$162:$AE$165</c:f>
              <c:numCache>
                <c:formatCode>0</c:formatCode>
                <c:ptCount val="4"/>
                <c:pt idx="0">
                  <c:v>36</c:v>
                </c:pt>
                <c:pt idx="1">
                  <c:v>21</c:v>
                </c:pt>
                <c:pt idx="2">
                  <c:v>57</c:v>
                </c:pt>
                <c:pt idx="3">
                  <c:v>71</c:v>
                </c:pt>
              </c:numCache>
            </c:numRef>
          </c:val>
        </c:ser>
        <c:dLbls>
          <c:showLegendKey val="0"/>
          <c:showVal val="0"/>
          <c:showCatName val="0"/>
          <c:showSerName val="0"/>
          <c:showPercent val="0"/>
          <c:showBubbleSize val="0"/>
        </c:dLbls>
        <c:gapWidth val="50"/>
        <c:axId val="378996224"/>
        <c:axId val="286029440"/>
      </c:barChart>
      <c:catAx>
        <c:axId val="378996224"/>
        <c:scaling>
          <c:orientation val="minMax"/>
        </c:scaling>
        <c:delete val="0"/>
        <c:axPos val="b"/>
        <c:majorTickMark val="out"/>
        <c:minorTickMark val="none"/>
        <c:tickLblPos val="nextTo"/>
        <c:txPr>
          <a:bodyPr/>
          <a:lstStyle/>
          <a:p>
            <a:pPr>
              <a:defRPr b="1"/>
            </a:pPr>
            <a:endParaRPr lang="en-US"/>
          </a:p>
        </c:txPr>
        <c:crossAx val="286029440"/>
        <c:crosses val="autoZero"/>
        <c:auto val="1"/>
        <c:lblAlgn val="ctr"/>
        <c:lblOffset val="100"/>
        <c:noMultiLvlLbl val="0"/>
      </c:catAx>
      <c:valAx>
        <c:axId val="286029440"/>
        <c:scaling>
          <c:orientation val="minMax"/>
        </c:scaling>
        <c:delete val="1"/>
        <c:axPos val="l"/>
        <c:numFmt formatCode="0" sourceLinked="1"/>
        <c:majorTickMark val="none"/>
        <c:minorTickMark val="none"/>
        <c:tickLblPos val="none"/>
        <c:crossAx val="378996224"/>
        <c:crosses val="autoZero"/>
        <c:crossBetween val="between"/>
      </c:valAx>
    </c:plotArea>
    <c:legend>
      <c:legendPos val="r"/>
      <c:legendEntry>
        <c:idx val="0"/>
        <c:txPr>
          <a:bodyPr/>
          <a:lstStyle/>
          <a:p>
            <a:pPr>
              <a:defRPr b="1">
                <a:solidFill>
                  <a:schemeClr val="tx2"/>
                </a:solidFill>
              </a:defRPr>
            </a:pPr>
            <a:endParaRPr lang="en-US"/>
          </a:p>
        </c:txPr>
      </c:legendEntry>
      <c:legendEntry>
        <c:idx val="1"/>
        <c:txPr>
          <a:bodyPr/>
          <a:lstStyle/>
          <a:p>
            <a:pPr>
              <a:defRPr b="1">
                <a:solidFill>
                  <a:srgbClr val="C00000"/>
                </a:solidFill>
              </a:defRPr>
            </a:pPr>
            <a:endParaRPr lang="en-US"/>
          </a:p>
        </c:txPr>
      </c:legendEntry>
      <c:legendEntry>
        <c:idx val="2"/>
        <c:txPr>
          <a:bodyPr/>
          <a:lstStyle/>
          <a:p>
            <a:pPr>
              <a:defRPr b="1">
                <a:solidFill>
                  <a:schemeClr val="accent3">
                    <a:lumMod val="75000"/>
                  </a:schemeClr>
                </a:solidFill>
              </a:defRPr>
            </a:pPr>
            <a:endParaRPr lang="en-US"/>
          </a:p>
        </c:txPr>
      </c:legendEntry>
      <c:legendEntry>
        <c:idx val="3"/>
        <c:txPr>
          <a:bodyPr/>
          <a:lstStyle/>
          <a:p>
            <a:pPr>
              <a:defRPr b="1">
                <a:solidFill>
                  <a:srgbClr val="7010C0"/>
                </a:solidFill>
              </a:defRPr>
            </a:pPr>
            <a:endParaRPr lang="en-US"/>
          </a:p>
        </c:txPr>
      </c:legendEntry>
      <c:layout>
        <c:manualLayout>
          <c:xMode val="edge"/>
          <c:yMode val="edge"/>
          <c:x val="7.246969750249535E-3"/>
          <c:y val="1.4274458472858515E-2"/>
          <c:w val="0.48362846879404042"/>
          <c:h val="0.20037789493688946"/>
        </c:manualLayout>
      </c:layout>
      <c:overlay val="0"/>
      <c:txPr>
        <a:bodyPr/>
        <a:lstStyle/>
        <a:p>
          <a:pPr>
            <a:defRPr b="1"/>
          </a:pPr>
          <a:endParaRPr lang="en-US"/>
        </a:p>
      </c:txPr>
    </c:legend>
    <c:plotVisOnly val="1"/>
    <c:dispBlanksAs val="gap"/>
    <c:showDLblsOverMax val="0"/>
  </c:chart>
  <c:spPr>
    <a:ln>
      <a:noFill/>
    </a:ln>
  </c:sp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2"/>
    </mc:Choice>
    <mc:Fallback>
      <c:style val="12"/>
    </mc:Fallback>
  </mc:AlternateContent>
  <c:chart>
    <c:autoTitleDeleted val="0"/>
    <c:plotArea>
      <c:layout>
        <c:manualLayout>
          <c:layoutTarget val="inner"/>
          <c:xMode val="edge"/>
          <c:yMode val="edge"/>
          <c:x val="2.5194391193988031E-2"/>
          <c:y val="2.0175782975436794E-2"/>
          <c:w val="0.74703424229751181"/>
          <c:h val="0.88626378883169243"/>
        </c:manualLayout>
      </c:layout>
      <c:barChart>
        <c:barDir val="col"/>
        <c:grouping val="stacked"/>
        <c:varyColors val="0"/>
        <c:ser>
          <c:idx val="0"/>
          <c:order val="0"/>
          <c:tx>
            <c:strRef>
              <c:f>'T-Details'!$B$7</c:f>
              <c:strCache>
                <c:ptCount val="1"/>
                <c:pt idx="0">
                  <c:v>High</c:v>
                </c:pt>
              </c:strCache>
            </c:strRef>
          </c:tx>
          <c:invertIfNegative val="0"/>
          <c:dLbls>
            <c:txPr>
              <a:bodyPr/>
              <a:lstStyle/>
              <a:p>
                <a:pPr>
                  <a:defRPr b="1">
                    <a:solidFill>
                      <a:schemeClr val="bg1"/>
                    </a:solidFill>
                  </a:defRPr>
                </a:pPr>
                <a:endParaRPr lang="en-US"/>
              </a:p>
            </c:txPr>
            <c:dLblPos val="ctr"/>
            <c:showLegendKey val="0"/>
            <c:showVal val="1"/>
            <c:showCatName val="0"/>
            <c:showSerName val="0"/>
            <c:showPercent val="0"/>
            <c:showBubbleSize val="0"/>
            <c:showLeaderLines val="0"/>
          </c:dLbls>
          <c:cat>
            <c:strRef>
              <c:f>'T-Details'!$BC$3:$BF$3</c:f>
              <c:strCache>
                <c:ptCount val="4"/>
                <c:pt idx="0">
                  <c:v>FY11</c:v>
                </c:pt>
                <c:pt idx="1">
                  <c:v>FY12</c:v>
                </c:pt>
                <c:pt idx="2">
                  <c:v>FY13</c:v>
                </c:pt>
                <c:pt idx="3">
                  <c:v>FY14</c:v>
                </c:pt>
              </c:strCache>
            </c:strRef>
          </c:cat>
          <c:val>
            <c:numRef>
              <c:f>'T-Details'!$BC$7:$BF$7</c:f>
              <c:numCache>
                <c:formatCode>General</c:formatCode>
                <c:ptCount val="4"/>
                <c:pt idx="0">
                  <c:v>136</c:v>
                </c:pt>
                <c:pt idx="1">
                  <c:v>104</c:v>
                </c:pt>
                <c:pt idx="2" formatCode="0">
                  <c:v>56</c:v>
                </c:pt>
                <c:pt idx="3" formatCode="0">
                  <c:v>128</c:v>
                </c:pt>
              </c:numCache>
            </c:numRef>
          </c:val>
        </c:ser>
        <c:ser>
          <c:idx val="1"/>
          <c:order val="1"/>
          <c:tx>
            <c:strRef>
              <c:f>'T-Details'!$B$6</c:f>
              <c:strCache>
                <c:ptCount val="1"/>
                <c:pt idx="0">
                  <c:v>Medium</c:v>
                </c:pt>
              </c:strCache>
            </c:strRef>
          </c:tx>
          <c:invertIfNegative val="0"/>
          <c:dLbls>
            <c:txPr>
              <a:bodyPr/>
              <a:lstStyle/>
              <a:p>
                <a:pPr>
                  <a:defRPr b="1">
                    <a:solidFill>
                      <a:schemeClr val="bg1"/>
                    </a:solidFill>
                  </a:defRPr>
                </a:pPr>
                <a:endParaRPr lang="en-US"/>
              </a:p>
            </c:txPr>
            <c:dLblPos val="ctr"/>
            <c:showLegendKey val="0"/>
            <c:showVal val="1"/>
            <c:showCatName val="0"/>
            <c:showSerName val="0"/>
            <c:showPercent val="0"/>
            <c:showBubbleSize val="0"/>
            <c:showLeaderLines val="0"/>
          </c:dLbls>
          <c:cat>
            <c:strRef>
              <c:f>'T-Details'!$BC$3:$BF$3</c:f>
              <c:strCache>
                <c:ptCount val="4"/>
                <c:pt idx="0">
                  <c:v>FY11</c:v>
                </c:pt>
                <c:pt idx="1">
                  <c:v>FY12</c:v>
                </c:pt>
                <c:pt idx="2">
                  <c:v>FY13</c:v>
                </c:pt>
                <c:pt idx="3">
                  <c:v>FY14</c:v>
                </c:pt>
              </c:strCache>
            </c:strRef>
          </c:cat>
          <c:val>
            <c:numRef>
              <c:f>'T-Details'!$BC$6:$BF$6</c:f>
              <c:numCache>
                <c:formatCode>General</c:formatCode>
                <c:ptCount val="4"/>
                <c:pt idx="0">
                  <c:v>180</c:v>
                </c:pt>
                <c:pt idx="1">
                  <c:v>139</c:v>
                </c:pt>
                <c:pt idx="2" formatCode="0">
                  <c:v>176</c:v>
                </c:pt>
                <c:pt idx="3" formatCode="0">
                  <c:v>180</c:v>
                </c:pt>
              </c:numCache>
            </c:numRef>
          </c:val>
        </c:ser>
        <c:ser>
          <c:idx val="2"/>
          <c:order val="2"/>
          <c:tx>
            <c:strRef>
              <c:f>'T-Details'!$B$5</c:f>
              <c:strCache>
                <c:ptCount val="1"/>
                <c:pt idx="0">
                  <c:v>Low</c:v>
                </c:pt>
              </c:strCache>
            </c:strRef>
          </c:tx>
          <c:spPr>
            <a:solidFill>
              <a:schemeClr val="accent2">
                <a:lumMod val="40000"/>
                <a:lumOff val="60000"/>
              </a:schemeClr>
            </a:solidFill>
          </c:spPr>
          <c:invertIfNegative val="0"/>
          <c:dLbls>
            <c:txPr>
              <a:bodyPr/>
              <a:lstStyle/>
              <a:p>
                <a:pPr>
                  <a:defRPr b="1"/>
                </a:pPr>
                <a:endParaRPr lang="en-US"/>
              </a:p>
            </c:txPr>
            <c:dLblPos val="ctr"/>
            <c:showLegendKey val="0"/>
            <c:showVal val="1"/>
            <c:showCatName val="0"/>
            <c:showSerName val="0"/>
            <c:showPercent val="0"/>
            <c:showBubbleSize val="0"/>
            <c:showLeaderLines val="0"/>
          </c:dLbls>
          <c:cat>
            <c:strRef>
              <c:f>'T-Details'!$BC$3:$BF$3</c:f>
              <c:strCache>
                <c:ptCount val="4"/>
                <c:pt idx="0">
                  <c:v>FY11</c:v>
                </c:pt>
                <c:pt idx="1">
                  <c:v>FY12</c:v>
                </c:pt>
                <c:pt idx="2">
                  <c:v>FY13</c:v>
                </c:pt>
                <c:pt idx="3">
                  <c:v>FY14</c:v>
                </c:pt>
              </c:strCache>
            </c:strRef>
          </c:cat>
          <c:val>
            <c:numRef>
              <c:f>'T-Details'!$BC$5:$BF$5</c:f>
              <c:numCache>
                <c:formatCode>General</c:formatCode>
                <c:ptCount val="4"/>
                <c:pt idx="0">
                  <c:v>228</c:v>
                </c:pt>
                <c:pt idx="1">
                  <c:v>207</c:v>
                </c:pt>
                <c:pt idx="2" formatCode="0">
                  <c:v>202</c:v>
                </c:pt>
                <c:pt idx="3" formatCode="0">
                  <c:v>245</c:v>
                </c:pt>
              </c:numCache>
            </c:numRef>
          </c:val>
        </c:ser>
        <c:dLbls>
          <c:showLegendKey val="0"/>
          <c:showVal val="0"/>
          <c:showCatName val="0"/>
          <c:showSerName val="0"/>
          <c:showPercent val="0"/>
          <c:showBubbleSize val="0"/>
        </c:dLbls>
        <c:gapWidth val="50"/>
        <c:overlap val="100"/>
        <c:axId val="378995200"/>
        <c:axId val="286030592"/>
      </c:barChart>
      <c:barChart>
        <c:barDir val="col"/>
        <c:grouping val="stacked"/>
        <c:varyColors val="0"/>
        <c:ser>
          <c:idx val="3"/>
          <c:order val="3"/>
          <c:tx>
            <c:v>Total</c:v>
          </c:tx>
          <c:spPr>
            <a:noFill/>
            <a:ln w="25400">
              <a:solidFill>
                <a:schemeClr val="accent2">
                  <a:lumMod val="50000"/>
                </a:schemeClr>
              </a:solidFill>
            </a:ln>
          </c:spPr>
          <c:invertIfNegative val="0"/>
          <c:dLbls>
            <c:dLbl>
              <c:idx val="0"/>
              <c:layout>
                <c:manualLayout>
                  <c:x val="-8.1817424104177593E-3"/>
                  <c:y val="-0.4411168820790734"/>
                </c:manualLayout>
              </c:layout>
              <c:dLblPos val="ctr"/>
              <c:showLegendKey val="0"/>
              <c:showVal val="1"/>
              <c:showCatName val="0"/>
              <c:showSerName val="0"/>
              <c:showPercent val="0"/>
              <c:showBubbleSize val="0"/>
            </c:dLbl>
            <c:dLbl>
              <c:idx val="1"/>
              <c:layout>
                <c:manualLayout>
                  <c:x val="-8.753799793868455E-3"/>
                  <c:y val="-0.37318820259213359"/>
                </c:manualLayout>
              </c:layout>
              <c:dLblPos val="ctr"/>
              <c:showLegendKey val="0"/>
              <c:showVal val="1"/>
              <c:showCatName val="0"/>
              <c:showSerName val="0"/>
              <c:showPercent val="0"/>
              <c:showBubbleSize val="0"/>
            </c:dLbl>
            <c:dLbl>
              <c:idx val="2"/>
              <c:layout>
                <c:manualLayout>
                  <c:x val="-4.0906876181153462E-3"/>
                  <c:y val="-0.36627733710456256"/>
                </c:manualLayout>
              </c:layout>
              <c:dLblPos val="ctr"/>
              <c:showLegendKey val="0"/>
              <c:showVal val="1"/>
              <c:showCatName val="0"/>
              <c:showSerName val="0"/>
              <c:showPercent val="0"/>
              <c:showBubbleSize val="0"/>
            </c:dLbl>
            <c:dLbl>
              <c:idx val="3"/>
              <c:layout>
                <c:manualLayout>
                  <c:x val="8.6862106406079553E-3"/>
                  <c:y val="-0.4568242276549721"/>
                </c:manualLayout>
              </c:layout>
              <c:dLblPos val="ctr"/>
              <c:showLegendKey val="0"/>
              <c:showVal val="1"/>
              <c:showCatName val="0"/>
              <c:showSerName val="0"/>
              <c:showPercent val="0"/>
              <c:showBubbleSize val="0"/>
            </c:dLbl>
            <c:txPr>
              <a:bodyPr/>
              <a:lstStyle/>
              <a:p>
                <a:pPr>
                  <a:defRPr b="1" u="sng">
                    <a:solidFill>
                      <a:schemeClr val="accent2">
                        <a:lumMod val="50000"/>
                      </a:schemeClr>
                    </a:solidFill>
                  </a:defRPr>
                </a:pPr>
                <a:endParaRPr lang="en-US"/>
              </a:p>
            </c:txPr>
            <c:dLblPos val="inEnd"/>
            <c:showLegendKey val="0"/>
            <c:showVal val="1"/>
            <c:showCatName val="0"/>
            <c:showSerName val="0"/>
            <c:showPercent val="0"/>
            <c:showBubbleSize val="0"/>
            <c:showLeaderLines val="0"/>
          </c:dLbls>
          <c:cat>
            <c:strRef>
              <c:f>'T-Details'!$BC$3:$BF$3</c:f>
              <c:strCache>
                <c:ptCount val="4"/>
                <c:pt idx="0">
                  <c:v>FY11</c:v>
                </c:pt>
                <c:pt idx="1">
                  <c:v>FY12</c:v>
                </c:pt>
                <c:pt idx="2">
                  <c:v>FY13</c:v>
                </c:pt>
                <c:pt idx="3">
                  <c:v>FY14</c:v>
                </c:pt>
              </c:strCache>
            </c:strRef>
          </c:cat>
          <c:val>
            <c:numRef>
              <c:f>'T-Details'!$BC$4:$BF$4</c:f>
              <c:numCache>
                <c:formatCode>0</c:formatCode>
                <c:ptCount val="4"/>
                <c:pt idx="0">
                  <c:v>544</c:v>
                </c:pt>
                <c:pt idx="1">
                  <c:v>450</c:v>
                </c:pt>
                <c:pt idx="2">
                  <c:v>434</c:v>
                </c:pt>
                <c:pt idx="3">
                  <c:v>553</c:v>
                </c:pt>
              </c:numCache>
            </c:numRef>
          </c:val>
        </c:ser>
        <c:dLbls>
          <c:showLegendKey val="0"/>
          <c:showVal val="0"/>
          <c:showCatName val="0"/>
          <c:showSerName val="0"/>
          <c:showPercent val="0"/>
          <c:showBubbleSize val="0"/>
        </c:dLbls>
        <c:gapWidth val="30"/>
        <c:overlap val="100"/>
        <c:axId val="378998272"/>
        <c:axId val="286031168"/>
      </c:barChart>
      <c:catAx>
        <c:axId val="378995200"/>
        <c:scaling>
          <c:orientation val="minMax"/>
        </c:scaling>
        <c:delete val="0"/>
        <c:axPos val="b"/>
        <c:numFmt formatCode="General" sourceLinked="1"/>
        <c:majorTickMark val="out"/>
        <c:minorTickMark val="none"/>
        <c:tickLblPos val="nextTo"/>
        <c:crossAx val="286030592"/>
        <c:crosses val="autoZero"/>
        <c:auto val="1"/>
        <c:lblAlgn val="ctr"/>
        <c:lblOffset val="100"/>
        <c:noMultiLvlLbl val="0"/>
      </c:catAx>
      <c:valAx>
        <c:axId val="286030592"/>
        <c:scaling>
          <c:orientation val="minMax"/>
          <c:max val="600"/>
          <c:min val="0"/>
        </c:scaling>
        <c:delete val="0"/>
        <c:axPos val="l"/>
        <c:numFmt formatCode="General" sourceLinked="1"/>
        <c:majorTickMark val="none"/>
        <c:minorTickMark val="none"/>
        <c:tickLblPos val="none"/>
        <c:spPr>
          <a:ln>
            <a:noFill/>
          </a:ln>
        </c:spPr>
        <c:crossAx val="378995200"/>
        <c:crosses val="autoZero"/>
        <c:crossBetween val="between"/>
        <c:majorUnit val="100"/>
      </c:valAx>
      <c:valAx>
        <c:axId val="286031168"/>
        <c:scaling>
          <c:orientation val="minMax"/>
          <c:max val="600"/>
          <c:min val="0"/>
        </c:scaling>
        <c:delete val="0"/>
        <c:axPos val="r"/>
        <c:numFmt formatCode="0" sourceLinked="1"/>
        <c:majorTickMark val="none"/>
        <c:minorTickMark val="none"/>
        <c:tickLblPos val="none"/>
        <c:spPr>
          <a:ln>
            <a:noFill/>
          </a:ln>
        </c:spPr>
        <c:crossAx val="378998272"/>
        <c:crosses val="max"/>
        <c:crossBetween val="between"/>
        <c:majorUnit val="100"/>
      </c:valAx>
      <c:catAx>
        <c:axId val="378998272"/>
        <c:scaling>
          <c:orientation val="minMax"/>
        </c:scaling>
        <c:delete val="1"/>
        <c:axPos val="b"/>
        <c:majorTickMark val="out"/>
        <c:minorTickMark val="none"/>
        <c:tickLblPos val="none"/>
        <c:crossAx val="286031168"/>
        <c:crosses val="autoZero"/>
        <c:auto val="1"/>
        <c:lblAlgn val="ctr"/>
        <c:lblOffset val="100"/>
        <c:noMultiLvlLbl val="0"/>
      </c:catAx>
    </c:plotArea>
    <c:legend>
      <c:legendPos val="r"/>
      <c:legendEntry>
        <c:idx val="3"/>
        <c:txPr>
          <a:bodyPr/>
          <a:lstStyle/>
          <a:p>
            <a:pPr>
              <a:defRPr b="1" u="sng">
                <a:solidFill>
                  <a:schemeClr val="accent2">
                    <a:lumMod val="50000"/>
                  </a:schemeClr>
                </a:solidFill>
              </a:defRPr>
            </a:pPr>
            <a:endParaRPr lang="en-US"/>
          </a:p>
        </c:txPr>
      </c:legendEntry>
      <c:layout>
        <c:manualLayout>
          <c:xMode val="edge"/>
          <c:yMode val="edge"/>
          <c:x val="0.74290940747999912"/>
          <c:y val="0.10571376494604846"/>
          <c:w val="0.24042382182064784"/>
          <c:h val="0.77473503705797198"/>
        </c:manualLayout>
      </c:layout>
      <c:overlay val="0"/>
      <c:txPr>
        <a:bodyPr/>
        <a:lstStyle/>
        <a:p>
          <a:pPr>
            <a:defRPr b="1"/>
          </a:pPr>
          <a:endParaRPr lang="en-US"/>
        </a:p>
      </c:txPr>
    </c:legend>
    <c:plotVisOnly val="1"/>
    <c:dispBlanksAs val="gap"/>
    <c:showDLblsOverMax val="0"/>
  </c:chart>
  <c:spPr>
    <a:ln>
      <a:noFill/>
    </a:ln>
  </c:sp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hart>
    <c:autoTitleDeleted val="1"/>
    <c:plotArea>
      <c:layout>
        <c:manualLayout>
          <c:layoutTarget val="inner"/>
          <c:xMode val="edge"/>
          <c:yMode val="edge"/>
          <c:x val="4.084720121028744E-2"/>
          <c:y val="1.0256410256410256E-2"/>
          <c:w val="0.94856278366111957"/>
          <c:h val="0.7846153846153846"/>
        </c:manualLayout>
      </c:layout>
      <c:lineChart>
        <c:grouping val="standard"/>
        <c:varyColors val="0"/>
        <c:ser>
          <c:idx val="2"/>
          <c:order val="0"/>
          <c:tx>
            <c:strRef>
              <c:f>'T-Assault Time'!$I$3</c:f>
              <c:strCache>
                <c:ptCount val="1"/>
                <c:pt idx="0">
                  <c:v>FY12</c:v>
                </c:pt>
              </c:strCache>
            </c:strRef>
          </c:tx>
          <c:spPr>
            <a:ln w="38100">
              <a:solidFill>
                <a:schemeClr val="tx2"/>
              </a:solidFill>
              <a:prstDash val="sysDot"/>
            </a:ln>
          </c:spPr>
          <c:marker>
            <c:symbol val="none"/>
          </c:marker>
          <c:cat>
            <c:numRef>
              <c:f>'T-Assault Time'!$C$4:$C$27</c:f>
              <c:numCache>
                <c:formatCode>[$-409]h:mm\ AM/PM;@</c:formatCode>
                <c:ptCount val="24"/>
                <c:pt idx="0">
                  <c:v>0.95833333333333337</c:v>
                </c:pt>
                <c:pt idx="1">
                  <c:v>0</c:v>
                </c:pt>
                <c:pt idx="2">
                  <c:v>4.1666666666666664E-2</c:v>
                </c:pt>
                <c:pt idx="3">
                  <c:v>8.3333333333333329E-2</c:v>
                </c:pt>
                <c:pt idx="4">
                  <c:v>0.125</c:v>
                </c:pt>
                <c:pt idx="5">
                  <c:v>0.16666666666666666</c:v>
                </c:pt>
                <c:pt idx="6">
                  <c:v>0.20833333333333334</c:v>
                </c:pt>
                <c:pt idx="7">
                  <c:v>0.25</c:v>
                </c:pt>
                <c:pt idx="8">
                  <c:v>0.29166666666666669</c:v>
                </c:pt>
                <c:pt idx="9">
                  <c:v>0.33333333333333331</c:v>
                </c:pt>
                <c:pt idx="10">
                  <c:v>0.375</c:v>
                </c:pt>
                <c:pt idx="11">
                  <c:v>0.41666666666666669</c:v>
                </c:pt>
                <c:pt idx="12">
                  <c:v>0.45833333333333331</c:v>
                </c:pt>
                <c:pt idx="13">
                  <c:v>0.5</c:v>
                </c:pt>
                <c:pt idx="14">
                  <c:v>0.54166666666666663</c:v>
                </c:pt>
                <c:pt idx="15">
                  <c:v>0.58333333333333337</c:v>
                </c:pt>
                <c:pt idx="16">
                  <c:v>0.625</c:v>
                </c:pt>
                <c:pt idx="17">
                  <c:v>0.66666666666666663</c:v>
                </c:pt>
                <c:pt idx="18">
                  <c:v>0.70833333333333337</c:v>
                </c:pt>
                <c:pt idx="19">
                  <c:v>0.75</c:v>
                </c:pt>
                <c:pt idx="20">
                  <c:v>0.79166666666666663</c:v>
                </c:pt>
                <c:pt idx="21">
                  <c:v>0.83333333333333337</c:v>
                </c:pt>
                <c:pt idx="22">
                  <c:v>0.875</c:v>
                </c:pt>
                <c:pt idx="23">
                  <c:v>0.91666666666666663</c:v>
                </c:pt>
              </c:numCache>
            </c:numRef>
          </c:cat>
          <c:val>
            <c:numRef>
              <c:f>'T-Assault Time'!$I$4:$I$27</c:f>
              <c:numCache>
                <c:formatCode>0.0%</c:formatCode>
                <c:ptCount val="24"/>
                <c:pt idx="0">
                  <c:v>1.5590200445434299E-2</c:v>
                </c:pt>
                <c:pt idx="1">
                  <c:v>4.4543429844097994E-3</c:v>
                </c:pt>
                <c:pt idx="2">
                  <c:v>1.1135857461024499E-2</c:v>
                </c:pt>
                <c:pt idx="3">
                  <c:v>1.1135857461024499E-2</c:v>
                </c:pt>
                <c:pt idx="4">
                  <c:v>1.1135857461024499E-2</c:v>
                </c:pt>
                <c:pt idx="5">
                  <c:v>4.4543429844097994E-3</c:v>
                </c:pt>
                <c:pt idx="6">
                  <c:v>2.0044543429844099E-2</c:v>
                </c:pt>
                <c:pt idx="7">
                  <c:v>5.5679287305122498E-2</c:v>
                </c:pt>
                <c:pt idx="8">
                  <c:v>7.3496659242761692E-2</c:v>
                </c:pt>
                <c:pt idx="9">
                  <c:v>9.3541202672605794E-2</c:v>
                </c:pt>
                <c:pt idx="10">
                  <c:v>6.6815144766147E-2</c:v>
                </c:pt>
                <c:pt idx="11">
                  <c:v>6.9042316258351888E-2</c:v>
                </c:pt>
                <c:pt idx="12">
                  <c:v>6.0133630289532294E-2</c:v>
                </c:pt>
                <c:pt idx="13">
                  <c:v>5.3452115812917596E-2</c:v>
                </c:pt>
                <c:pt idx="14">
                  <c:v>3.7861915367483297E-2</c:v>
                </c:pt>
                <c:pt idx="15">
                  <c:v>6.0133630289532294E-2</c:v>
                </c:pt>
                <c:pt idx="16">
                  <c:v>4.4543429844097995E-2</c:v>
                </c:pt>
                <c:pt idx="17">
                  <c:v>5.5679287305122498E-2</c:v>
                </c:pt>
                <c:pt idx="18">
                  <c:v>6.9042316258351888E-2</c:v>
                </c:pt>
                <c:pt idx="19">
                  <c:v>5.5679287305122498E-2</c:v>
                </c:pt>
                <c:pt idx="20">
                  <c:v>4.0089086859688199E-2</c:v>
                </c:pt>
                <c:pt idx="21">
                  <c:v>4.2316258351893093E-2</c:v>
                </c:pt>
                <c:pt idx="22">
                  <c:v>3.1180400890868598E-2</c:v>
                </c:pt>
                <c:pt idx="23">
                  <c:v>1.1135857461024499E-2</c:v>
                </c:pt>
              </c:numCache>
            </c:numRef>
          </c:val>
          <c:smooth val="1"/>
        </c:ser>
        <c:ser>
          <c:idx val="1"/>
          <c:order val="1"/>
          <c:tx>
            <c:strRef>
              <c:f>'T-Assault Time'!$J$3</c:f>
              <c:strCache>
                <c:ptCount val="1"/>
                <c:pt idx="0">
                  <c:v>FY13</c:v>
                </c:pt>
              </c:strCache>
            </c:strRef>
          </c:tx>
          <c:spPr>
            <a:ln w="38100" cap="sq">
              <a:solidFill>
                <a:srgbClr val="C00000"/>
              </a:solidFill>
              <a:prstDash val="sysDot"/>
              <a:miter lim="800000"/>
            </a:ln>
            <a:effectLst>
              <a:innerShdw blurRad="63500" dist="50800" dir="2700000">
                <a:prstClr val="black">
                  <a:alpha val="50000"/>
                </a:prstClr>
              </a:innerShdw>
            </a:effectLst>
          </c:spPr>
          <c:marker>
            <c:symbol val="none"/>
          </c:marker>
          <c:cat>
            <c:numRef>
              <c:f>'T-Assault Time'!$C$4:$C$27</c:f>
              <c:numCache>
                <c:formatCode>[$-409]h:mm\ AM/PM;@</c:formatCode>
                <c:ptCount val="24"/>
                <c:pt idx="0">
                  <c:v>0.95833333333333337</c:v>
                </c:pt>
                <c:pt idx="1">
                  <c:v>0</c:v>
                </c:pt>
                <c:pt idx="2">
                  <c:v>4.1666666666666664E-2</c:v>
                </c:pt>
                <c:pt idx="3">
                  <c:v>8.3333333333333329E-2</c:v>
                </c:pt>
                <c:pt idx="4">
                  <c:v>0.125</c:v>
                </c:pt>
                <c:pt idx="5">
                  <c:v>0.16666666666666666</c:v>
                </c:pt>
                <c:pt idx="6">
                  <c:v>0.20833333333333334</c:v>
                </c:pt>
                <c:pt idx="7">
                  <c:v>0.25</c:v>
                </c:pt>
                <c:pt idx="8">
                  <c:v>0.29166666666666669</c:v>
                </c:pt>
                <c:pt idx="9">
                  <c:v>0.33333333333333331</c:v>
                </c:pt>
                <c:pt idx="10">
                  <c:v>0.375</c:v>
                </c:pt>
                <c:pt idx="11">
                  <c:v>0.41666666666666669</c:v>
                </c:pt>
                <c:pt idx="12">
                  <c:v>0.45833333333333331</c:v>
                </c:pt>
                <c:pt idx="13">
                  <c:v>0.5</c:v>
                </c:pt>
                <c:pt idx="14">
                  <c:v>0.54166666666666663</c:v>
                </c:pt>
                <c:pt idx="15">
                  <c:v>0.58333333333333337</c:v>
                </c:pt>
                <c:pt idx="16">
                  <c:v>0.625</c:v>
                </c:pt>
                <c:pt idx="17">
                  <c:v>0.66666666666666663</c:v>
                </c:pt>
                <c:pt idx="18">
                  <c:v>0.70833333333333337</c:v>
                </c:pt>
                <c:pt idx="19">
                  <c:v>0.75</c:v>
                </c:pt>
                <c:pt idx="20">
                  <c:v>0.79166666666666663</c:v>
                </c:pt>
                <c:pt idx="21">
                  <c:v>0.83333333333333337</c:v>
                </c:pt>
                <c:pt idx="22">
                  <c:v>0.875</c:v>
                </c:pt>
                <c:pt idx="23">
                  <c:v>0.91666666666666663</c:v>
                </c:pt>
              </c:numCache>
            </c:numRef>
          </c:cat>
          <c:val>
            <c:numRef>
              <c:f>'T-Assault Time'!$J$4:$J$27</c:f>
              <c:numCache>
                <c:formatCode>0.0%</c:formatCode>
                <c:ptCount val="24"/>
                <c:pt idx="0">
                  <c:v>2.5404157043879907E-2</c:v>
                </c:pt>
                <c:pt idx="1">
                  <c:v>6.9284064665127024E-3</c:v>
                </c:pt>
                <c:pt idx="2">
                  <c:v>4.6189376443418013E-3</c:v>
                </c:pt>
                <c:pt idx="3">
                  <c:v>6.9284064665127024E-3</c:v>
                </c:pt>
                <c:pt idx="4">
                  <c:v>1.3856812933025405E-2</c:v>
                </c:pt>
                <c:pt idx="5">
                  <c:v>2.3094688221709007E-3</c:v>
                </c:pt>
                <c:pt idx="6">
                  <c:v>3.695150115473441E-2</c:v>
                </c:pt>
                <c:pt idx="7">
                  <c:v>2.771362586605081E-2</c:v>
                </c:pt>
                <c:pt idx="8">
                  <c:v>5.5427251732101619E-2</c:v>
                </c:pt>
                <c:pt idx="9">
                  <c:v>0.10161662817551963</c:v>
                </c:pt>
                <c:pt idx="10">
                  <c:v>7.1593533487297925E-2</c:v>
                </c:pt>
                <c:pt idx="11">
                  <c:v>4.8498845265588918E-2</c:v>
                </c:pt>
                <c:pt idx="12">
                  <c:v>7.3903002309468821E-2</c:v>
                </c:pt>
                <c:pt idx="13">
                  <c:v>6.6974595842956119E-2</c:v>
                </c:pt>
                <c:pt idx="14">
                  <c:v>5.0808314087759814E-2</c:v>
                </c:pt>
                <c:pt idx="15">
                  <c:v>6.4665127020785224E-2</c:v>
                </c:pt>
                <c:pt idx="16">
                  <c:v>6.0046189376443418E-2</c:v>
                </c:pt>
                <c:pt idx="17">
                  <c:v>4.3879907621247112E-2</c:v>
                </c:pt>
                <c:pt idx="18">
                  <c:v>6.2355658198614321E-2</c:v>
                </c:pt>
                <c:pt idx="19">
                  <c:v>7.1593533487297925E-2</c:v>
                </c:pt>
                <c:pt idx="20">
                  <c:v>4.8498845265588918E-2</c:v>
                </c:pt>
                <c:pt idx="21">
                  <c:v>3.2332563510392612E-2</c:v>
                </c:pt>
                <c:pt idx="22">
                  <c:v>4.6189376443418013E-3</c:v>
                </c:pt>
                <c:pt idx="23">
                  <c:v>9.2378752886836026E-3</c:v>
                </c:pt>
              </c:numCache>
            </c:numRef>
          </c:val>
          <c:smooth val="1"/>
        </c:ser>
        <c:ser>
          <c:idx val="0"/>
          <c:order val="2"/>
          <c:tx>
            <c:strRef>
              <c:f>'T-Assault Time'!$K$3</c:f>
              <c:strCache>
                <c:ptCount val="1"/>
                <c:pt idx="0">
                  <c:v>FY14</c:v>
                </c:pt>
              </c:strCache>
            </c:strRef>
          </c:tx>
          <c:spPr>
            <a:ln w="38100">
              <a:solidFill>
                <a:schemeClr val="accent2">
                  <a:lumMod val="50000"/>
                </a:schemeClr>
              </a:solidFill>
            </a:ln>
          </c:spPr>
          <c:marker>
            <c:symbol val="none"/>
          </c:marker>
          <c:cat>
            <c:numRef>
              <c:f>'T-Assault Time'!$C$4:$C$27</c:f>
              <c:numCache>
                <c:formatCode>[$-409]h:mm\ AM/PM;@</c:formatCode>
                <c:ptCount val="24"/>
                <c:pt idx="0">
                  <c:v>0.95833333333333337</c:v>
                </c:pt>
                <c:pt idx="1">
                  <c:v>0</c:v>
                </c:pt>
                <c:pt idx="2">
                  <c:v>4.1666666666666664E-2</c:v>
                </c:pt>
                <c:pt idx="3">
                  <c:v>8.3333333333333329E-2</c:v>
                </c:pt>
                <c:pt idx="4">
                  <c:v>0.125</c:v>
                </c:pt>
                <c:pt idx="5">
                  <c:v>0.16666666666666666</c:v>
                </c:pt>
                <c:pt idx="6">
                  <c:v>0.20833333333333334</c:v>
                </c:pt>
                <c:pt idx="7">
                  <c:v>0.25</c:v>
                </c:pt>
                <c:pt idx="8">
                  <c:v>0.29166666666666669</c:v>
                </c:pt>
                <c:pt idx="9">
                  <c:v>0.33333333333333331</c:v>
                </c:pt>
                <c:pt idx="10">
                  <c:v>0.375</c:v>
                </c:pt>
                <c:pt idx="11">
                  <c:v>0.41666666666666669</c:v>
                </c:pt>
                <c:pt idx="12">
                  <c:v>0.45833333333333331</c:v>
                </c:pt>
                <c:pt idx="13">
                  <c:v>0.5</c:v>
                </c:pt>
                <c:pt idx="14">
                  <c:v>0.54166666666666663</c:v>
                </c:pt>
                <c:pt idx="15">
                  <c:v>0.58333333333333337</c:v>
                </c:pt>
                <c:pt idx="16">
                  <c:v>0.625</c:v>
                </c:pt>
                <c:pt idx="17">
                  <c:v>0.66666666666666663</c:v>
                </c:pt>
                <c:pt idx="18">
                  <c:v>0.70833333333333337</c:v>
                </c:pt>
                <c:pt idx="19">
                  <c:v>0.75</c:v>
                </c:pt>
                <c:pt idx="20">
                  <c:v>0.79166666666666663</c:v>
                </c:pt>
                <c:pt idx="21">
                  <c:v>0.83333333333333337</c:v>
                </c:pt>
                <c:pt idx="22">
                  <c:v>0.875</c:v>
                </c:pt>
                <c:pt idx="23">
                  <c:v>0.91666666666666663</c:v>
                </c:pt>
              </c:numCache>
            </c:numRef>
          </c:cat>
          <c:val>
            <c:numRef>
              <c:f>'T-Assault Time'!$K$4:$K$27</c:f>
              <c:numCache>
                <c:formatCode>0.0%</c:formatCode>
                <c:ptCount val="24"/>
                <c:pt idx="0">
                  <c:v>1.4466546112115732E-2</c:v>
                </c:pt>
                <c:pt idx="1">
                  <c:v>1.4466546112115732E-2</c:v>
                </c:pt>
                <c:pt idx="2">
                  <c:v>5.4249547920433997E-3</c:v>
                </c:pt>
                <c:pt idx="3">
                  <c:v>9.0415913200723331E-3</c:v>
                </c:pt>
                <c:pt idx="4">
                  <c:v>9.0415913200723331E-3</c:v>
                </c:pt>
                <c:pt idx="5">
                  <c:v>7.2332730560578659E-3</c:v>
                </c:pt>
                <c:pt idx="6">
                  <c:v>3.074141048824593E-2</c:v>
                </c:pt>
                <c:pt idx="7">
                  <c:v>4.3399638336347197E-2</c:v>
                </c:pt>
                <c:pt idx="8">
                  <c:v>5.4249547920433995E-2</c:v>
                </c:pt>
                <c:pt idx="9">
                  <c:v>7.4141048824593131E-2</c:v>
                </c:pt>
                <c:pt idx="10">
                  <c:v>9.2224231464737794E-2</c:v>
                </c:pt>
                <c:pt idx="11">
                  <c:v>4.8824593128390596E-2</c:v>
                </c:pt>
                <c:pt idx="12">
                  <c:v>3.9783001808318265E-2</c:v>
                </c:pt>
                <c:pt idx="13">
                  <c:v>6.8716094032549732E-2</c:v>
                </c:pt>
                <c:pt idx="14">
                  <c:v>4.5207956600361664E-2</c:v>
                </c:pt>
                <c:pt idx="15">
                  <c:v>6.8716094032549732E-2</c:v>
                </c:pt>
                <c:pt idx="16">
                  <c:v>5.6057866184448461E-2</c:v>
                </c:pt>
                <c:pt idx="17">
                  <c:v>7.0524412296564198E-2</c:v>
                </c:pt>
                <c:pt idx="18">
                  <c:v>7.7757685352622063E-2</c:v>
                </c:pt>
                <c:pt idx="19">
                  <c:v>4.8824593128390596E-2</c:v>
                </c:pt>
                <c:pt idx="20">
                  <c:v>6.3291139240506333E-2</c:v>
                </c:pt>
                <c:pt idx="21">
                  <c:v>3.4358047016274866E-2</c:v>
                </c:pt>
                <c:pt idx="22">
                  <c:v>1.4466546112115732E-2</c:v>
                </c:pt>
                <c:pt idx="23">
                  <c:v>9.0415913200723331E-3</c:v>
                </c:pt>
              </c:numCache>
            </c:numRef>
          </c:val>
          <c:smooth val="1"/>
        </c:ser>
        <c:dLbls>
          <c:showLegendKey val="0"/>
          <c:showVal val="0"/>
          <c:showCatName val="0"/>
          <c:showSerName val="0"/>
          <c:showPercent val="0"/>
          <c:showBubbleSize val="0"/>
        </c:dLbls>
        <c:marker val="1"/>
        <c:smooth val="0"/>
        <c:axId val="378997760"/>
        <c:axId val="286224896"/>
      </c:lineChart>
      <c:catAx>
        <c:axId val="378997760"/>
        <c:scaling>
          <c:orientation val="minMax"/>
        </c:scaling>
        <c:delete val="0"/>
        <c:axPos val="b"/>
        <c:numFmt formatCode="[$-409]h:mm\ AM/PM;@" sourceLinked="1"/>
        <c:majorTickMark val="cross"/>
        <c:minorTickMark val="none"/>
        <c:tickLblPos val="nextTo"/>
        <c:txPr>
          <a:bodyPr rot="5400000" vert="horz" anchor="b" anchorCtr="1"/>
          <a:lstStyle/>
          <a:p>
            <a:pPr>
              <a:defRPr/>
            </a:pPr>
            <a:endParaRPr lang="en-US"/>
          </a:p>
        </c:txPr>
        <c:crossAx val="286224896"/>
        <c:crosses val="autoZero"/>
        <c:auto val="0"/>
        <c:lblAlgn val="ctr"/>
        <c:lblOffset val="100"/>
        <c:tickLblSkip val="1"/>
        <c:tickMarkSkip val="1"/>
        <c:noMultiLvlLbl val="0"/>
      </c:catAx>
      <c:valAx>
        <c:axId val="286224896"/>
        <c:scaling>
          <c:orientation val="minMax"/>
          <c:max val="0.12000000000000001"/>
          <c:min val="0"/>
        </c:scaling>
        <c:delete val="0"/>
        <c:axPos val="l"/>
        <c:majorGridlines>
          <c:spPr>
            <a:ln w="9525">
              <a:solidFill>
                <a:schemeClr val="bg1">
                  <a:lumMod val="75000"/>
                </a:schemeClr>
              </a:solidFill>
            </a:ln>
          </c:spPr>
        </c:majorGridlines>
        <c:numFmt formatCode="0%" sourceLinked="0"/>
        <c:majorTickMark val="out"/>
        <c:minorTickMark val="none"/>
        <c:tickLblPos val="nextTo"/>
        <c:txPr>
          <a:bodyPr rot="0" vert="horz"/>
          <a:lstStyle/>
          <a:p>
            <a:pPr>
              <a:defRPr/>
            </a:pPr>
            <a:endParaRPr lang="en-US"/>
          </a:p>
        </c:txPr>
        <c:crossAx val="378997760"/>
        <c:crossesAt val="1"/>
        <c:crossBetween val="between"/>
        <c:majorUnit val="2.0000000000000004E-2"/>
      </c:valAx>
    </c:plotArea>
    <c:legend>
      <c:legendPos val="t"/>
      <c:legendEntry>
        <c:idx val="0"/>
        <c:txPr>
          <a:bodyPr/>
          <a:lstStyle/>
          <a:p>
            <a:pPr>
              <a:defRPr sz="1100" b="1">
                <a:solidFill>
                  <a:schemeClr val="tx2"/>
                </a:solidFill>
                <a:latin typeface="Calibri" panose="020F0502020204030204" pitchFamily="34" charset="0"/>
              </a:defRPr>
            </a:pPr>
            <a:endParaRPr lang="en-US"/>
          </a:p>
        </c:txPr>
      </c:legendEntry>
      <c:legendEntry>
        <c:idx val="1"/>
        <c:txPr>
          <a:bodyPr/>
          <a:lstStyle/>
          <a:p>
            <a:pPr>
              <a:defRPr sz="1100" b="1">
                <a:solidFill>
                  <a:srgbClr val="C00000"/>
                </a:solidFill>
                <a:latin typeface="Calibri" panose="020F0502020204030204" pitchFamily="34" charset="0"/>
              </a:defRPr>
            </a:pPr>
            <a:endParaRPr lang="en-US"/>
          </a:p>
        </c:txPr>
      </c:legendEntry>
      <c:legendEntry>
        <c:idx val="2"/>
        <c:txPr>
          <a:bodyPr/>
          <a:lstStyle/>
          <a:p>
            <a:pPr>
              <a:defRPr sz="1100" b="1">
                <a:solidFill>
                  <a:schemeClr val="accent2">
                    <a:lumMod val="50000"/>
                  </a:schemeClr>
                </a:solidFill>
                <a:latin typeface="Calibri" panose="020F0502020204030204" pitchFamily="34" charset="0"/>
              </a:defRPr>
            </a:pPr>
            <a:endParaRPr lang="en-US"/>
          </a:p>
        </c:txPr>
      </c:legendEntry>
      <c:layout>
        <c:manualLayout>
          <c:xMode val="edge"/>
          <c:yMode val="edge"/>
          <c:x val="6.6680484909129159E-2"/>
          <c:y val="2.4615384615384615E-2"/>
          <c:w val="0.18509617577423676"/>
          <c:h val="0.22241277218541566"/>
        </c:manualLayout>
      </c:layout>
      <c:overlay val="0"/>
      <c:txPr>
        <a:bodyPr/>
        <a:lstStyle/>
        <a:p>
          <a:pPr>
            <a:defRPr sz="1100">
              <a:latin typeface="Calibri" panose="020F0502020204030204" pitchFamily="34" charset="0"/>
            </a:defRPr>
          </a:pPr>
          <a:endParaRPr lang="en-US"/>
        </a:p>
      </c:txPr>
    </c:legend>
    <c:plotVisOnly val="1"/>
    <c:dispBlanksAs val="gap"/>
    <c:showDLblsOverMax val="0"/>
  </c:chart>
  <c:spPr>
    <a:ln>
      <a:noFill/>
    </a:ln>
  </c:spPr>
  <c:externalData r:id="rId1">
    <c:autoUpdate val="0"/>
  </c:externalData>
  <c:userShapes r:id="rId2"/>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1"/>
    </mc:Choice>
    <mc:Fallback>
      <c:style val="21"/>
    </mc:Fallback>
  </mc:AlternateContent>
  <c:chart>
    <c:autoTitleDeleted val="0"/>
    <c:plotArea>
      <c:layout>
        <c:manualLayout>
          <c:layoutTarget val="inner"/>
          <c:xMode val="edge"/>
          <c:yMode val="edge"/>
          <c:x val="6.3013223825490725E-2"/>
          <c:y val="0.10546798767271208"/>
          <c:w val="0.75065185766735165"/>
          <c:h val="0.84759034259790378"/>
        </c:manualLayout>
      </c:layout>
      <c:pieChart>
        <c:varyColors val="1"/>
        <c:ser>
          <c:idx val="0"/>
          <c:order val="0"/>
          <c:dPt>
            <c:idx val="0"/>
            <c:bubble3D val="0"/>
            <c:spPr>
              <a:ln>
                <a:solidFill>
                  <a:schemeClr val="accent3">
                    <a:lumMod val="50000"/>
                  </a:schemeClr>
                </a:solidFill>
              </a:ln>
            </c:spPr>
          </c:dPt>
          <c:dPt>
            <c:idx val="1"/>
            <c:bubble3D val="0"/>
            <c:spPr>
              <a:solidFill>
                <a:srgbClr val="FFFF99"/>
              </a:solidFill>
              <a:ln w="9525" cap="flat" cmpd="sng" algn="ctr">
                <a:solidFill>
                  <a:schemeClr val="accent6"/>
                </a:solidFill>
                <a:prstDash val="solid"/>
              </a:ln>
              <a:effectLst>
                <a:outerShdw blurRad="40000" dist="20000" dir="5400000" rotWithShape="0">
                  <a:srgbClr val="000000">
                    <a:alpha val="38000"/>
                  </a:srgbClr>
                </a:outerShdw>
              </a:effectLst>
            </c:spPr>
          </c:dPt>
          <c:dPt>
            <c:idx val="2"/>
            <c:bubble3D val="0"/>
            <c:spPr>
              <a:solidFill>
                <a:schemeClr val="accent6"/>
              </a:solidFill>
              <a:ln w="9525" cap="flat" cmpd="sng" algn="ctr">
                <a:solidFill>
                  <a:schemeClr val="accent6"/>
                </a:solidFill>
                <a:prstDash val="solid"/>
              </a:ln>
              <a:effectLst>
                <a:outerShdw blurRad="40000" dist="20000" dir="5400000" rotWithShape="0">
                  <a:srgbClr val="000000">
                    <a:alpha val="38000"/>
                  </a:srgbClr>
                </a:outerShdw>
              </a:effectLst>
            </c:spPr>
          </c:dPt>
          <c:dPt>
            <c:idx val="3"/>
            <c:bubble3D val="0"/>
            <c:spPr>
              <a:solidFill>
                <a:schemeClr val="accent6">
                  <a:lumMod val="75000"/>
                </a:schemeClr>
              </a:solidFill>
              <a:ln w="9525" cap="flat" cmpd="sng" algn="ctr">
                <a:solidFill>
                  <a:schemeClr val="accent6">
                    <a:lumMod val="75000"/>
                  </a:schemeClr>
                </a:solidFill>
                <a:prstDash val="solid"/>
              </a:ln>
              <a:effectLst>
                <a:outerShdw blurRad="40000" dist="20000" dir="5400000" rotWithShape="0">
                  <a:srgbClr val="000000">
                    <a:alpha val="38000"/>
                  </a:srgbClr>
                </a:outerShdw>
              </a:effectLst>
            </c:spPr>
          </c:dPt>
          <c:dPt>
            <c:idx val="4"/>
            <c:bubble3D val="0"/>
            <c:spPr>
              <a:solidFill>
                <a:srgbClr val="C00000"/>
              </a:solidFill>
              <a:ln w="9525" cap="flat" cmpd="sng" algn="ctr">
                <a:solidFill>
                  <a:srgbClr val="C00000"/>
                </a:solidFill>
                <a:prstDash val="solid"/>
              </a:ln>
              <a:effectLst>
                <a:outerShdw blurRad="40000" dist="20000" dir="5400000" rotWithShape="0">
                  <a:srgbClr val="000000">
                    <a:alpha val="38000"/>
                  </a:srgbClr>
                </a:outerShdw>
              </a:effectLst>
            </c:spPr>
          </c:dPt>
          <c:dLbls>
            <c:dLbl>
              <c:idx val="0"/>
              <c:layout>
                <c:manualLayout>
                  <c:x val="7.3406799030503955E-2"/>
                  <c:y val="-0.17601601601601594"/>
                </c:manualLayout>
              </c:layout>
              <c:spPr/>
              <c:txPr>
                <a:bodyPr/>
                <a:lstStyle/>
                <a:p>
                  <a:pPr>
                    <a:defRPr sz="1100" b="1">
                      <a:solidFill>
                        <a:schemeClr val="accent3">
                          <a:lumMod val="20000"/>
                          <a:lumOff val="80000"/>
                        </a:schemeClr>
                      </a:solidFill>
                    </a:defRPr>
                  </a:pPr>
                  <a:endParaRPr lang="en-US"/>
                </a:p>
              </c:txPr>
              <c:showLegendKey val="0"/>
              <c:showVal val="1"/>
              <c:showCatName val="1"/>
              <c:showSerName val="0"/>
              <c:showPercent val="1"/>
              <c:showBubbleSize val="0"/>
              <c:separator>
</c:separator>
            </c:dLbl>
            <c:dLbl>
              <c:idx val="1"/>
              <c:spPr/>
              <c:txPr>
                <a:bodyPr/>
                <a:lstStyle/>
                <a:p>
                  <a:pPr>
                    <a:defRPr sz="1100" b="1">
                      <a:solidFill>
                        <a:schemeClr val="accent6">
                          <a:lumMod val="50000"/>
                        </a:schemeClr>
                      </a:solidFill>
                    </a:defRPr>
                  </a:pPr>
                  <a:endParaRPr lang="en-US"/>
                </a:p>
              </c:txPr>
              <c:showLegendKey val="0"/>
              <c:showVal val="1"/>
              <c:showCatName val="1"/>
              <c:showSerName val="0"/>
              <c:showPercent val="1"/>
              <c:showBubbleSize val="0"/>
            </c:dLbl>
            <c:dLbl>
              <c:idx val="2"/>
              <c:spPr/>
              <c:txPr>
                <a:bodyPr/>
                <a:lstStyle/>
                <a:p>
                  <a:pPr>
                    <a:defRPr sz="1100" b="1">
                      <a:solidFill>
                        <a:schemeClr val="accent6">
                          <a:lumMod val="50000"/>
                        </a:schemeClr>
                      </a:solidFill>
                    </a:defRPr>
                  </a:pPr>
                  <a:endParaRPr lang="en-US"/>
                </a:p>
              </c:txPr>
              <c:showLegendKey val="0"/>
              <c:showVal val="1"/>
              <c:showCatName val="1"/>
              <c:showSerName val="0"/>
              <c:showPercent val="1"/>
              <c:showBubbleSize val="0"/>
            </c:dLbl>
            <c:dLbl>
              <c:idx val="3"/>
              <c:layout>
                <c:manualLayout>
                  <c:x val="4.1570658930791544E-2"/>
                  <c:y val="-1.3501060115233344E-2"/>
                </c:manualLayout>
              </c:layout>
              <c:spPr/>
              <c:txPr>
                <a:bodyPr/>
                <a:lstStyle/>
                <a:p>
                  <a:pPr>
                    <a:defRPr sz="1100" b="1">
                      <a:solidFill>
                        <a:schemeClr val="accent6">
                          <a:lumMod val="50000"/>
                        </a:schemeClr>
                      </a:solidFill>
                    </a:defRPr>
                  </a:pPr>
                  <a:endParaRPr lang="en-US"/>
                </a:p>
              </c:txPr>
              <c:showLegendKey val="0"/>
              <c:showVal val="1"/>
              <c:showCatName val="1"/>
              <c:showSerName val="0"/>
              <c:showPercent val="1"/>
              <c:showBubbleSize val="0"/>
              <c:separator>
</c:separator>
            </c:dLbl>
            <c:dLbl>
              <c:idx val="4"/>
              <c:layout>
                <c:manualLayout>
                  <c:x val="2.4950960077358753E-2"/>
                  <c:y val="0.11497229512977544"/>
                </c:manualLayout>
              </c:layout>
              <c:spPr/>
              <c:txPr>
                <a:bodyPr/>
                <a:lstStyle/>
                <a:p>
                  <a:pPr>
                    <a:defRPr sz="1100" b="1">
                      <a:solidFill>
                        <a:srgbClr val="C00000"/>
                      </a:solidFill>
                    </a:defRPr>
                  </a:pPr>
                  <a:endParaRPr lang="en-US"/>
                </a:p>
              </c:txPr>
              <c:showLegendKey val="0"/>
              <c:showVal val="1"/>
              <c:showCatName val="1"/>
              <c:showSerName val="0"/>
              <c:showPercent val="1"/>
              <c:showBubbleSize val="0"/>
              <c:separator>
</c:separator>
            </c:dLbl>
            <c:txPr>
              <a:bodyPr/>
              <a:lstStyle/>
              <a:p>
                <a:pPr>
                  <a:defRPr sz="1100" b="1"/>
                </a:pPr>
                <a:endParaRPr lang="en-US"/>
              </a:p>
            </c:txPr>
            <c:showLegendKey val="0"/>
            <c:showVal val="1"/>
            <c:showCatName val="1"/>
            <c:showSerName val="0"/>
            <c:showPercent val="1"/>
            <c:showBubbleSize val="0"/>
            <c:separator>
</c:separator>
            <c:showLeaderLines val="1"/>
          </c:dLbls>
          <c:cat>
            <c:strRef>
              <c:f>'T-AggressorsFY14'!$B$20:$B$24</c:f>
              <c:strCache>
                <c:ptCount val="5"/>
                <c:pt idx="0">
                  <c:v>None</c:v>
                </c:pt>
                <c:pt idx="1">
                  <c:v>Once</c:v>
                </c:pt>
                <c:pt idx="2">
                  <c:v>2~5 Times</c:v>
                </c:pt>
                <c:pt idx="3">
                  <c:v>6~10 Times</c:v>
                </c:pt>
                <c:pt idx="4">
                  <c:v>&gt;=11 Times</c:v>
                </c:pt>
              </c:strCache>
            </c:strRef>
          </c:cat>
          <c:val>
            <c:numRef>
              <c:f>'T-AggressorsFY14'!$C$20:$C$24</c:f>
              <c:numCache>
                <c:formatCode>General</c:formatCode>
                <c:ptCount val="5"/>
                <c:pt idx="0">
                  <c:v>401</c:v>
                </c:pt>
                <c:pt idx="1">
                  <c:v>71</c:v>
                </c:pt>
                <c:pt idx="2">
                  <c:v>105</c:v>
                </c:pt>
                <c:pt idx="3">
                  <c:v>34</c:v>
                </c:pt>
                <c:pt idx="4">
                  <c:v>25</c:v>
                </c:pt>
              </c:numCache>
            </c:numRef>
          </c:val>
        </c:ser>
        <c:dLbls>
          <c:showLegendKey val="0"/>
          <c:showVal val="0"/>
          <c:showCatName val="0"/>
          <c:showSerName val="0"/>
          <c:showPercent val="0"/>
          <c:showBubbleSize val="0"/>
          <c:showLeaderLines val="1"/>
        </c:dLbls>
        <c:firstSliceAng val="90"/>
      </c:pieChart>
    </c:plotArea>
    <c:plotVisOnly val="1"/>
    <c:dispBlanksAs val="gap"/>
    <c:showDLblsOverMax val="0"/>
  </c:chart>
  <c:spPr>
    <a:ln>
      <a:noFill/>
    </a:ln>
  </c:spPr>
  <c:externalData r:id="rId1">
    <c:autoUpdate val="0"/>
  </c:externalData>
  <c:userShapes r:id="rId2"/>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354798471973186E-2"/>
          <c:y val="0.11781505572672982"/>
          <c:w val="0.97264526549565922"/>
          <c:h val="0.70470325991859717"/>
        </c:manualLayout>
      </c:layout>
      <c:barChart>
        <c:barDir val="col"/>
        <c:grouping val="clustered"/>
        <c:varyColors val="0"/>
        <c:ser>
          <c:idx val="1"/>
          <c:order val="0"/>
          <c:tx>
            <c:v>Total Frequency of Participatios as Aggressors (n=1146)</c:v>
          </c:tx>
          <c:spPr>
            <a:gradFill>
              <a:gsLst>
                <a:gs pos="0">
                  <a:srgbClr val="C0504D">
                    <a:lumMod val="50000"/>
                  </a:srgbClr>
                </a:gs>
                <a:gs pos="50000">
                  <a:srgbClr val="C0504D">
                    <a:lumMod val="75000"/>
                  </a:srgbClr>
                </a:gs>
                <a:gs pos="100000">
                  <a:schemeClr val="accent2">
                    <a:lumMod val="20000"/>
                    <a:lumOff val="80000"/>
                  </a:schemeClr>
                </a:gs>
              </a:gsLst>
              <a:lin ang="5400000" scaled="0"/>
            </a:gradFill>
            <a:ln>
              <a:solidFill>
                <a:schemeClr val="accent2">
                  <a:lumMod val="50000"/>
                </a:schemeClr>
              </a:solidFill>
            </a:ln>
          </c:spPr>
          <c:invertIfNegative val="0"/>
          <c:dLbls>
            <c:txPr>
              <a:bodyPr/>
              <a:lstStyle/>
              <a:p>
                <a:pPr>
                  <a:defRPr sz="1200" b="1" u="sng">
                    <a:solidFill>
                      <a:srgbClr val="C00000"/>
                    </a:solidFill>
                  </a:defRPr>
                </a:pPr>
                <a:endParaRPr lang="en-US"/>
              </a:p>
            </c:txPr>
            <c:showLegendKey val="0"/>
            <c:showVal val="1"/>
            <c:showCatName val="0"/>
            <c:showSerName val="0"/>
            <c:showPercent val="0"/>
            <c:showBubbleSize val="0"/>
            <c:showLeaderLines val="0"/>
          </c:dLbls>
          <c:cat>
            <c:strRef>
              <c:f>'T-AggressorsFY14'!$B$21:$B$24</c:f>
              <c:strCache>
                <c:ptCount val="4"/>
                <c:pt idx="0">
                  <c:v>Once</c:v>
                </c:pt>
                <c:pt idx="1">
                  <c:v>2~5 Times</c:v>
                </c:pt>
                <c:pt idx="2">
                  <c:v>6~10 Times</c:v>
                </c:pt>
                <c:pt idx="3">
                  <c:v>&gt;=11 Times</c:v>
                </c:pt>
              </c:strCache>
            </c:strRef>
          </c:cat>
          <c:val>
            <c:numRef>
              <c:f>'T-AggressorsFY14'!$E$21:$E$24</c:f>
              <c:numCache>
                <c:formatCode>General</c:formatCode>
                <c:ptCount val="4"/>
                <c:pt idx="0">
                  <c:v>71</c:v>
                </c:pt>
                <c:pt idx="1">
                  <c:v>319</c:v>
                </c:pt>
                <c:pt idx="2">
                  <c:v>245</c:v>
                </c:pt>
                <c:pt idx="3">
                  <c:v>511</c:v>
                </c:pt>
              </c:numCache>
            </c:numRef>
          </c:val>
        </c:ser>
        <c:dLbls>
          <c:showLegendKey val="0"/>
          <c:showVal val="0"/>
          <c:showCatName val="0"/>
          <c:showSerName val="0"/>
          <c:showPercent val="0"/>
          <c:showBubbleSize val="0"/>
        </c:dLbls>
        <c:gapWidth val="30"/>
        <c:axId val="286339584"/>
        <c:axId val="286222592"/>
      </c:barChart>
      <c:barChart>
        <c:barDir val="col"/>
        <c:grouping val="clustered"/>
        <c:varyColors val="0"/>
        <c:ser>
          <c:idx val="0"/>
          <c:order val="1"/>
          <c:tx>
            <c:v>Unique Individuals Identified as Aggressors (n=235)</c:v>
          </c:tx>
          <c:spPr>
            <a:gradFill>
              <a:gsLst>
                <a:gs pos="0">
                  <a:schemeClr val="tx2">
                    <a:lumMod val="50000"/>
                  </a:schemeClr>
                </a:gs>
                <a:gs pos="50000">
                  <a:schemeClr val="tx2">
                    <a:lumMod val="75000"/>
                  </a:schemeClr>
                </a:gs>
                <a:gs pos="100000">
                  <a:schemeClr val="tx2">
                    <a:lumMod val="60000"/>
                    <a:lumOff val="40000"/>
                  </a:schemeClr>
                </a:gs>
              </a:gsLst>
              <a:lin ang="5400000" scaled="0"/>
            </a:gradFill>
            <a:ln>
              <a:solidFill>
                <a:schemeClr val="tx2"/>
              </a:solidFill>
            </a:ln>
          </c:spPr>
          <c:invertIfNegative val="0"/>
          <c:dLbls>
            <c:dLbl>
              <c:idx val="1"/>
              <c:layout>
                <c:manualLayout>
                  <c:x val="0"/>
                  <c:y val="6.8212560386473289E-2"/>
                </c:manualLayout>
              </c:layout>
              <c:dLblPos val="outEnd"/>
              <c:showLegendKey val="0"/>
              <c:showVal val="1"/>
              <c:showCatName val="0"/>
              <c:showSerName val="0"/>
              <c:showPercent val="0"/>
              <c:showBubbleSize val="0"/>
            </c:dLbl>
            <c:dLbl>
              <c:idx val="4"/>
              <c:layout>
                <c:manualLayout>
                  <c:x val="0"/>
                  <c:y val="4.8113954505686826E-2"/>
                </c:manualLayout>
              </c:layout>
              <c:dLblPos val="outEnd"/>
              <c:showLegendKey val="0"/>
              <c:showVal val="1"/>
              <c:showCatName val="0"/>
              <c:showSerName val="0"/>
              <c:showPercent val="0"/>
              <c:showBubbleSize val="0"/>
            </c:dLbl>
            <c:txPr>
              <a:bodyPr/>
              <a:lstStyle/>
              <a:p>
                <a:pPr>
                  <a:defRPr sz="1200" b="1">
                    <a:solidFill>
                      <a:schemeClr val="bg1"/>
                    </a:solidFill>
                    <a:effectLst>
                      <a:glow rad="101600">
                        <a:srgbClr val="1F497D"/>
                      </a:glow>
                    </a:effectLst>
                  </a:defRPr>
                </a:pPr>
                <a:endParaRPr lang="en-US"/>
              </a:p>
            </c:txPr>
            <c:dLblPos val="inEnd"/>
            <c:showLegendKey val="0"/>
            <c:showVal val="1"/>
            <c:showCatName val="0"/>
            <c:showSerName val="0"/>
            <c:showPercent val="0"/>
            <c:showBubbleSize val="0"/>
            <c:showLeaderLines val="0"/>
          </c:dLbls>
          <c:cat>
            <c:strRef>
              <c:f>'C:\SEH PID\Ad-hoc Data Request\Physical Assaults\[Violent UIs.xlsx]Summary Tables'!$A$39:$A$43</c:f>
              <c:strCache>
                <c:ptCount val="5"/>
                <c:pt idx="0">
                  <c:v>Once</c:v>
                </c:pt>
                <c:pt idx="1">
                  <c:v>Twice</c:v>
                </c:pt>
                <c:pt idx="2">
                  <c:v>3~5 Times</c:v>
                </c:pt>
                <c:pt idx="3">
                  <c:v>6~9 Times</c:v>
                </c:pt>
                <c:pt idx="4">
                  <c:v>&gt;=10 Times</c:v>
                </c:pt>
              </c:strCache>
            </c:strRef>
          </c:cat>
          <c:val>
            <c:numRef>
              <c:f>'T-AggressorsFY14'!$C$21:$C$24</c:f>
              <c:numCache>
                <c:formatCode>General</c:formatCode>
                <c:ptCount val="4"/>
                <c:pt idx="0">
                  <c:v>71</c:v>
                </c:pt>
                <c:pt idx="1">
                  <c:v>105</c:v>
                </c:pt>
                <c:pt idx="2">
                  <c:v>34</c:v>
                </c:pt>
                <c:pt idx="3">
                  <c:v>25</c:v>
                </c:pt>
              </c:numCache>
            </c:numRef>
          </c:val>
        </c:ser>
        <c:dLbls>
          <c:showLegendKey val="0"/>
          <c:showVal val="0"/>
          <c:showCatName val="0"/>
          <c:showSerName val="0"/>
          <c:showPercent val="0"/>
          <c:showBubbleSize val="0"/>
        </c:dLbls>
        <c:gapWidth val="100"/>
        <c:axId val="286341120"/>
        <c:axId val="286223168"/>
      </c:barChart>
      <c:catAx>
        <c:axId val="286339584"/>
        <c:scaling>
          <c:orientation val="minMax"/>
        </c:scaling>
        <c:delete val="0"/>
        <c:axPos val="b"/>
        <c:title>
          <c:tx>
            <c:rich>
              <a:bodyPr/>
              <a:lstStyle/>
              <a:p>
                <a:pPr>
                  <a:defRPr sz="1100" b="0" i="1" u="sng">
                    <a:solidFill>
                      <a:sysClr val="windowText" lastClr="000000"/>
                    </a:solidFill>
                  </a:defRPr>
                </a:pPr>
                <a:r>
                  <a:rPr lang="en-US" sz="1100" b="0" i="1" u="sng">
                    <a:solidFill>
                      <a:sysClr val="windowText" lastClr="000000"/>
                    </a:solidFill>
                  </a:rPr>
                  <a:t>Total Frequency Identified as</a:t>
                </a:r>
                <a:r>
                  <a:rPr lang="en-US" sz="1100" b="0" i="1" u="sng" baseline="0">
                    <a:solidFill>
                      <a:sysClr val="windowText" lastClr="000000"/>
                    </a:solidFill>
                  </a:rPr>
                  <a:t> Aggressors in FY14</a:t>
                </a:r>
                <a:endParaRPr lang="en-US" sz="1100" b="0" i="1" u="sng">
                  <a:solidFill>
                    <a:sysClr val="windowText" lastClr="000000"/>
                  </a:solidFill>
                </a:endParaRPr>
              </a:p>
            </c:rich>
          </c:tx>
          <c:layout>
            <c:manualLayout>
              <c:xMode val="edge"/>
              <c:yMode val="edge"/>
              <c:x val="0.12789948286167202"/>
              <c:y val="0.91126478755372975"/>
            </c:manualLayout>
          </c:layout>
          <c:overlay val="0"/>
        </c:title>
        <c:majorTickMark val="out"/>
        <c:minorTickMark val="none"/>
        <c:tickLblPos val="nextTo"/>
        <c:txPr>
          <a:bodyPr/>
          <a:lstStyle/>
          <a:p>
            <a:pPr>
              <a:defRPr sz="1100" b="1">
                <a:solidFill>
                  <a:sysClr val="windowText" lastClr="000000"/>
                </a:solidFill>
              </a:defRPr>
            </a:pPr>
            <a:endParaRPr lang="en-US"/>
          </a:p>
        </c:txPr>
        <c:crossAx val="286222592"/>
        <c:crosses val="autoZero"/>
        <c:auto val="1"/>
        <c:lblAlgn val="ctr"/>
        <c:lblOffset val="100"/>
        <c:noMultiLvlLbl val="0"/>
      </c:catAx>
      <c:valAx>
        <c:axId val="286222592"/>
        <c:scaling>
          <c:orientation val="minMax"/>
          <c:max val="600"/>
          <c:min val="0"/>
        </c:scaling>
        <c:delete val="0"/>
        <c:axPos val="l"/>
        <c:numFmt formatCode="General" sourceLinked="1"/>
        <c:majorTickMark val="none"/>
        <c:minorTickMark val="none"/>
        <c:tickLblPos val="none"/>
        <c:spPr>
          <a:ln>
            <a:noFill/>
          </a:ln>
        </c:spPr>
        <c:crossAx val="286339584"/>
        <c:crosses val="autoZero"/>
        <c:crossBetween val="between"/>
        <c:majorUnit val="100"/>
      </c:valAx>
      <c:valAx>
        <c:axId val="286223168"/>
        <c:scaling>
          <c:orientation val="minMax"/>
          <c:max val="600"/>
          <c:min val="0"/>
        </c:scaling>
        <c:delete val="0"/>
        <c:axPos val="r"/>
        <c:numFmt formatCode="General" sourceLinked="1"/>
        <c:majorTickMark val="none"/>
        <c:minorTickMark val="none"/>
        <c:tickLblPos val="none"/>
        <c:spPr>
          <a:ln>
            <a:noFill/>
          </a:ln>
        </c:spPr>
        <c:crossAx val="286341120"/>
        <c:crosses val="max"/>
        <c:crossBetween val="between"/>
      </c:valAx>
      <c:catAx>
        <c:axId val="286341120"/>
        <c:scaling>
          <c:orientation val="minMax"/>
        </c:scaling>
        <c:delete val="1"/>
        <c:axPos val="b"/>
        <c:majorTickMark val="out"/>
        <c:minorTickMark val="none"/>
        <c:tickLblPos val="none"/>
        <c:crossAx val="286223168"/>
        <c:crosses val="autoZero"/>
        <c:auto val="1"/>
        <c:lblAlgn val="ctr"/>
        <c:lblOffset val="100"/>
        <c:noMultiLvlLbl val="0"/>
      </c:catAx>
    </c:plotArea>
    <c:legend>
      <c:legendPos val="r"/>
      <c:legendEntry>
        <c:idx val="0"/>
        <c:txPr>
          <a:bodyPr/>
          <a:lstStyle/>
          <a:p>
            <a:pPr>
              <a:defRPr sz="1050" b="1" u="sng">
                <a:solidFill>
                  <a:srgbClr val="C00000"/>
                </a:solidFill>
              </a:defRPr>
            </a:pPr>
            <a:endParaRPr lang="en-US"/>
          </a:p>
        </c:txPr>
      </c:legendEntry>
      <c:legendEntry>
        <c:idx val="1"/>
        <c:txPr>
          <a:bodyPr/>
          <a:lstStyle/>
          <a:p>
            <a:pPr>
              <a:defRPr sz="1050" b="1">
                <a:solidFill>
                  <a:schemeClr val="tx2">
                    <a:lumMod val="50000"/>
                  </a:schemeClr>
                </a:solidFill>
              </a:defRPr>
            </a:pPr>
            <a:endParaRPr lang="en-US"/>
          </a:p>
        </c:txPr>
      </c:legendEntry>
      <c:layout>
        <c:manualLayout>
          <c:xMode val="edge"/>
          <c:yMode val="edge"/>
          <c:x val="2.6348067877653902E-3"/>
          <c:y val="1.8076733582363634E-2"/>
          <c:w val="0.96348509654115011"/>
          <c:h val="0.13497417170679751"/>
        </c:manualLayout>
      </c:layout>
      <c:overlay val="0"/>
      <c:txPr>
        <a:bodyPr/>
        <a:lstStyle/>
        <a:p>
          <a:pPr>
            <a:defRPr sz="1050" b="1"/>
          </a:pPr>
          <a:endParaRPr lang="en-US"/>
        </a:p>
      </c:txPr>
    </c:legend>
    <c:plotVisOnly val="1"/>
    <c:dispBlanksAs val="gap"/>
    <c:showDLblsOverMax val="0"/>
  </c:chart>
  <c:spPr>
    <a:ln>
      <a:noFill/>
    </a:ln>
  </c:spPr>
  <c:externalData r:id="rId1">
    <c:autoUpdate val="0"/>
  </c:externalData>
  <c:userShapes r:id="rId2"/>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2"/>
    </mc:Choice>
    <mc:Fallback>
      <c:style val="12"/>
    </mc:Fallback>
  </mc:AlternateContent>
  <c:chart>
    <c:autoTitleDeleted val="0"/>
    <c:plotArea>
      <c:layout>
        <c:manualLayout>
          <c:layoutTarget val="inner"/>
          <c:xMode val="edge"/>
          <c:yMode val="edge"/>
          <c:x val="0.12617312414112009"/>
          <c:y val="3.9020625501894397E-2"/>
          <c:w val="0.62692928779796964"/>
          <c:h val="0.79969883641341533"/>
        </c:manualLayout>
      </c:layout>
      <c:barChart>
        <c:barDir val="col"/>
        <c:grouping val="percentStacked"/>
        <c:varyColors val="0"/>
        <c:ser>
          <c:idx val="0"/>
          <c:order val="0"/>
          <c:tx>
            <c:strRef>
              <c:f>'T-AggressorsFY14'!$A$36</c:f>
              <c:strCache>
                <c:ptCount val="1"/>
                <c:pt idx="0">
                  <c:v>&lt;30 days</c:v>
                </c:pt>
              </c:strCache>
            </c:strRef>
          </c:tx>
          <c:spPr>
            <a:solidFill>
              <a:srgbClr val="471A19"/>
            </a:solidFill>
          </c:spPr>
          <c:invertIfNegative val="0"/>
          <c:dLbls>
            <c:txPr>
              <a:bodyPr/>
              <a:lstStyle/>
              <a:p>
                <a:pPr>
                  <a:defRPr b="1">
                    <a:solidFill>
                      <a:schemeClr val="bg1"/>
                    </a:solidFill>
                  </a:defRPr>
                </a:pPr>
                <a:endParaRPr lang="en-US"/>
              </a:p>
            </c:txPr>
            <c:showLegendKey val="0"/>
            <c:showVal val="1"/>
            <c:showCatName val="0"/>
            <c:showSerName val="0"/>
            <c:showPercent val="0"/>
            <c:showBubbleSize val="0"/>
            <c:showLeaderLines val="0"/>
          </c:dLbls>
          <c:cat>
            <c:strRef>
              <c:f>'T-AggressorsFY14'!$E$30:$G$30</c:f>
              <c:strCache>
                <c:ptCount val="3"/>
                <c:pt idx="0">
                  <c:v>All in Care  on 9/30/14 (n=278)</c:v>
                </c:pt>
                <c:pt idx="1">
                  <c:v>Assault Aggressors in FY14 (n=476)</c:v>
                </c:pt>
                <c:pt idx="2">
                  <c:v>Agg. Beh. Aggressors in FY14 (n=670)</c:v>
                </c:pt>
              </c:strCache>
            </c:strRef>
          </c:cat>
          <c:val>
            <c:numRef>
              <c:f>'T-AggressorsFY14'!$E$36:$G$36</c:f>
              <c:numCache>
                <c:formatCode>0%</c:formatCode>
                <c:ptCount val="3"/>
                <c:pt idx="0">
                  <c:v>0.12589928057553956</c:v>
                </c:pt>
                <c:pt idx="1">
                  <c:v>0.24369747899159663</c:v>
                </c:pt>
                <c:pt idx="2">
                  <c:v>0.28315946348733234</c:v>
                </c:pt>
              </c:numCache>
            </c:numRef>
          </c:val>
        </c:ser>
        <c:ser>
          <c:idx val="1"/>
          <c:order val="1"/>
          <c:tx>
            <c:strRef>
              <c:f>'T-AggressorsFY14'!$A$35</c:f>
              <c:strCache>
                <c:ptCount val="1"/>
                <c:pt idx="0">
                  <c:v>&gt;=30 and &lt;90 days</c:v>
                </c:pt>
              </c:strCache>
            </c:strRef>
          </c:tx>
          <c:spPr>
            <a:solidFill>
              <a:srgbClr val="82302E"/>
            </a:solidFill>
          </c:spPr>
          <c:invertIfNegative val="0"/>
          <c:dLbls>
            <c:txPr>
              <a:bodyPr/>
              <a:lstStyle/>
              <a:p>
                <a:pPr>
                  <a:defRPr b="1">
                    <a:solidFill>
                      <a:schemeClr val="bg1"/>
                    </a:solidFill>
                  </a:defRPr>
                </a:pPr>
                <a:endParaRPr lang="en-US"/>
              </a:p>
            </c:txPr>
            <c:showLegendKey val="0"/>
            <c:showVal val="1"/>
            <c:showCatName val="0"/>
            <c:showSerName val="0"/>
            <c:showPercent val="0"/>
            <c:showBubbleSize val="0"/>
            <c:showLeaderLines val="0"/>
          </c:dLbls>
          <c:cat>
            <c:strRef>
              <c:f>'T-AggressorsFY14'!$E$30:$G$30</c:f>
              <c:strCache>
                <c:ptCount val="3"/>
                <c:pt idx="0">
                  <c:v>All in Care  on 9/30/14 (n=278)</c:v>
                </c:pt>
                <c:pt idx="1">
                  <c:v>Assault Aggressors in FY14 (n=476)</c:v>
                </c:pt>
                <c:pt idx="2">
                  <c:v>Agg. Beh. Aggressors in FY14 (n=670)</c:v>
                </c:pt>
              </c:strCache>
            </c:strRef>
          </c:cat>
          <c:val>
            <c:numRef>
              <c:f>'T-AggressorsFY14'!$E$35:$G$35</c:f>
              <c:numCache>
                <c:formatCode>0%</c:formatCode>
                <c:ptCount val="3"/>
                <c:pt idx="0">
                  <c:v>0.15827338129496402</c:v>
                </c:pt>
                <c:pt idx="1">
                  <c:v>0.11554621848739496</c:v>
                </c:pt>
                <c:pt idx="2">
                  <c:v>0.14307004470938897</c:v>
                </c:pt>
              </c:numCache>
            </c:numRef>
          </c:val>
        </c:ser>
        <c:ser>
          <c:idx val="2"/>
          <c:order val="2"/>
          <c:tx>
            <c:strRef>
              <c:f>'T-AggressorsFY14'!$A$34</c:f>
              <c:strCache>
                <c:ptCount val="1"/>
                <c:pt idx="0">
                  <c:v>&gt;=90 and &lt;180 days</c:v>
                </c:pt>
              </c:strCache>
            </c:strRef>
          </c:tx>
          <c:invertIfNegative val="0"/>
          <c:dLbls>
            <c:txPr>
              <a:bodyPr/>
              <a:lstStyle/>
              <a:p>
                <a:pPr>
                  <a:defRPr b="1">
                    <a:solidFill>
                      <a:schemeClr val="bg1"/>
                    </a:solidFill>
                  </a:defRPr>
                </a:pPr>
                <a:endParaRPr lang="en-US"/>
              </a:p>
            </c:txPr>
            <c:showLegendKey val="0"/>
            <c:showVal val="1"/>
            <c:showCatName val="0"/>
            <c:showSerName val="0"/>
            <c:showPercent val="0"/>
            <c:showBubbleSize val="0"/>
            <c:showLeaderLines val="0"/>
          </c:dLbls>
          <c:cat>
            <c:strRef>
              <c:f>'T-AggressorsFY14'!$E$30:$G$30</c:f>
              <c:strCache>
                <c:ptCount val="3"/>
                <c:pt idx="0">
                  <c:v>All in Care  on 9/30/14 (n=278)</c:v>
                </c:pt>
                <c:pt idx="1">
                  <c:v>Assault Aggressors in FY14 (n=476)</c:v>
                </c:pt>
                <c:pt idx="2">
                  <c:v>Agg. Beh. Aggressors in FY14 (n=670)</c:v>
                </c:pt>
              </c:strCache>
            </c:strRef>
          </c:cat>
          <c:val>
            <c:numRef>
              <c:f>'T-AggressorsFY14'!$E$34:$G$34</c:f>
              <c:numCache>
                <c:formatCode>0%</c:formatCode>
                <c:ptCount val="3"/>
                <c:pt idx="0">
                  <c:v>0.11870503597122302</c:v>
                </c:pt>
                <c:pt idx="1">
                  <c:v>8.1932773109243698E-2</c:v>
                </c:pt>
                <c:pt idx="2">
                  <c:v>8.9418777943368111E-2</c:v>
                </c:pt>
              </c:numCache>
            </c:numRef>
          </c:val>
        </c:ser>
        <c:ser>
          <c:idx val="3"/>
          <c:order val="3"/>
          <c:tx>
            <c:strRef>
              <c:f>'T-AggressorsFY14'!$A$33</c:f>
              <c:strCache>
                <c:ptCount val="1"/>
                <c:pt idx="0">
                  <c:v>&gt;=180 and &lt;365 days</c:v>
                </c:pt>
              </c:strCache>
            </c:strRef>
          </c:tx>
          <c:invertIfNegative val="0"/>
          <c:dLbls>
            <c:txPr>
              <a:bodyPr/>
              <a:lstStyle/>
              <a:p>
                <a:pPr>
                  <a:defRPr b="1"/>
                </a:pPr>
                <a:endParaRPr lang="en-US"/>
              </a:p>
            </c:txPr>
            <c:showLegendKey val="0"/>
            <c:showVal val="1"/>
            <c:showCatName val="0"/>
            <c:showSerName val="0"/>
            <c:showPercent val="0"/>
            <c:showBubbleSize val="0"/>
            <c:showLeaderLines val="0"/>
          </c:dLbls>
          <c:cat>
            <c:strRef>
              <c:f>'T-AggressorsFY14'!$E$30:$G$30</c:f>
              <c:strCache>
                <c:ptCount val="3"/>
                <c:pt idx="0">
                  <c:v>All in Care  on 9/30/14 (n=278)</c:v>
                </c:pt>
                <c:pt idx="1">
                  <c:v>Assault Aggressors in FY14 (n=476)</c:v>
                </c:pt>
                <c:pt idx="2">
                  <c:v>Agg. Beh. Aggressors in FY14 (n=670)</c:v>
                </c:pt>
              </c:strCache>
            </c:strRef>
          </c:cat>
          <c:val>
            <c:numRef>
              <c:f>'T-AggressorsFY14'!$E$33:$G$33</c:f>
              <c:numCache>
                <c:formatCode>0%</c:formatCode>
                <c:ptCount val="3"/>
                <c:pt idx="0">
                  <c:v>8.2733812949640287E-2</c:v>
                </c:pt>
                <c:pt idx="1">
                  <c:v>0.12184873949579832</c:v>
                </c:pt>
                <c:pt idx="2">
                  <c:v>0.12071535022354694</c:v>
                </c:pt>
              </c:numCache>
            </c:numRef>
          </c:val>
        </c:ser>
        <c:ser>
          <c:idx val="4"/>
          <c:order val="4"/>
          <c:tx>
            <c:strRef>
              <c:f>'T-AggressorsFY14'!$A$32</c:f>
              <c:strCache>
                <c:ptCount val="1"/>
                <c:pt idx="0">
                  <c:v>&gt;=1 year and &lt;10 years</c:v>
                </c:pt>
              </c:strCache>
            </c:strRef>
          </c:tx>
          <c:invertIfNegative val="0"/>
          <c:dLbls>
            <c:txPr>
              <a:bodyPr/>
              <a:lstStyle/>
              <a:p>
                <a:pPr>
                  <a:defRPr b="1"/>
                </a:pPr>
                <a:endParaRPr lang="en-US"/>
              </a:p>
            </c:txPr>
            <c:showLegendKey val="0"/>
            <c:showVal val="1"/>
            <c:showCatName val="0"/>
            <c:showSerName val="0"/>
            <c:showPercent val="0"/>
            <c:showBubbleSize val="0"/>
            <c:showLeaderLines val="0"/>
          </c:dLbls>
          <c:cat>
            <c:strRef>
              <c:f>'T-AggressorsFY14'!$E$30:$G$30</c:f>
              <c:strCache>
                <c:ptCount val="3"/>
                <c:pt idx="0">
                  <c:v>All in Care  on 9/30/14 (n=278)</c:v>
                </c:pt>
                <c:pt idx="1">
                  <c:v>Assault Aggressors in FY14 (n=476)</c:v>
                </c:pt>
                <c:pt idx="2">
                  <c:v>Agg. Beh. Aggressors in FY14 (n=670)</c:v>
                </c:pt>
              </c:strCache>
            </c:strRef>
          </c:cat>
          <c:val>
            <c:numRef>
              <c:f>'T-AggressorsFY14'!$E$32:$G$32</c:f>
              <c:numCache>
                <c:formatCode>0%</c:formatCode>
                <c:ptCount val="3"/>
                <c:pt idx="0">
                  <c:v>0.2805755395683453</c:v>
                </c:pt>
                <c:pt idx="1">
                  <c:v>0.27100840336134452</c:v>
                </c:pt>
                <c:pt idx="2">
                  <c:v>0.16989567809239942</c:v>
                </c:pt>
              </c:numCache>
            </c:numRef>
          </c:val>
        </c:ser>
        <c:ser>
          <c:idx val="5"/>
          <c:order val="5"/>
          <c:tx>
            <c:strRef>
              <c:f>'T-AggressorsFY14'!$A$31</c:f>
              <c:strCache>
                <c:ptCount val="1"/>
                <c:pt idx="0">
                  <c:v>&gt;=10 years</c:v>
                </c:pt>
              </c:strCache>
            </c:strRef>
          </c:tx>
          <c:invertIfNegative val="0"/>
          <c:dLbls>
            <c:txPr>
              <a:bodyPr/>
              <a:lstStyle/>
              <a:p>
                <a:pPr>
                  <a:defRPr b="1"/>
                </a:pPr>
                <a:endParaRPr lang="en-US"/>
              </a:p>
            </c:txPr>
            <c:showLegendKey val="0"/>
            <c:showVal val="1"/>
            <c:showCatName val="0"/>
            <c:showSerName val="0"/>
            <c:showPercent val="0"/>
            <c:showBubbleSize val="0"/>
            <c:showLeaderLines val="0"/>
          </c:dLbls>
          <c:cat>
            <c:strRef>
              <c:f>'T-AggressorsFY14'!$E$30:$G$30</c:f>
              <c:strCache>
                <c:ptCount val="3"/>
                <c:pt idx="0">
                  <c:v>All in Care  on 9/30/14 (n=278)</c:v>
                </c:pt>
                <c:pt idx="1">
                  <c:v>Assault Aggressors in FY14 (n=476)</c:v>
                </c:pt>
                <c:pt idx="2">
                  <c:v>Agg. Beh. Aggressors in FY14 (n=670)</c:v>
                </c:pt>
              </c:strCache>
            </c:strRef>
          </c:cat>
          <c:val>
            <c:numRef>
              <c:f>'T-AggressorsFY14'!$E$31:$G$31</c:f>
              <c:numCache>
                <c:formatCode>0%</c:formatCode>
                <c:ptCount val="3"/>
                <c:pt idx="0">
                  <c:v>0.23381294964028776</c:v>
                </c:pt>
                <c:pt idx="1">
                  <c:v>0.16596638655462184</c:v>
                </c:pt>
                <c:pt idx="2">
                  <c:v>0.19374068554396423</c:v>
                </c:pt>
              </c:numCache>
            </c:numRef>
          </c:val>
        </c:ser>
        <c:dLbls>
          <c:showLegendKey val="0"/>
          <c:showVal val="0"/>
          <c:showCatName val="0"/>
          <c:showSerName val="0"/>
          <c:showPercent val="0"/>
          <c:showBubbleSize val="0"/>
        </c:dLbls>
        <c:gapWidth val="30"/>
        <c:overlap val="100"/>
        <c:axId val="286342656"/>
        <c:axId val="286226624"/>
      </c:barChart>
      <c:catAx>
        <c:axId val="286342656"/>
        <c:scaling>
          <c:orientation val="minMax"/>
        </c:scaling>
        <c:delete val="0"/>
        <c:axPos val="b"/>
        <c:majorTickMark val="out"/>
        <c:minorTickMark val="none"/>
        <c:tickLblPos val="nextTo"/>
        <c:txPr>
          <a:bodyPr/>
          <a:lstStyle/>
          <a:p>
            <a:pPr>
              <a:defRPr sz="1000"/>
            </a:pPr>
            <a:endParaRPr lang="en-US"/>
          </a:p>
        </c:txPr>
        <c:crossAx val="286226624"/>
        <c:crosses val="autoZero"/>
        <c:auto val="1"/>
        <c:lblAlgn val="ctr"/>
        <c:lblOffset val="100"/>
        <c:noMultiLvlLbl val="0"/>
      </c:catAx>
      <c:valAx>
        <c:axId val="286226624"/>
        <c:scaling>
          <c:orientation val="minMax"/>
        </c:scaling>
        <c:delete val="0"/>
        <c:axPos val="l"/>
        <c:majorGridlines/>
        <c:numFmt formatCode="0%" sourceLinked="1"/>
        <c:majorTickMark val="out"/>
        <c:minorTickMark val="none"/>
        <c:tickLblPos val="nextTo"/>
        <c:crossAx val="286342656"/>
        <c:crosses val="autoZero"/>
        <c:crossBetween val="between"/>
      </c:valAx>
    </c:plotArea>
    <c:legend>
      <c:legendPos val="r"/>
      <c:layout>
        <c:manualLayout>
          <c:xMode val="edge"/>
          <c:yMode val="edge"/>
          <c:x val="0.76450981750448355"/>
          <c:y val="8.3795480390413193E-2"/>
          <c:w val="0.23127931589196515"/>
          <c:h val="0.69297626177494753"/>
        </c:manualLayout>
      </c:layout>
      <c:overlay val="0"/>
      <c:txPr>
        <a:bodyPr/>
        <a:lstStyle/>
        <a:p>
          <a:pPr>
            <a:defRPr sz="1050"/>
          </a:pPr>
          <a:endParaRPr lang="en-US"/>
        </a:p>
      </c:txPr>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880812975301164"/>
          <c:y val="5.3153884344065865E-2"/>
          <c:w val="0.75990981896493703"/>
          <c:h val="0.77281070360796666"/>
        </c:manualLayout>
      </c:layout>
      <c:barChart>
        <c:barDir val="col"/>
        <c:grouping val="percentStacked"/>
        <c:varyColors val="0"/>
        <c:ser>
          <c:idx val="0"/>
          <c:order val="0"/>
          <c:tx>
            <c:strRef>
              <c:f>'TA Summary'!$V$20</c:f>
              <c:strCache>
                <c:ptCount val="1"/>
                <c:pt idx="0">
                  <c:v>Civil</c:v>
                </c:pt>
              </c:strCache>
            </c:strRef>
          </c:tx>
          <c:invertIfNegative val="0"/>
          <c:dLbls>
            <c:txPr>
              <a:bodyPr/>
              <a:lstStyle/>
              <a:p>
                <a:pPr>
                  <a:defRPr b="1">
                    <a:solidFill>
                      <a:schemeClr val="bg1"/>
                    </a:solidFill>
                  </a:defRPr>
                </a:pPr>
                <a:endParaRPr lang="en-US"/>
              </a:p>
            </c:txPr>
            <c:showLegendKey val="0"/>
            <c:showVal val="1"/>
            <c:showCatName val="0"/>
            <c:showSerName val="0"/>
            <c:showPercent val="0"/>
            <c:showBubbleSize val="0"/>
            <c:showLeaderLines val="0"/>
          </c:dLbls>
          <c:cat>
            <c:strRef>
              <c:f>'TA Summary'!$U$21:$U$25</c:f>
              <c:strCache>
                <c:ptCount val="5"/>
                <c:pt idx="0">
                  <c:v>FY10
(n=442)</c:v>
                </c:pt>
                <c:pt idx="1">
                  <c:v>FY11
(n=424)</c:v>
                </c:pt>
                <c:pt idx="2">
                  <c:v>FY12
(n=400)</c:v>
                </c:pt>
                <c:pt idx="3">
                  <c:v>FY13
(n=423)</c:v>
                </c:pt>
                <c:pt idx="4">
                  <c:v>FY14
(n=434)</c:v>
                </c:pt>
              </c:strCache>
            </c:strRef>
          </c:cat>
          <c:val>
            <c:numRef>
              <c:f>'TA Summary'!$V$21:$V$25</c:f>
              <c:numCache>
                <c:formatCode>0%</c:formatCode>
                <c:ptCount val="5"/>
                <c:pt idx="0">
                  <c:v>0.55203619909502266</c:v>
                </c:pt>
                <c:pt idx="1">
                  <c:v>0.40566037735849059</c:v>
                </c:pt>
                <c:pt idx="2">
                  <c:v>0.435</c:v>
                </c:pt>
                <c:pt idx="3">
                  <c:v>0.49881796690307328</c:v>
                </c:pt>
                <c:pt idx="4">
                  <c:v>0.41474654377880182</c:v>
                </c:pt>
              </c:numCache>
            </c:numRef>
          </c:val>
        </c:ser>
        <c:ser>
          <c:idx val="1"/>
          <c:order val="1"/>
          <c:tx>
            <c:strRef>
              <c:f>'TA Summary'!$W$20</c:f>
              <c:strCache>
                <c:ptCount val="1"/>
                <c:pt idx="0">
                  <c:v>Pre-trial</c:v>
                </c:pt>
              </c:strCache>
            </c:strRef>
          </c:tx>
          <c:invertIfNegative val="0"/>
          <c:dLbls>
            <c:txPr>
              <a:bodyPr/>
              <a:lstStyle/>
              <a:p>
                <a:pPr>
                  <a:defRPr b="1">
                    <a:solidFill>
                      <a:schemeClr val="bg1"/>
                    </a:solidFill>
                  </a:defRPr>
                </a:pPr>
                <a:endParaRPr lang="en-US"/>
              </a:p>
            </c:txPr>
            <c:showLegendKey val="0"/>
            <c:showVal val="1"/>
            <c:showCatName val="0"/>
            <c:showSerName val="0"/>
            <c:showPercent val="0"/>
            <c:showBubbleSize val="0"/>
            <c:showLeaderLines val="0"/>
          </c:dLbls>
          <c:cat>
            <c:strRef>
              <c:f>'TA Summary'!$U$21:$U$25</c:f>
              <c:strCache>
                <c:ptCount val="5"/>
                <c:pt idx="0">
                  <c:v>FY10
(n=442)</c:v>
                </c:pt>
                <c:pt idx="1">
                  <c:v>FY11
(n=424)</c:v>
                </c:pt>
                <c:pt idx="2">
                  <c:v>FY12
(n=400)</c:v>
                </c:pt>
                <c:pt idx="3">
                  <c:v>FY13
(n=423)</c:v>
                </c:pt>
                <c:pt idx="4">
                  <c:v>FY14
(n=434)</c:v>
                </c:pt>
              </c:strCache>
            </c:strRef>
          </c:cat>
          <c:val>
            <c:numRef>
              <c:f>'TA Summary'!$W$21:$W$25</c:f>
              <c:numCache>
                <c:formatCode>0%</c:formatCode>
                <c:ptCount val="5"/>
                <c:pt idx="0">
                  <c:v>0.40723981900452488</c:v>
                </c:pt>
                <c:pt idx="1">
                  <c:v>0.535377358490566</c:v>
                </c:pt>
                <c:pt idx="2">
                  <c:v>0.51249999999999996</c:v>
                </c:pt>
                <c:pt idx="3">
                  <c:v>0.44680851063829785</c:v>
                </c:pt>
                <c:pt idx="4">
                  <c:v>0.52764976958525345</c:v>
                </c:pt>
              </c:numCache>
            </c:numRef>
          </c:val>
        </c:ser>
        <c:ser>
          <c:idx val="2"/>
          <c:order val="2"/>
          <c:tx>
            <c:strRef>
              <c:f>'TA Summary'!$X$20</c:f>
              <c:strCache>
                <c:ptCount val="1"/>
                <c:pt idx="0">
                  <c:v>Post-trial</c:v>
                </c:pt>
              </c:strCache>
            </c:strRef>
          </c:tx>
          <c:invertIfNegative val="0"/>
          <c:dLbls>
            <c:txPr>
              <a:bodyPr/>
              <a:lstStyle/>
              <a:p>
                <a:pPr>
                  <a:defRPr b="1"/>
                </a:pPr>
                <a:endParaRPr lang="en-US"/>
              </a:p>
            </c:txPr>
            <c:showLegendKey val="0"/>
            <c:showVal val="1"/>
            <c:showCatName val="0"/>
            <c:showSerName val="0"/>
            <c:showPercent val="0"/>
            <c:showBubbleSize val="0"/>
            <c:showLeaderLines val="0"/>
          </c:dLbls>
          <c:cat>
            <c:strRef>
              <c:f>'TA Summary'!$U$21:$U$25</c:f>
              <c:strCache>
                <c:ptCount val="5"/>
                <c:pt idx="0">
                  <c:v>FY10
(n=442)</c:v>
                </c:pt>
                <c:pt idx="1">
                  <c:v>FY11
(n=424)</c:v>
                </c:pt>
                <c:pt idx="2">
                  <c:v>FY12
(n=400)</c:v>
                </c:pt>
                <c:pt idx="3">
                  <c:v>FY13
(n=423)</c:v>
                </c:pt>
                <c:pt idx="4">
                  <c:v>FY14
(n=434)</c:v>
                </c:pt>
              </c:strCache>
            </c:strRef>
          </c:cat>
          <c:val>
            <c:numRef>
              <c:f>'TA Summary'!$X$21:$X$25</c:f>
              <c:numCache>
                <c:formatCode>0%</c:formatCode>
                <c:ptCount val="5"/>
                <c:pt idx="0">
                  <c:v>4.072398190045249E-2</c:v>
                </c:pt>
                <c:pt idx="1">
                  <c:v>5.8962264150943397E-2</c:v>
                </c:pt>
                <c:pt idx="2">
                  <c:v>5.2499999999999998E-2</c:v>
                </c:pt>
                <c:pt idx="3">
                  <c:v>5.4373522458628844E-2</c:v>
                </c:pt>
                <c:pt idx="4">
                  <c:v>5.7603686635944701E-2</c:v>
                </c:pt>
              </c:numCache>
            </c:numRef>
          </c:val>
        </c:ser>
        <c:dLbls>
          <c:showLegendKey val="0"/>
          <c:showVal val="0"/>
          <c:showCatName val="0"/>
          <c:showSerName val="0"/>
          <c:showPercent val="0"/>
          <c:showBubbleSize val="0"/>
        </c:dLbls>
        <c:gapWidth val="30"/>
        <c:overlap val="100"/>
        <c:axId val="239785984"/>
        <c:axId val="171825344"/>
      </c:barChart>
      <c:catAx>
        <c:axId val="239785984"/>
        <c:scaling>
          <c:orientation val="minMax"/>
        </c:scaling>
        <c:delete val="0"/>
        <c:axPos val="b"/>
        <c:majorTickMark val="out"/>
        <c:minorTickMark val="none"/>
        <c:tickLblPos val="nextTo"/>
        <c:txPr>
          <a:bodyPr rot="0" vert="horz"/>
          <a:lstStyle/>
          <a:p>
            <a:pPr>
              <a:defRPr sz="900" b="1"/>
            </a:pPr>
            <a:endParaRPr lang="en-US"/>
          </a:p>
        </c:txPr>
        <c:crossAx val="171825344"/>
        <c:crosses val="autoZero"/>
        <c:auto val="1"/>
        <c:lblAlgn val="ctr"/>
        <c:lblOffset val="100"/>
        <c:noMultiLvlLbl val="0"/>
      </c:catAx>
      <c:valAx>
        <c:axId val="171825344"/>
        <c:scaling>
          <c:orientation val="minMax"/>
        </c:scaling>
        <c:delete val="0"/>
        <c:axPos val="l"/>
        <c:majorGridlines/>
        <c:numFmt formatCode="0%" sourceLinked="1"/>
        <c:majorTickMark val="out"/>
        <c:minorTickMark val="none"/>
        <c:tickLblPos val="nextTo"/>
        <c:crossAx val="239785984"/>
        <c:crosses val="autoZero"/>
        <c:crossBetween val="between"/>
      </c:valAx>
    </c:plotArea>
    <c:plotVisOnly val="1"/>
    <c:dispBlanksAs val="gap"/>
    <c:showDLblsOverMax val="0"/>
  </c:chart>
  <c:spPr>
    <a:ln>
      <a:noFill/>
    </a:ln>
  </c:sp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2.5000000000000001E-2"/>
          <c:y val="5.0573223039531802E-2"/>
          <c:w val="0.93888888888888888"/>
          <c:h val="0.71362952687908832"/>
        </c:manualLayout>
      </c:layout>
      <c:barChart>
        <c:barDir val="col"/>
        <c:grouping val="clustered"/>
        <c:varyColors val="0"/>
        <c:ser>
          <c:idx val="0"/>
          <c:order val="0"/>
          <c:tx>
            <c:v>Median LOS</c:v>
          </c:tx>
          <c:invertIfNegative val="0"/>
          <c:dLbls>
            <c:txPr>
              <a:bodyPr/>
              <a:lstStyle/>
              <a:p>
                <a:pPr>
                  <a:defRPr b="1">
                    <a:solidFill>
                      <a:schemeClr val="tx2"/>
                    </a:solidFill>
                  </a:defRPr>
                </a:pPr>
                <a:endParaRPr lang="en-US"/>
              </a:p>
            </c:txPr>
            <c:showLegendKey val="0"/>
            <c:showVal val="1"/>
            <c:showCatName val="0"/>
            <c:showSerName val="0"/>
            <c:showPercent val="0"/>
            <c:showBubbleSize val="0"/>
            <c:showLeaderLines val="0"/>
          </c:dLbls>
          <c:cat>
            <c:strRef>
              <c:f>'T-AggressorsFY14'!$B$30:$D$30</c:f>
              <c:strCache>
                <c:ptCount val="3"/>
                <c:pt idx="0">
                  <c:v>All in Care  on 9/30/14 (n=278)</c:v>
                </c:pt>
                <c:pt idx="1">
                  <c:v>Assault Aggressors in FY14 (n=476)</c:v>
                </c:pt>
                <c:pt idx="2">
                  <c:v>Agg. Beh. Aggressors in FY14 (n=670)</c:v>
                </c:pt>
              </c:strCache>
            </c:strRef>
          </c:cat>
          <c:val>
            <c:numRef>
              <c:f>'T-AggressorsFY14'!$B$38:$D$38</c:f>
              <c:numCache>
                <c:formatCode>0\ "days"</c:formatCode>
                <c:ptCount val="3"/>
                <c:pt idx="0">
                  <c:v>394</c:v>
                </c:pt>
                <c:pt idx="1">
                  <c:v>245.5</c:v>
                </c:pt>
                <c:pt idx="2">
                  <c:v>157</c:v>
                </c:pt>
              </c:numCache>
            </c:numRef>
          </c:val>
        </c:ser>
        <c:dLbls>
          <c:showLegendKey val="0"/>
          <c:showVal val="0"/>
          <c:showCatName val="0"/>
          <c:showSerName val="0"/>
          <c:showPercent val="0"/>
          <c:showBubbleSize val="0"/>
        </c:dLbls>
        <c:gapWidth val="50"/>
        <c:axId val="286342144"/>
        <c:axId val="286318592"/>
      </c:barChart>
      <c:catAx>
        <c:axId val="286342144"/>
        <c:scaling>
          <c:orientation val="minMax"/>
        </c:scaling>
        <c:delete val="0"/>
        <c:axPos val="b"/>
        <c:majorTickMark val="out"/>
        <c:minorTickMark val="none"/>
        <c:tickLblPos val="nextTo"/>
        <c:crossAx val="286318592"/>
        <c:crosses val="autoZero"/>
        <c:auto val="1"/>
        <c:lblAlgn val="ctr"/>
        <c:lblOffset val="100"/>
        <c:noMultiLvlLbl val="0"/>
      </c:catAx>
      <c:valAx>
        <c:axId val="286318592"/>
        <c:scaling>
          <c:orientation val="minMax"/>
        </c:scaling>
        <c:delete val="0"/>
        <c:axPos val="l"/>
        <c:numFmt formatCode="0\ &quot;days&quot;" sourceLinked="1"/>
        <c:majorTickMark val="none"/>
        <c:minorTickMark val="none"/>
        <c:tickLblPos val="none"/>
        <c:spPr>
          <a:ln>
            <a:noFill/>
          </a:ln>
        </c:spPr>
        <c:crossAx val="286342144"/>
        <c:crosses val="autoZero"/>
        <c:crossBetween val="between"/>
      </c:valAx>
    </c:plotArea>
    <c:plotVisOnly val="1"/>
    <c:dispBlanksAs val="gap"/>
    <c:showDLblsOverMax val="0"/>
  </c:chart>
  <c:spPr>
    <a:ln>
      <a:noFill/>
    </a:ln>
  </c:sp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4716797107310226E-2"/>
          <c:y val="6.5166194225721785E-2"/>
          <c:w val="0.7483658118154225"/>
          <c:h val="0.65955443569553807"/>
        </c:manualLayout>
      </c:layout>
      <c:barChart>
        <c:barDir val="col"/>
        <c:grouping val="stacked"/>
        <c:varyColors val="0"/>
        <c:ser>
          <c:idx val="2"/>
          <c:order val="0"/>
          <c:tx>
            <c:v>High</c:v>
          </c:tx>
          <c:spPr>
            <a:solidFill>
              <a:schemeClr val="accent2">
                <a:lumMod val="50000"/>
              </a:schemeClr>
            </a:solidFill>
          </c:spPr>
          <c:invertIfNegative val="0"/>
          <c:dLbls>
            <c:txPr>
              <a:bodyPr/>
              <a:lstStyle/>
              <a:p>
                <a:pPr>
                  <a:defRPr b="1">
                    <a:solidFill>
                      <a:schemeClr val="bg1"/>
                    </a:solidFill>
                    <a:effectLst>
                      <a:glow rad="101600">
                        <a:srgbClr val="82302E"/>
                      </a:glow>
                    </a:effectLst>
                  </a:defRPr>
                </a:pPr>
                <a:endParaRPr lang="en-US"/>
              </a:p>
            </c:txPr>
            <c:showLegendKey val="0"/>
            <c:showVal val="1"/>
            <c:showCatName val="0"/>
            <c:showSerName val="0"/>
            <c:showPercent val="0"/>
            <c:showBubbleSize val="0"/>
            <c:showLeaderLines val="0"/>
          </c:dLbls>
          <c:cat>
            <c:strRef>
              <c:f>'T - Aggressors'!$C$39:$E$39</c:f>
              <c:strCache>
                <c:ptCount val="3"/>
                <c:pt idx="0">
                  <c:v>Civil</c:v>
                </c:pt>
                <c:pt idx="1">
                  <c:v>Pre-trial</c:v>
                </c:pt>
                <c:pt idx="2">
                  <c:v>Post-trial</c:v>
                </c:pt>
              </c:strCache>
            </c:strRef>
          </c:cat>
          <c:val>
            <c:numRef>
              <c:f>'T-AggressorsFY14'!$B$43:$D$43</c:f>
              <c:numCache>
                <c:formatCode>General</c:formatCode>
                <c:ptCount val="3"/>
                <c:pt idx="0">
                  <c:v>74</c:v>
                </c:pt>
                <c:pt idx="1">
                  <c:v>155</c:v>
                </c:pt>
                <c:pt idx="2">
                  <c:v>12</c:v>
                </c:pt>
              </c:numCache>
            </c:numRef>
          </c:val>
        </c:ser>
        <c:ser>
          <c:idx val="1"/>
          <c:order val="1"/>
          <c:tx>
            <c:v>Medium</c:v>
          </c:tx>
          <c:spPr>
            <a:solidFill>
              <a:schemeClr val="accent2">
                <a:lumMod val="60000"/>
                <a:lumOff val="40000"/>
              </a:schemeClr>
            </a:solidFill>
          </c:spPr>
          <c:invertIfNegative val="0"/>
          <c:dLbls>
            <c:txPr>
              <a:bodyPr/>
              <a:lstStyle/>
              <a:p>
                <a:pPr>
                  <a:defRPr b="1"/>
                </a:pPr>
                <a:endParaRPr lang="en-US"/>
              </a:p>
            </c:txPr>
            <c:showLegendKey val="0"/>
            <c:showVal val="1"/>
            <c:showCatName val="0"/>
            <c:showSerName val="0"/>
            <c:showPercent val="0"/>
            <c:showBubbleSize val="0"/>
            <c:showLeaderLines val="0"/>
          </c:dLbls>
          <c:cat>
            <c:strRef>
              <c:f>'T - Aggressors'!$C$39:$E$39</c:f>
              <c:strCache>
                <c:ptCount val="3"/>
                <c:pt idx="0">
                  <c:v>Civil</c:v>
                </c:pt>
                <c:pt idx="1">
                  <c:v>Pre-trial</c:v>
                </c:pt>
                <c:pt idx="2">
                  <c:v>Post-trial</c:v>
                </c:pt>
              </c:strCache>
            </c:strRef>
          </c:cat>
          <c:val>
            <c:numRef>
              <c:f>'T-AggressorsFY14'!$B$44:$D$44</c:f>
              <c:numCache>
                <c:formatCode>General</c:formatCode>
                <c:ptCount val="3"/>
                <c:pt idx="0">
                  <c:v>290</c:v>
                </c:pt>
                <c:pt idx="1">
                  <c:v>227</c:v>
                </c:pt>
                <c:pt idx="2">
                  <c:v>70</c:v>
                </c:pt>
              </c:numCache>
            </c:numRef>
          </c:val>
        </c:ser>
        <c:ser>
          <c:idx val="0"/>
          <c:order val="2"/>
          <c:tx>
            <c:v>Low</c:v>
          </c:tx>
          <c:spPr>
            <a:solidFill>
              <a:schemeClr val="accent2">
                <a:lumMod val="20000"/>
                <a:lumOff val="80000"/>
              </a:schemeClr>
            </a:solidFill>
          </c:spPr>
          <c:invertIfNegative val="0"/>
          <c:dLbls>
            <c:txPr>
              <a:bodyPr/>
              <a:lstStyle/>
              <a:p>
                <a:pPr>
                  <a:defRPr b="1"/>
                </a:pPr>
                <a:endParaRPr lang="en-US"/>
              </a:p>
            </c:txPr>
            <c:showLegendKey val="0"/>
            <c:showVal val="1"/>
            <c:showCatName val="0"/>
            <c:showSerName val="0"/>
            <c:showPercent val="0"/>
            <c:showBubbleSize val="0"/>
            <c:showLeaderLines val="0"/>
          </c:dLbls>
          <c:cat>
            <c:strRef>
              <c:f>'T - Aggressors'!$C$39:$E$39</c:f>
              <c:strCache>
                <c:ptCount val="3"/>
                <c:pt idx="0">
                  <c:v>Civil</c:v>
                </c:pt>
                <c:pt idx="1">
                  <c:v>Pre-trial</c:v>
                </c:pt>
                <c:pt idx="2">
                  <c:v>Post-trial</c:v>
                </c:pt>
              </c:strCache>
            </c:strRef>
          </c:cat>
          <c:val>
            <c:numRef>
              <c:f>'T-AggressorsFY14'!$B$45:$D$45</c:f>
              <c:numCache>
                <c:formatCode>General</c:formatCode>
                <c:ptCount val="3"/>
                <c:pt idx="0">
                  <c:v>173</c:v>
                </c:pt>
                <c:pt idx="1">
                  <c:v>100</c:v>
                </c:pt>
                <c:pt idx="2">
                  <c:v>45</c:v>
                </c:pt>
              </c:numCache>
            </c:numRef>
          </c:val>
        </c:ser>
        <c:dLbls>
          <c:showLegendKey val="0"/>
          <c:showVal val="0"/>
          <c:showCatName val="0"/>
          <c:showSerName val="0"/>
          <c:showPercent val="0"/>
          <c:showBubbleSize val="0"/>
        </c:dLbls>
        <c:gapWidth val="40"/>
        <c:overlap val="100"/>
        <c:axId val="292877312"/>
        <c:axId val="286320320"/>
      </c:barChart>
      <c:barChart>
        <c:barDir val="col"/>
        <c:grouping val="stacked"/>
        <c:varyColors val="0"/>
        <c:ser>
          <c:idx val="3"/>
          <c:order val="3"/>
          <c:tx>
            <c:v>Total</c:v>
          </c:tx>
          <c:spPr>
            <a:noFill/>
            <a:ln w="31750">
              <a:solidFill>
                <a:prstClr val="black"/>
              </a:solidFill>
            </a:ln>
          </c:spPr>
          <c:invertIfNegative val="0"/>
          <c:dLbls>
            <c:dLbl>
              <c:idx val="0"/>
              <c:layout>
                <c:manualLayout>
                  <c:x val="-1.8462358053926273E-17"/>
                  <c:y val="-0.44261792275965506"/>
                </c:manualLayout>
              </c:layout>
              <c:showLegendKey val="0"/>
              <c:showVal val="1"/>
              <c:showCatName val="0"/>
              <c:showSerName val="0"/>
              <c:showPercent val="0"/>
              <c:showBubbleSize val="0"/>
            </c:dLbl>
            <c:dLbl>
              <c:idx val="1"/>
              <c:layout>
                <c:manualLayout>
                  <c:x val="-6.4863493271800242E-3"/>
                  <c:y val="-0.38207074115735534"/>
                </c:manualLayout>
              </c:layout>
              <c:showLegendKey val="0"/>
              <c:showVal val="1"/>
              <c:showCatName val="0"/>
              <c:showSerName val="0"/>
              <c:showPercent val="0"/>
              <c:showBubbleSize val="0"/>
            </c:dLbl>
            <c:dLbl>
              <c:idx val="2"/>
              <c:layout>
                <c:manualLayout>
                  <c:x val="-3.1718089619462218E-7"/>
                  <c:y val="-0.17414023247094113"/>
                </c:manualLayout>
              </c:layout>
              <c:showLegendKey val="0"/>
              <c:showVal val="1"/>
              <c:showCatName val="0"/>
              <c:showSerName val="0"/>
              <c:showPercent val="0"/>
              <c:showBubbleSize val="0"/>
            </c:dLbl>
            <c:txPr>
              <a:bodyPr/>
              <a:lstStyle/>
              <a:p>
                <a:pPr>
                  <a:defRPr b="1" u="sng"/>
                </a:pPr>
                <a:endParaRPr lang="en-US"/>
              </a:p>
            </c:txPr>
            <c:showLegendKey val="0"/>
            <c:showVal val="1"/>
            <c:showCatName val="0"/>
            <c:showSerName val="0"/>
            <c:showPercent val="0"/>
            <c:showBubbleSize val="0"/>
            <c:showLeaderLines val="0"/>
          </c:dLbls>
          <c:cat>
            <c:strRef>
              <c:f>'T - Aggressors'!$C$39:$F$39</c:f>
              <c:strCache>
                <c:ptCount val="4"/>
                <c:pt idx="0">
                  <c:v>Civil</c:v>
                </c:pt>
                <c:pt idx="1">
                  <c:v>Pre-trial</c:v>
                </c:pt>
                <c:pt idx="2">
                  <c:v>Post-trial</c:v>
                </c:pt>
                <c:pt idx="3">
                  <c:v>Total</c:v>
                </c:pt>
              </c:strCache>
            </c:strRef>
          </c:cat>
          <c:val>
            <c:numRef>
              <c:f>'T-AggressorsFY14'!$B$46:$D$46</c:f>
              <c:numCache>
                <c:formatCode>General</c:formatCode>
                <c:ptCount val="3"/>
                <c:pt idx="0">
                  <c:v>537</c:v>
                </c:pt>
                <c:pt idx="1">
                  <c:v>482</c:v>
                </c:pt>
                <c:pt idx="2">
                  <c:v>127</c:v>
                </c:pt>
              </c:numCache>
            </c:numRef>
          </c:val>
        </c:ser>
        <c:dLbls>
          <c:showLegendKey val="0"/>
          <c:showVal val="0"/>
          <c:showCatName val="0"/>
          <c:showSerName val="0"/>
          <c:showPercent val="0"/>
          <c:showBubbleSize val="0"/>
        </c:dLbls>
        <c:gapWidth val="30"/>
        <c:overlap val="100"/>
        <c:axId val="364234752"/>
        <c:axId val="286320896"/>
      </c:barChart>
      <c:catAx>
        <c:axId val="292877312"/>
        <c:scaling>
          <c:orientation val="minMax"/>
        </c:scaling>
        <c:delete val="0"/>
        <c:axPos val="b"/>
        <c:majorTickMark val="out"/>
        <c:minorTickMark val="none"/>
        <c:tickLblPos val="nextTo"/>
        <c:txPr>
          <a:bodyPr/>
          <a:lstStyle/>
          <a:p>
            <a:pPr>
              <a:defRPr sz="1050" b="1"/>
            </a:pPr>
            <a:endParaRPr lang="en-US"/>
          </a:p>
        </c:txPr>
        <c:crossAx val="286320320"/>
        <c:crosses val="autoZero"/>
        <c:auto val="1"/>
        <c:lblAlgn val="ctr"/>
        <c:lblOffset val="100"/>
        <c:noMultiLvlLbl val="0"/>
      </c:catAx>
      <c:valAx>
        <c:axId val="286320320"/>
        <c:scaling>
          <c:orientation val="minMax"/>
          <c:max val="600"/>
          <c:min val="0"/>
        </c:scaling>
        <c:delete val="0"/>
        <c:axPos val="l"/>
        <c:numFmt formatCode="General" sourceLinked="1"/>
        <c:majorTickMark val="none"/>
        <c:minorTickMark val="none"/>
        <c:tickLblPos val="none"/>
        <c:spPr>
          <a:ln>
            <a:noFill/>
          </a:ln>
        </c:spPr>
        <c:crossAx val="292877312"/>
        <c:crosses val="autoZero"/>
        <c:crossBetween val="between"/>
      </c:valAx>
      <c:valAx>
        <c:axId val="286320896"/>
        <c:scaling>
          <c:orientation val="minMax"/>
          <c:max val="600"/>
          <c:min val="0"/>
        </c:scaling>
        <c:delete val="0"/>
        <c:axPos val="r"/>
        <c:numFmt formatCode="General" sourceLinked="1"/>
        <c:majorTickMark val="none"/>
        <c:minorTickMark val="none"/>
        <c:tickLblPos val="none"/>
        <c:spPr>
          <a:ln>
            <a:noFill/>
          </a:ln>
        </c:spPr>
        <c:crossAx val="364234752"/>
        <c:crosses val="max"/>
        <c:crossBetween val="between"/>
      </c:valAx>
      <c:catAx>
        <c:axId val="364234752"/>
        <c:scaling>
          <c:orientation val="minMax"/>
        </c:scaling>
        <c:delete val="1"/>
        <c:axPos val="b"/>
        <c:majorTickMark val="out"/>
        <c:minorTickMark val="none"/>
        <c:tickLblPos val="none"/>
        <c:crossAx val="286320896"/>
        <c:crosses val="autoZero"/>
        <c:auto val="1"/>
        <c:lblAlgn val="ctr"/>
        <c:lblOffset val="100"/>
        <c:noMultiLvlLbl val="0"/>
      </c:catAx>
    </c:plotArea>
    <c:legend>
      <c:legendPos val="r"/>
      <c:layout>
        <c:manualLayout>
          <c:xMode val="edge"/>
          <c:yMode val="edge"/>
          <c:x val="0.77599788853208995"/>
          <c:y val="7.6975958005249326E-2"/>
          <c:w val="0.21871816302291822"/>
          <c:h val="0.69177196850393707"/>
        </c:manualLayout>
      </c:layout>
      <c:overlay val="0"/>
      <c:txPr>
        <a:bodyPr/>
        <a:lstStyle/>
        <a:p>
          <a:pPr>
            <a:defRPr sz="1050" b="1"/>
          </a:pPr>
          <a:endParaRPr lang="en-US"/>
        </a:p>
      </c:txPr>
    </c:legend>
    <c:plotVisOnly val="1"/>
    <c:dispBlanksAs val="gap"/>
    <c:showDLblsOverMax val="0"/>
  </c:chart>
  <c:spPr>
    <a:ln>
      <a:noFill/>
    </a:ln>
  </c:spPr>
  <c:txPr>
    <a:bodyPr/>
    <a:lstStyle/>
    <a:p>
      <a:pPr>
        <a:defRPr sz="1200"/>
      </a:pPr>
      <a:endParaRPr lang="en-US"/>
    </a:p>
  </c:txPr>
  <c:externalData r:id="rId1">
    <c:autoUpdate val="0"/>
  </c:externalData>
  <c:userShapes r:id="rId2"/>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8.1910569105691042E-2"/>
          <c:y val="2.8427190272102065E-2"/>
          <c:w val="0.86936143652775111"/>
          <c:h val="0.81123884887831788"/>
        </c:manualLayout>
      </c:layout>
      <c:barChart>
        <c:barDir val="col"/>
        <c:grouping val="clustered"/>
        <c:varyColors val="0"/>
        <c:ser>
          <c:idx val="0"/>
          <c:order val="0"/>
          <c:tx>
            <c:strRef>
              <c:f>'T-AggressorsFY14'!$C$58</c:f>
              <c:strCache>
                <c:ptCount val="1"/>
                <c:pt idx="0">
                  <c:v># of Unique Individuals in Care Victimized in FY14 (n=197)</c:v>
                </c:pt>
              </c:strCache>
            </c:strRef>
          </c:tx>
          <c:invertIfNegative val="0"/>
          <c:dLbls>
            <c:txPr>
              <a:bodyPr/>
              <a:lstStyle/>
              <a:p>
                <a:pPr>
                  <a:defRPr sz="1100" b="1">
                    <a:solidFill>
                      <a:schemeClr val="tx2"/>
                    </a:solidFill>
                  </a:defRPr>
                </a:pPr>
                <a:endParaRPr lang="en-US"/>
              </a:p>
            </c:txPr>
            <c:showLegendKey val="0"/>
            <c:showVal val="1"/>
            <c:showCatName val="0"/>
            <c:showSerName val="0"/>
            <c:showPercent val="0"/>
            <c:showBubbleSize val="0"/>
            <c:showLeaderLines val="0"/>
          </c:dLbls>
          <c:cat>
            <c:strRef>
              <c:f>'T-AggressorsFY14'!$A$59:$A$63</c:f>
              <c:strCache>
                <c:ptCount val="5"/>
                <c:pt idx="0">
                  <c:v>Once</c:v>
                </c:pt>
                <c:pt idx="1">
                  <c:v>Twice</c:v>
                </c:pt>
                <c:pt idx="2">
                  <c:v>Three times</c:v>
                </c:pt>
                <c:pt idx="3">
                  <c:v>Four times</c:v>
                </c:pt>
                <c:pt idx="4">
                  <c:v>Five times or more</c:v>
                </c:pt>
              </c:strCache>
            </c:strRef>
          </c:cat>
          <c:val>
            <c:numRef>
              <c:f>'T-AggressorsFY14'!$C$59:$C$63</c:f>
              <c:numCache>
                <c:formatCode>General</c:formatCode>
                <c:ptCount val="5"/>
                <c:pt idx="0">
                  <c:v>106</c:v>
                </c:pt>
                <c:pt idx="1">
                  <c:v>47</c:v>
                </c:pt>
                <c:pt idx="2">
                  <c:v>20</c:v>
                </c:pt>
                <c:pt idx="3">
                  <c:v>9</c:v>
                </c:pt>
                <c:pt idx="4">
                  <c:v>15</c:v>
                </c:pt>
              </c:numCache>
            </c:numRef>
          </c:val>
        </c:ser>
        <c:ser>
          <c:idx val="1"/>
          <c:order val="1"/>
          <c:tx>
            <c:strRef>
              <c:f>'T-AggressorsFY14'!$C$67</c:f>
              <c:strCache>
                <c:ptCount val="1"/>
                <c:pt idx="0">
                  <c:v># of Unique Employees Victimized in FY14 (n=267)</c:v>
                </c:pt>
              </c:strCache>
            </c:strRef>
          </c:tx>
          <c:invertIfNegative val="0"/>
          <c:dLbls>
            <c:txPr>
              <a:bodyPr/>
              <a:lstStyle/>
              <a:p>
                <a:pPr>
                  <a:defRPr sz="1100">
                    <a:solidFill>
                      <a:srgbClr val="C00000"/>
                    </a:solidFill>
                  </a:defRPr>
                </a:pPr>
                <a:endParaRPr lang="en-US"/>
              </a:p>
            </c:txPr>
            <c:showLegendKey val="0"/>
            <c:showVal val="1"/>
            <c:showCatName val="0"/>
            <c:showSerName val="0"/>
            <c:showPercent val="0"/>
            <c:showBubbleSize val="0"/>
            <c:showLeaderLines val="0"/>
          </c:dLbls>
          <c:cat>
            <c:strRef>
              <c:f>'T-AggressorsFY14'!$A$59:$A$63</c:f>
              <c:strCache>
                <c:ptCount val="5"/>
                <c:pt idx="0">
                  <c:v>Once</c:v>
                </c:pt>
                <c:pt idx="1">
                  <c:v>Twice</c:v>
                </c:pt>
                <c:pt idx="2">
                  <c:v>Three times</c:v>
                </c:pt>
                <c:pt idx="3">
                  <c:v>Four times</c:v>
                </c:pt>
                <c:pt idx="4">
                  <c:v>Five times or more</c:v>
                </c:pt>
              </c:strCache>
            </c:strRef>
          </c:cat>
          <c:val>
            <c:numRef>
              <c:f>'T-AggressorsFY14'!$C$68:$C$72</c:f>
              <c:numCache>
                <c:formatCode>General</c:formatCode>
                <c:ptCount val="5"/>
                <c:pt idx="0">
                  <c:v>165</c:v>
                </c:pt>
                <c:pt idx="1">
                  <c:v>53</c:v>
                </c:pt>
                <c:pt idx="2">
                  <c:v>24</c:v>
                </c:pt>
                <c:pt idx="3">
                  <c:v>16</c:v>
                </c:pt>
                <c:pt idx="4">
                  <c:v>9</c:v>
                </c:pt>
              </c:numCache>
            </c:numRef>
          </c:val>
        </c:ser>
        <c:dLbls>
          <c:showLegendKey val="0"/>
          <c:showVal val="0"/>
          <c:showCatName val="0"/>
          <c:showSerName val="0"/>
          <c:showPercent val="0"/>
          <c:showBubbleSize val="0"/>
        </c:dLbls>
        <c:gapWidth val="50"/>
        <c:axId val="292876800"/>
        <c:axId val="286322624"/>
      </c:barChart>
      <c:catAx>
        <c:axId val="292876800"/>
        <c:scaling>
          <c:orientation val="minMax"/>
        </c:scaling>
        <c:delete val="0"/>
        <c:axPos val="b"/>
        <c:majorTickMark val="out"/>
        <c:minorTickMark val="none"/>
        <c:tickLblPos val="nextTo"/>
        <c:txPr>
          <a:bodyPr/>
          <a:lstStyle/>
          <a:p>
            <a:pPr>
              <a:defRPr b="1"/>
            </a:pPr>
            <a:endParaRPr lang="en-US"/>
          </a:p>
        </c:txPr>
        <c:crossAx val="286322624"/>
        <c:crosses val="autoZero"/>
        <c:auto val="1"/>
        <c:lblAlgn val="ctr"/>
        <c:lblOffset val="100"/>
        <c:noMultiLvlLbl val="0"/>
      </c:catAx>
      <c:valAx>
        <c:axId val="286322624"/>
        <c:scaling>
          <c:orientation val="minMax"/>
        </c:scaling>
        <c:delete val="0"/>
        <c:axPos val="l"/>
        <c:numFmt formatCode="General" sourceLinked="1"/>
        <c:majorTickMark val="none"/>
        <c:minorTickMark val="none"/>
        <c:tickLblPos val="none"/>
        <c:spPr>
          <a:ln>
            <a:noFill/>
          </a:ln>
        </c:spPr>
        <c:crossAx val="292876800"/>
        <c:crosses val="autoZero"/>
        <c:crossBetween val="between"/>
      </c:valAx>
    </c:plotArea>
    <c:legend>
      <c:legendPos val="t"/>
      <c:legendEntry>
        <c:idx val="0"/>
        <c:txPr>
          <a:bodyPr/>
          <a:lstStyle/>
          <a:p>
            <a:pPr>
              <a:defRPr b="1">
                <a:solidFill>
                  <a:schemeClr val="tx2"/>
                </a:solidFill>
              </a:defRPr>
            </a:pPr>
            <a:endParaRPr lang="en-US"/>
          </a:p>
        </c:txPr>
      </c:legendEntry>
      <c:legendEntry>
        <c:idx val="1"/>
        <c:txPr>
          <a:bodyPr/>
          <a:lstStyle/>
          <a:p>
            <a:pPr>
              <a:defRPr b="1">
                <a:solidFill>
                  <a:srgbClr val="C00000"/>
                </a:solidFill>
              </a:defRPr>
            </a:pPr>
            <a:endParaRPr lang="en-US"/>
          </a:p>
        </c:txPr>
      </c:legendEntry>
      <c:layout>
        <c:manualLayout>
          <c:xMode val="edge"/>
          <c:yMode val="edge"/>
          <c:x val="0.39279054585181927"/>
          <c:y val="9.4161958568738227E-2"/>
          <c:w val="0.54629574856442431"/>
          <c:h val="0.22096356599492861"/>
        </c:manualLayout>
      </c:layout>
      <c:overlay val="0"/>
    </c:legend>
    <c:plotVisOnly val="1"/>
    <c:dispBlanksAs val="gap"/>
    <c:showDLblsOverMax val="0"/>
  </c:chart>
  <c:spPr>
    <a:ln>
      <a:noFill/>
    </a:ln>
  </c:sp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354798471973186E-2"/>
          <c:y val="0.26399455881968248"/>
          <c:w val="0.94891426937969403"/>
          <c:h val="0.5142271169592173"/>
        </c:manualLayout>
      </c:layout>
      <c:barChart>
        <c:barDir val="col"/>
        <c:grouping val="clustered"/>
        <c:varyColors val="0"/>
        <c:ser>
          <c:idx val="1"/>
          <c:order val="0"/>
          <c:tx>
            <c:v>Total Frequency of Vicimizations (n=461)</c:v>
          </c:tx>
          <c:spPr>
            <a:gradFill>
              <a:gsLst>
                <a:gs pos="0">
                  <a:srgbClr val="C0504D">
                    <a:lumMod val="50000"/>
                  </a:srgbClr>
                </a:gs>
                <a:gs pos="50000">
                  <a:srgbClr val="C0504D">
                    <a:lumMod val="75000"/>
                  </a:srgbClr>
                </a:gs>
                <a:gs pos="100000">
                  <a:schemeClr val="accent2">
                    <a:lumMod val="20000"/>
                    <a:lumOff val="80000"/>
                  </a:schemeClr>
                </a:gs>
              </a:gsLst>
              <a:lin ang="5400000" scaled="0"/>
            </a:gradFill>
            <a:ln>
              <a:solidFill>
                <a:schemeClr val="accent2">
                  <a:lumMod val="50000"/>
                </a:schemeClr>
              </a:solidFill>
            </a:ln>
          </c:spPr>
          <c:invertIfNegative val="0"/>
          <c:dLbls>
            <c:txPr>
              <a:bodyPr/>
              <a:lstStyle/>
              <a:p>
                <a:pPr>
                  <a:defRPr sz="1200" b="1" u="sng">
                    <a:solidFill>
                      <a:srgbClr val="C00000"/>
                    </a:solidFill>
                  </a:defRPr>
                </a:pPr>
                <a:endParaRPr lang="en-US"/>
              </a:p>
            </c:txPr>
            <c:showLegendKey val="0"/>
            <c:showVal val="1"/>
            <c:showCatName val="0"/>
            <c:showSerName val="0"/>
            <c:showPercent val="0"/>
            <c:showBubbleSize val="0"/>
            <c:showLeaderLines val="0"/>
          </c:dLbls>
          <c:cat>
            <c:strRef>
              <c:f>'T-AggressorsFY14'!$A$68:$A$72</c:f>
              <c:strCache>
                <c:ptCount val="5"/>
                <c:pt idx="0">
                  <c:v>Once</c:v>
                </c:pt>
                <c:pt idx="1">
                  <c:v>Twice</c:v>
                </c:pt>
                <c:pt idx="2">
                  <c:v>Three times</c:v>
                </c:pt>
                <c:pt idx="3">
                  <c:v>Four times</c:v>
                </c:pt>
                <c:pt idx="4">
                  <c:v>Five times or more</c:v>
                </c:pt>
              </c:strCache>
            </c:strRef>
          </c:cat>
          <c:val>
            <c:numRef>
              <c:f>'T-AggressorsFY14'!$D$68:$D$72</c:f>
              <c:numCache>
                <c:formatCode>General</c:formatCode>
                <c:ptCount val="5"/>
                <c:pt idx="0">
                  <c:v>165</c:v>
                </c:pt>
                <c:pt idx="1">
                  <c:v>106</c:v>
                </c:pt>
                <c:pt idx="2">
                  <c:v>72</c:v>
                </c:pt>
                <c:pt idx="3">
                  <c:v>64</c:v>
                </c:pt>
                <c:pt idx="4">
                  <c:v>54</c:v>
                </c:pt>
              </c:numCache>
            </c:numRef>
          </c:val>
        </c:ser>
        <c:dLbls>
          <c:showLegendKey val="0"/>
          <c:showVal val="0"/>
          <c:showCatName val="0"/>
          <c:showSerName val="0"/>
          <c:showPercent val="0"/>
          <c:showBubbleSize val="0"/>
        </c:dLbls>
        <c:gapWidth val="30"/>
        <c:axId val="292878848"/>
        <c:axId val="286324352"/>
      </c:barChart>
      <c:barChart>
        <c:barDir val="col"/>
        <c:grouping val="clustered"/>
        <c:varyColors val="0"/>
        <c:ser>
          <c:idx val="0"/>
          <c:order val="1"/>
          <c:tx>
            <c:v>Unique Employees Identified as Victims (n=267)</c:v>
          </c:tx>
          <c:spPr>
            <a:gradFill>
              <a:gsLst>
                <a:gs pos="0">
                  <a:schemeClr val="tx2">
                    <a:lumMod val="50000"/>
                  </a:schemeClr>
                </a:gs>
                <a:gs pos="50000">
                  <a:schemeClr val="tx2">
                    <a:lumMod val="75000"/>
                  </a:schemeClr>
                </a:gs>
                <a:gs pos="100000">
                  <a:schemeClr val="tx2">
                    <a:lumMod val="60000"/>
                    <a:lumOff val="40000"/>
                  </a:schemeClr>
                </a:gs>
              </a:gsLst>
              <a:lin ang="5400000" scaled="0"/>
            </a:gradFill>
            <a:ln>
              <a:solidFill>
                <a:schemeClr val="tx2"/>
              </a:solidFill>
            </a:ln>
          </c:spPr>
          <c:invertIfNegative val="0"/>
          <c:dLbls>
            <c:dLbl>
              <c:idx val="1"/>
              <c:layout>
                <c:manualLayout>
                  <c:x val="0"/>
                  <c:y val="6.8212560386473289E-2"/>
                </c:manualLayout>
              </c:layout>
              <c:dLblPos val="outEnd"/>
              <c:showLegendKey val="0"/>
              <c:showVal val="1"/>
              <c:showCatName val="0"/>
              <c:showSerName val="0"/>
              <c:showPercent val="0"/>
              <c:showBubbleSize val="0"/>
            </c:dLbl>
            <c:dLbl>
              <c:idx val="4"/>
              <c:layout>
                <c:manualLayout>
                  <c:x val="0"/>
                  <c:y val="4.8113954505686826E-2"/>
                </c:manualLayout>
              </c:layout>
              <c:dLblPos val="outEnd"/>
              <c:showLegendKey val="0"/>
              <c:showVal val="1"/>
              <c:showCatName val="0"/>
              <c:showSerName val="0"/>
              <c:showPercent val="0"/>
              <c:showBubbleSize val="0"/>
            </c:dLbl>
            <c:txPr>
              <a:bodyPr/>
              <a:lstStyle/>
              <a:p>
                <a:pPr>
                  <a:defRPr sz="1200" b="1">
                    <a:solidFill>
                      <a:schemeClr val="bg1"/>
                    </a:solidFill>
                    <a:effectLst>
                      <a:glow rad="101600">
                        <a:srgbClr val="1F497D"/>
                      </a:glow>
                    </a:effectLst>
                  </a:defRPr>
                </a:pPr>
                <a:endParaRPr lang="en-US"/>
              </a:p>
            </c:txPr>
            <c:dLblPos val="inEnd"/>
            <c:showLegendKey val="0"/>
            <c:showVal val="1"/>
            <c:showCatName val="0"/>
            <c:showSerName val="0"/>
            <c:showPercent val="0"/>
            <c:showBubbleSize val="0"/>
            <c:showLeaderLines val="0"/>
          </c:dLbls>
          <c:cat>
            <c:strRef>
              <c:f>'T-AggressorsFY14'!$A$68:$A$72</c:f>
              <c:strCache>
                <c:ptCount val="5"/>
                <c:pt idx="0">
                  <c:v>Once</c:v>
                </c:pt>
                <c:pt idx="1">
                  <c:v>Twice</c:v>
                </c:pt>
                <c:pt idx="2">
                  <c:v>Three times</c:v>
                </c:pt>
                <c:pt idx="3">
                  <c:v>Four times</c:v>
                </c:pt>
                <c:pt idx="4">
                  <c:v>Five times or more</c:v>
                </c:pt>
              </c:strCache>
            </c:strRef>
          </c:cat>
          <c:val>
            <c:numRef>
              <c:f>'T-AggressorsFY14'!$C$68:$C$72</c:f>
              <c:numCache>
                <c:formatCode>General</c:formatCode>
                <c:ptCount val="5"/>
                <c:pt idx="0">
                  <c:v>165</c:v>
                </c:pt>
                <c:pt idx="1">
                  <c:v>53</c:v>
                </c:pt>
                <c:pt idx="2">
                  <c:v>24</c:v>
                </c:pt>
                <c:pt idx="3">
                  <c:v>16</c:v>
                </c:pt>
                <c:pt idx="4">
                  <c:v>9</c:v>
                </c:pt>
              </c:numCache>
            </c:numRef>
          </c:val>
        </c:ser>
        <c:dLbls>
          <c:showLegendKey val="0"/>
          <c:showVal val="0"/>
          <c:showCatName val="0"/>
          <c:showSerName val="0"/>
          <c:showPercent val="0"/>
          <c:showBubbleSize val="0"/>
        </c:dLbls>
        <c:gapWidth val="100"/>
        <c:axId val="315465728"/>
        <c:axId val="286324928"/>
      </c:barChart>
      <c:catAx>
        <c:axId val="292878848"/>
        <c:scaling>
          <c:orientation val="minMax"/>
        </c:scaling>
        <c:delete val="0"/>
        <c:axPos val="b"/>
        <c:title>
          <c:tx>
            <c:rich>
              <a:bodyPr/>
              <a:lstStyle/>
              <a:p>
                <a:pPr>
                  <a:defRPr sz="1100" b="0" i="1" u="sng">
                    <a:solidFill>
                      <a:sysClr val="windowText" lastClr="000000"/>
                    </a:solidFill>
                  </a:defRPr>
                </a:pPr>
                <a:r>
                  <a:rPr lang="en-US" sz="1100" b="0" i="1" u="sng">
                    <a:solidFill>
                      <a:sysClr val="windowText" lastClr="000000"/>
                    </a:solidFill>
                  </a:rPr>
                  <a:t>Total Frequency Identified as</a:t>
                </a:r>
                <a:r>
                  <a:rPr lang="en-US" sz="1100" b="0" i="1" u="sng" baseline="0">
                    <a:solidFill>
                      <a:sysClr val="windowText" lastClr="000000"/>
                    </a:solidFill>
                  </a:rPr>
                  <a:t> Victims in FY14</a:t>
                </a:r>
                <a:endParaRPr lang="en-US" sz="1100" b="0" i="1" u="sng">
                  <a:solidFill>
                    <a:sysClr val="windowText" lastClr="000000"/>
                  </a:solidFill>
                </a:endParaRPr>
              </a:p>
            </c:rich>
          </c:tx>
          <c:layout>
            <c:manualLayout>
              <c:xMode val="edge"/>
              <c:yMode val="edge"/>
              <c:x val="0.12789948286167202"/>
              <c:y val="0.91126478755372975"/>
            </c:manualLayout>
          </c:layout>
          <c:overlay val="0"/>
        </c:title>
        <c:majorTickMark val="out"/>
        <c:minorTickMark val="none"/>
        <c:tickLblPos val="nextTo"/>
        <c:txPr>
          <a:bodyPr/>
          <a:lstStyle/>
          <a:p>
            <a:pPr>
              <a:defRPr sz="1100" b="1">
                <a:solidFill>
                  <a:sysClr val="windowText" lastClr="000000"/>
                </a:solidFill>
              </a:defRPr>
            </a:pPr>
            <a:endParaRPr lang="en-US"/>
          </a:p>
        </c:txPr>
        <c:crossAx val="286324352"/>
        <c:crosses val="autoZero"/>
        <c:auto val="1"/>
        <c:lblAlgn val="ctr"/>
        <c:lblOffset val="100"/>
        <c:noMultiLvlLbl val="0"/>
      </c:catAx>
      <c:valAx>
        <c:axId val="286324352"/>
        <c:scaling>
          <c:orientation val="minMax"/>
          <c:max val="170"/>
          <c:min val="0"/>
        </c:scaling>
        <c:delete val="0"/>
        <c:axPos val="l"/>
        <c:numFmt formatCode="General" sourceLinked="1"/>
        <c:majorTickMark val="none"/>
        <c:minorTickMark val="none"/>
        <c:tickLblPos val="none"/>
        <c:spPr>
          <a:ln>
            <a:noFill/>
          </a:ln>
        </c:spPr>
        <c:crossAx val="292878848"/>
        <c:crosses val="autoZero"/>
        <c:crossBetween val="between"/>
        <c:majorUnit val="100"/>
      </c:valAx>
      <c:valAx>
        <c:axId val="286324928"/>
        <c:scaling>
          <c:orientation val="minMax"/>
          <c:max val="170"/>
          <c:min val="0"/>
        </c:scaling>
        <c:delete val="0"/>
        <c:axPos val="r"/>
        <c:numFmt formatCode="General" sourceLinked="1"/>
        <c:majorTickMark val="none"/>
        <c:minorTickMark val="none"/>
        <c:tickLblPos val="none"/>
        <c:spPr>
          <a:ln>
            <a:noFill/>
          </a:ln>
        </c:spPr>
        <c:crossAx val="315465728"/>
        <c:crosses val="max"/>
        <c:crossBetween val="between"/>
      </c:valAx>
      <c:catAx>
        <c:axId val="315465728"/>
        <c:scaling>
          <c:orientation val="minMax"/>
        </c:scaling>
        <c:delete val="1"/>
        <c:axPos val="b"/>
        <c:numFmt formatCode="General" sourceLinked="1"/>
        <c:majorTickMark val="out"/>
        <c:minorTickMark val="none"/>
        <c:tickLblPos val="none"/>
        <c:crossAx val="286324928"/>
        <c:crosses val="autoZero"/>
        <c:auto val="1"/>
        <c:lblAlgn val="ctr"/>
        <c:lblOffset val="100"/>
        <c:noMultiLvlLbl val="0"/>
      </c:catAx>
    </c:plotArea>
    <c:legend>
      <c:legendPos val="r"/>
      <c:legendEntry>
        <c:idx val="0"/>
        <c:txPr>
          <a:bodyPr/>
          <a:lstStyle/>
          <a:p>
            <a:pPr>
              <a:defRPr sz="1050" b="1" u="sng">
                <a:solidFill>
                  <a:srgbClr val="C00000"/>
                </a:solidFill>
              </a:defRPr>
            </a:pPr>
            <a:endParaRPr lang="en-US"/>
          </a:p>
        </c:txPr>
      </c:legendEntry>
      <c:legendEntry>
        <c:idx val="1"/>
        <c:txPr>
          <a:bodyPr/>
          <a:lstStyle/>
          <a:p>
            <a:pPr>
              <a:defRPr sz="1050" b="1">
                <a:solidFill>
                  <a:schemeClr val="tx2">
                    <a:lumMod val="50000"/>
                  </a:schemeClr>
                </a:solidFill>
              </a:defRPr>
            </a:pPr>
            <a:endParaRPr lang="en-US"/>
          </a:p>
        </c:txPr>
      </c:legendEntry>
      <c:layout>
        <c:manualLayout>
          <c:xMode val="edge"/>
          <c:yMode val="edge"/>
          <c:x val="2.6348067877653902E-3"/>
          <c:y val="1.8076733582363634E-2"/>
          <c:w val="0.96348509654115011"/>
          <c:h val="0.13497417170679751"/>
        </c:manualLayout>
      </c:layout>
      <c:overlay val="0"/>
      <c:txPr>
        <a:bodyPr/>
        <a:lstStyle/>
        <a:p>
          <a:pPr>
            <a:defRPr sz="1050" b="1"/>
          </a:pPr>
          <a:endParaRPr lang="en-US"/>
        </a:p>
      </c:txPr>
    </c:legend>
    <c:plotVisOnly val="1"/>
    <c:dispBlanksAs val="gap"/>
    <c:showDLblsOverMax val="0"/>
  </c:chart>
  <c:spPr>
    <a:ln>
      <a:noFill/>
    </a:ln>
  </c:sp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4.1680088986647136E-2"/>
          <c:y val="0.16475937653051698"/>
          <c:w val="0.99404998296744851"/>
          <c:h val="0.61358651220316296"/>
        </c:manualLayout>
      </c:layout>
      <c:barChart>
        <c:barDir val="col"/>
        <c:grouping val="clustered"/>
        <c:varyColors val="0"/>
        <c:ser>
          <c:idx val="1"/>
          <c:order val="0"/>
          <c:tx>
            <c:v>Medical Emergency</c:v>
          </c:tx>
          <c:invertIfNegative val="0"/>
          <c:dLbls>
            <c:txPr>
              <a:bodyPr rot="0" vert="horz"/>
              <a:lstStyle/>
              <a:p>
                <a:pPr>
                  <a:defRPr b="1">
                    <a:solidFill>
                      <a:schemeClr val="bg1"/>
                    </a:solidFill>
                  </a:defRPr>
                </a:pPr>
                <a:endParaRPr lang="en-US"/>
              </a:p>
            </c:txPr>
            <c:dLblPos val="inEnd"/>
            <c:showLegendKey val="0"/>
            <c:showVal val="1"/>
            <c:showCatName val="0"/>
            <c:showSerName val="0"/>
            <c:showPercent val="0"/>
            <c:showBubbleSize val="0"/>
            <c:showLeaderLines val="0"/>
          </c:dLbls>
          <c:trendline>
            <c:spPr>
              <a:ln w="25400" cap="flat" cmpd="sng" algn="ctr">
                <a:solidFill>
                  <a:schemeClr val="accent1"/>
                </a:solidFill>
                <a:prstDash val="solid"/>
              </a:ln>
              <a:effectLst>
                <a:outerShdw blurRad="40000" dist="20000" dir="5400000" rotWithShape="0">
                  <a:srgbClr val="000000">
                    <a:alpha val="38000"/>
                  </a:srgbClr>
                </a:outerShdw>
              </a:effectLst>
            </c:spPr>
            <c:trendlineType val="poly"/>
            <c:order val="2"/>
            <c:dispRSqr val="0"/>
            <c:dispEq val="0"/>
          </c:trendline>
          <c:cat>
            <c:numRef>
              <c:f>Summary!$O$57:$AX$57</c:f>
              <c:numCache>
                <c:formatCode>mmm\-yy</c:formatCode>
                <c:ptCount val="36"/>
                <c:pt idx="0">
                  <c:v>40817</c:v>
                </c:pt>
                <c:pt idx="1">
                  <c:v>40848</c:v>
                </c:pt>
                <c:pt idx="2">
                  <c:v>40878</c:v>
                </c:pt>
                <c:pt idx="3">
                  <c:v>40909</c:v>
                </c:pt>
                <c:pt idx="4">
                  <c:v>40940</c:v>
                </c:pt>
                <c:pt idx="5">
                  <c:v>40969</c:v>
                </c:pt>
                <c:pt idx="6">
                  <c:v>41000</c:v>
                </c:pt>
                <c:pt idx="7">
                  <c:v>41030</c:v>
                </c:pt>
                <c:pt idx="8">
                  <c:v>41061</c:v>
                </c:pt>
                <c:pt idx="9">
                  <c:v>41091</c:v>
                </c:pt>
                <c:pt idx="10">
                  <c:v>41122</c:v>
                </c:pt>
                <c:pt idx="11">
                  <c:v>41153</c:v>
                </c:pt>
                <c:pt idx="12">
                  <c:v>41183</c:v>
                </c:pt>
                <c:pt idx="13">
                  <c:v>41214</c:v>
                </c:pt>
                <c:pt idx="14">
                  <c:v>41244</c:v>
                </c:pt>
                <c:pt idx="15">
                  <c:v>41275</c:v>
                </c:pt>
                <c:pt idx="16">
                  <c:v>41306</c:v>
                </c:pt>
                <c:pt idx="17">
                  <c:v>41334</c:v>
                </c:pt>
                <c:pt idx="18">
                  <c:v>41365</c:v>
                </c:pt>
                <c:pt idx="19">
                  <c:v>41395</c:v>
                </c:pt>
                <c:pt idx="20">
                  <c:v>41426</c:v>
                </c:pt>
                <c:pt idx="21">
                  <c:v>41456</c:v>
                </c:pt>
                <c:pt idx="22">
                  <c:v>41487</c:v>
                </c:pt>
                <c:pt idx="23">
                  <c:v>41518</c:v>
                </c:pt>
                <c:pt idx="24">
                  <c:v>41548</c:v>
                </c:pt>
                <c:pt idx="25">
                  <c:v>41579</c:v>
                </c:pt>
                <c:pt idx="26">
                  <c:v>41609</c:v>
                </c:pt>
                <c:pt idx="27">
                  <c:v>41640</c:v>
                </c:pt>
                <c:pt idx="28">
                  <c:v>41671</c:v>
                </c:pt>
                <c:pt idx="29">
                  <c:v>41699</c:v>
                </c:pt>
                <c:pt idx="30">
                  <c:v>41730</c:v>
                </c:pt>
                <c:pt idx="31">
                  <c:v>41760</c:v>
                </c:pt>
                <c:pt idx="32">
                  <c:v>41791</c:v>
                </c:pt>
                <c:pt idx="33">
                  <c:v>41821</c:v>
                </c:pt>
                <c:pt idx="34">
                  <c:v>41852</c:v>
                </c:pt>
                <c:pt idx="35">
                  <c:v>41883</c:v>
                </c:pt>
              </c:numCache>
            </c:numRef>
          </c:cat>
          <c:val>
            <c:numRef>
              <c:f>Summary!$O$68:$AX$68</c:f>
              <c:numCache>
                <c:formatCode>General</c:formatCode>
                <c:ptCount val="36"/>
                <c:pt idx="0">
                  <c:v>31</c:v>
                </c:pt>
                <c:pt idx="1">
                  <c:v>35</c:v>
                </c:pt>
                <c:pt idx="2">
                  <c:v>22</c:v>
                </c:pt>
                <c:pt idx="3">
                  <c:v>29</c:v>
                </c:pt>
                <c:pt idx="4">
                  <c:v>30</c:v>
                </c:pt>
                <c:pt idx="5">
                  <c:v>38</c:v>
                </c:pt>
                <c:pt idx="6">
                  <c:v>24</c:v>
                </c:pt>
                <c:pt idx="7">
                  <c:v>19</c:v>
                </c:pt>
                <c:pt idx="8">
                  <c:v>23</c:v>
                </c:pt>
                <c:pt idx="9">
                  <c:v>21</c:v>
                </c:pt>
                <c:pt idx="10">
                  <c:v>22</c:v>
                </c:pt>
                <c:pt idx="11">
                  <c:v>24</c:v>
                </c:pt>
                <c:pt idx="12">
                  <c:v>21</c:v>
                </c:pt>
                <c:pt idx="13">
                  <c:v>20</c:v>
                </c:pt>
                <c:pt idx="14">
                  <c:v>11</c:v>
                </c:pt>
                <c:pt idx="15">
                  <c:v>25</c:v>
                </c:pt>
                <c:pt idx="16">
                  <c:v>23</c:v>
                </c:pt>
                <c:pt idx="17">
                  <c:v>16</c:v>
                </c:pt>
                <c:pt idx="18">
                  <c:v>10</c:v>
                </c:pt>
                <c:pt idx="19">
                  <c:v>15</c:v>
                </c:pt>
                <c:pt idx="20">
                  <c:v>5</c:v>
                </c:pt>
                <c:pt idx="21">
                  <c:v>11</c:v>
                </c:pt>
                <c:pt idx="22">
                  <c:v>5</c:v>
                </c:pt>
                <c:pt idx="23">
                  <c:v>22</c:v>
                </c:pt>
                <c:pt idx="24">
                  <c:v>20</c:v>
                </c:pt>
                <c:pt idx="25">
                  <c:v>23</c:v>
                </c:pt>
                <c:pt idx="26">
                  <c:v>17</c:v>
                </c:pt>
                <c:pt idx="27">
                  <c:v>25</c:v>
                </c:pt>
                <c:pt idx="28">
                  <c:v>16</c:v>
                </c:pt>
                <c:pt idx="29">
                  <c:v>24</c:v>
                </c:pt>
                <c:pt idx="30">
                  <c:v>17</c:v>
                </c:pt>
                <c:pt idx="31">
                  <c:v>25</c:v>
                </c:pt>
                <c:pt idx="32">
                  <c:v>23</c:v>
                </c:pt>
                <c:pt idx="33">
                  <c:v>25</c:v>
                </c:pt>
                <c:pt idx="34">
                  <c:v>18</c:v>
                </c:pt>
                <c:pt idx="35">
                  <c:v>18</c:v>
                </c:pt>
              </c:numCache>
            </c:numRef>
          </c:val>
        </c:ser>
        <c:dLbls>
          <c:showLegendKey val="0"/>
          <c:showVal val="0"/>
          <c:showCatName val="0"/>
          <c:showSerName val="0"/>
          <c:showPercent val="0"/>
          <c:showBubbleSize val="0"/>
        </c:dLbls>
        <c:gapWidth val="20"/>
        <c:axId val="292879360"/>
        <c:axId val="293568512"/>
      </c:barChart>
      <c:catAx>
        <c:axId val="292879360"/>
        <c:scaling>
          <c:orientation val="minMax"/>
        </c:scaling>
        <c:delete val="0"/>
        <c:axPos val="b"/>
        <c:numFmt formatCode="mmm\-yy" sourceLinked="1"/>
        <c:majorTickMark val="out"/>
        <c:minorTickMark val="none"/>
        <c:tickLblPos val="nextTo"/>
        <c:txPr>
          <a:bodyPr rot="-5400000" vert="horz"/>
          <a:lstStyle/>
          <a:p>
            <a:pPr>
              <a:defRPr/>
            </a:pPr>
            <a:endParaRPr lang="en-US"/>
          </a:p>
        </c:txPr>
        <c:crossAx val="293568512"/>
        <c:crosses val="autoZero"/>
        <c:auto val="0"/>
        <c:lblAlgn val="ctr"/>
        <c:lblOffset val="100"/>
        <c:noMultiLvlLbl val="0"/>
      </c:catAx>
      <c:valAx>
        <c:axId val="293568512"/>
        <c:scaling>
          <c:orientation val="minMax"/>
          <c:max val="40"/>
        </c:scaling>
        <c:delete val="0"/>
        <c:axPos val="l"/>
        <c:numFmt formatCode="General" sourceLinked="0"/>
        <c:majorTickMark val="none"/>
        <c:minorTickMark val="none"/>
        <c:tickLblPos val="none"/>
        <c:spPr>
          <a:ln>
            <a:noFill/>
          </a:ln>
        </c:spPr>
        <c:crossAx val="292879360"/>
        <c:crosses val="autoZero"/>
        <c:crossBetween val="between"/>
        <c:majorUnit val="5"/>
        <c:minorUnit val="3"/>
      </c:valAx>
    </c:plotArea>
    <c:plotVisOnly val="1"/>
    <c:dispBlanksAs val="gap"/>
    <c:showDLblsOverMax val="0"/>
  </c:chart>
  <c:spPr>
    <a:ln>
      <a:noFill/>
    </a:ln>
  </c:spPr>
  <c:externalData r:id="rId1">
    <c:autoUpdate val="0"/>
  </c:externalData>
  <c:userShapes r:id="rId2"/>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2.3837817818784916E-2"/>
          <c:y val="0.17177092446777487"/>
          <c:w val="0.93836512703953245"/>
          <c:h val="0.71224919801691466"/>
        </c:manualLayout>
      </c:layout>
      <c:barChart>
        <c:barDir val="col"/>
        <c:grouping val="clustered"/>
        <c:varyColors val="0"/>
        <c:ser>
          <c:idx val="1"/>
          <c:order val="0"/>
          <c:tx>
            <c:v>Patient Falls per Month</c:v>
          </c:tx>
          <c:invertIfNegative val="0"/>
          <c:dLbls>
            <c:txPr>
              <a:bodyPr/>
              <a:lstStyle/>
              <a:p>
                <a:pPr>
                  <a:defRPr b="1">
                    <a:solidFill>
                      <a:srgbClr val="C00000"/>
                    </a:solidFill>
                  </a:defRPr>
                </a:pPr>
                <a:endParaRPr lang="en-US"/>
              </a:p>
            </c:txPr>
            <c:dLblPos val="outEnd"/>
            <c:showLegendKey val="0"/>
            <c:showVal val="1"/>
            <c:showCatName val="0"/>
            <c:showSerName val="0"/>
            <c:showPercent val="0"/>
            <c:showBubbleSize val="0"/>
            <c:showLeaderLines val="0"/>
          </c:dLbls>
          <c:cat>
            <c:strRef>
              <c:f>'T-Details'!$BG$10:$BJ$10</c:f>
              <c:strCache>
                <c:ptCount val="4"/>
                <c:pt idx="0">
                  <c:v>FY11</c:v>
                </c:pt>
                <c:pt idx="1">
                  <c:v>FY12</c:v>
                </c:pt>
                <c:pt idx="2">
                  <c:v>FY13</c:v>
                </c:pt>
                <c:pt idx="3">
                  <c:v>FY14</c:v>
                </c:pt>
              </c:strCache>
            </c:strRef>
          </c:cat>
          <c:val>
            <c:numRef>
              <c:f>'T-Details'!$BG$12:$BJ$12</c:f>
              <c:numCache>
                <c:formatCode>0.0</c:formatCode>
                <c:ptCount val="4"/>
                <c:pt idx="0">
                  <c:v>19.416666666666668</c:v>
                </c:pt>
                <c:pt idx="1">
                  <c:v>17.166666666666668</c:v>
                </c:pt>
                <c:pt idx="2">
                  <c:v>17.166666666666668</c:v>
                </c:pt>
                <c:pt idx="3">
                  <c:v>20.25</c:v>
                </c:pt>
              </c:numCache>
            </c:numRef>
          </c:val>
        </c:ser>
        <c:ser>
          <c:idx val="0"/>
          <c:order val="1"/>
          <c:tx>
            <c:v>Staff Falls per Month</c:v>
          </c:tx>
          <c:invertIfNegative val="0"/>
          <c:dLbls>
            <c:txPr>
              <a:bodyPr/>
              <a:lstStyle/>
              <a:p>
                <a:pPr>
                  <a:defRPr b="1">
                    <a:solidFill>
                      <a:schemeClr val="tx2"/>
                    </a:solidFill>
                  </a:defRPr>
                </a:pPr>
                <a:endParaRPr lang="en-US"/>
              </a:p>
            </c:txPr>
            <c:showLegendKey val="0"/>
            <c:showVal val="1"/>
            <c:showCatName val="0"/>
            <c:showSerName val="0"/>
            <c:showPercent val="0"/>
            <c:showBubbleSize val="0"/>
            <c:showLeaderLines val="0"/>
          </c:dLbls>
          <c:cat>
            <c:strRef>
              <c:f>'T-Details'!$BG$10:$BJ$10</c:f>
              <c:strCache>
                <c:ptCount val="4"/>
                <c:pt idx="0">
                  <c:v>FY11</c:v>
                </c:pt>
                <c:pt idx="1">
                  <c:v>FY12</c:v>
                </c:pt>
                <c:pt idx="2">
                  <c:v>FY13</c:v>
                </c:pt>
                <c:pt idx="3">
                  <c:v>FY14</c:v>
                </c:pt>
              </c:strCache>
            </c:strRef>
          </c:cat>
          <c:val>
            <c:numRef>
              <c:f>'T-Details'!$BG$13:$BJ$13</c:f>
              <c:numCache>
                <c:formatCode>0.0</c:formatCode>
                <c:ptCount val="4"/>
                <c:pt idx="0">
                  <c:v>2.0833333333333335</c:v>
                </c:pt>
                <c:pt idx="1">
                  <c:v>2.0833333333333335</c:v>
                </c:pt>
                <c:pt idx="2">
                  <c:v>1.6666666666666667</c:v>
                </c:pt>
                <c:pt idx="3">
                  <c:v>2.5</c:v>
                </c:pt>
              </c:numCache>
            </c:numRef>
          </c:val>
        </c:ser>
        <c:dLbls>
          <c:showLegendKey val="0"/>
          <c:showVal val="0"/>
          <c:showCatName val="0"/>
          <c:showSerName val="0"/>
          <c:showPercent val="0"/>
          <c:showBubbleSize val="0"/>
        </c:dLbls>
        <c:gapWidth val="30"/>
        <c:axId val="286417920"/>
        <c:axId val="293570240"/>
      </c:barChart>
      <c:catAx>
        <c:axId val="286417920"/>
        <c:scaling>
          <c:orientation val="minMax"/>
        </c:scaling>
        <c:delete val="0"/>
        <c:axPos val="b"/>
        <c:majorTickMark val="out"/>
        <c:minorTickMark val="none"/>
        <c:tickLblPos val="nextTo"/>
        <c:crossAx val="293570240"/>
        <c:crosses val="autoZero"/>
        <c:auto val="1"/>
        <c:lblAlgn val="ctr"/>
        <c:lblOffset val="100"/>
        <c:noMultiLvlLbl val="0"/>
      </c:catAx>
      <c:valAx>
        <c:axId val="293570240"/>
        <c:scaling>
          <c:orientation val="minMax"/>
          <c:max val="22"/>
          <c:min val="0"/>
        </c:scaling>
        <c:delete val="1"/>
        <c:axPos val="l"/>
        <c:numFmt formatCode="0" sourceLinked="0"/>
        <c:majorTickMark val="none"/>
        <c:minorTickMark val="none"/>
        <c:tickLblPos val="none"/>
        <c:crossAx val="286417920"/>
        <c:crosses val="autoZero"/>
        <c:crossBetween val="between"/>
      </c:valAx>
    </c:plotArea>
    <c:legend>
      <c:legendPos val="r"/>
      <c:legendEntry>
        <c:idx val="0"/>
        <c:txPr>
          <a:bodyPr/>
          <a:lstStyle/>
          <a:p>
            <a:pPr>
              <a:defRPr b="1">
                <a:solidFill>
                  <a:srgbClr val="C00000"/>
                </a:solidFill>
              </a:defRPr>
            </a:pPr>
            <a:endParaRPr lang="en-US"/>
          </a:p>
        </c:txPr>
      </c:legendEntry>
      <c:legendEntry>
        <c:idx val="1"/>
        <c:txPr>
          <a:bodyPr/>
          <a:lstStyle/>
          <a:p>
            <a:pPr>
              <a:defRPr b="1">
                <a:solidFill>
                  <a:schemeClr val="tx2"/>
                </a:solidFill>
              </a:defRPr>
            </a:pPr>
            <a:endParaRPr lang="en-US"/>
          </a:p>
        </c:txPr>
      </c:legendEntry>
      <c:layout>
        <c:manualLayout>
          <c:xMode val="edge"/>
          <c:yMode val="edge"/>
          <c:x val="4.6543284653520867E-2"/>
          <c:y val="1.7366943715368913E-2"/>
          <c:w val="0.84626782476932649"/>
          <c:h val="0.1226735199766696"/>
        </c:manualLayout>
      </c:layout>
      <c:overlay val="0"/>
    </c:legend>
    <c:plotVisOnly val="1"/>
    <c:dispBlanksAs val="gap"/>
    <c:showDLblsOverMax val="0"/>
  </c:chart>
  <c:spPr>
    <a:ln>
      <a:noFill/>
    </a:ln>
  </c:sp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0"/>
    </mc:Choice>
    <mc:Fallback>
      <c:style val="20"/>
    </mc:Fallback>
  </mc:AlternateContent>
  <c:chart>
    <c:autoTitleDeleted val="0"/>
    <c:plotArea>
      <c:layout>
        <c:manualLayout>
          <c:layoutTarget val="inner"/>
          <c:xMode val="edge"/>
          <c:yMode val="edge"/>
          <c:x val="0.11790749827565027"/>
          <c:y val="6.0005379186258964E-2"/>
          <c:w val="0.44452124282469679"/>
          <c:h val="0.82401454235181737"/>
        </c:manualLayout>
      </c:layout>
      <c:barChart>
        <c:barDir val="col"/>
        <c:grouping val="clustered"/>
        <c:varyColors val="0"/>
        <c:ser>
          <c:idx val="0"/>
          <c:order val="0"/>
          <c:tx>
            <c:strRef>
              <c:f>'T-Details'!$B$18</c:f>
              <c:strCache>
                <c:ptCount val="1"/>
                <c:pt idx="0">
                  <c:v># of Unique IICs who Fell</c:v>
                </c:pt>
              </c:strCache>
            </c:strRef>
          </c:tx>
          <c:spPr>
            <a:gradFill>
              <a:gsLst>
                <a:gs pos="0">
                  <a:schemeClr val="accent2">
                    <a:lumMod val="60000"/>
                    <a:lumOff val="40000"/>
                  </a:schemeClr>
                </a:gs>
                <a:gs pos="50000">
                  <a:schemeClr val="accent2">
                    <a:lumMod val="40000"/>
                    <a:lumOff val="60000"/>
                  </a:schemeClr>
                </a:gs>
                <a:gs pos="100000">
                  <a:schemeClr val="accent2">
                    <a:lumMod val="20000"/>
                    <a:lumOff val="80000"/>
                  </a:schemeClr>
                </a:gs>
              </a:gsLst>
              <a:lin ang="5400000" scaled="0"/>
            </a:gradFill>
            <a:ln>
              <a:solidFill>
                <a:schemeClr val="accent2">
                  <a:lumMod val="60000"/>
                  <a:lumOff val="40000"/>
                </a:schemeClr>
              </a:solidFill>
            </a:ln>
          </c:spPr>
          <c:invertIfNegative val="0"/>
          <c:dLbls>
            <c:dLbl>
              <c:idx val="1"/>
              <c:layout>
                <c:manualLayout>
                  <c:x val="-6.1909245666489663E-17"/>
                  <c:y val="-3.2407407407407406E-2"/>
                </c:manualLayout>
              </c:layout>
              <c:showLegendKey val="0"/>
              <c:showVal val="1"/>
              <c:showCatName val="0"/>
              <c:showSerName val="0"/>
              <c:showPercent val="0"/>
              <c:showBubbleSize val="0"/>
            </c:dLbl>
            <c:txPr>
              <a:bodyPr/>
              <a:lstStyle/>
              <a:p>
                <a:pPr>
                  <a:defRPr b="1">
                    <a:solidFill>
                      <a:srgbClr val="960000"/>
                    </a:solidFill>
                  </a:defRPr>
                </a:pPr>
                <a:endParaRPr lang="en-US"/>
              </a:p>
            </c:txPr>
            <c:showLegendKey val="0"/>
            <c:showVal val="1"/>
            <c:showCatName val="0"/>
            <c:showSerName val="0"/>
            <c:showPercent val="0"/>
            <c:showBubbleSize val="0"/>
            <c:showLeaderLines val="0"/>
          </c:dLbls>
          <c:cat>
            <c:strRef>
              <c:f>'T-Details'!$BG$10:$BJ$10</c:f>
              <c:strCache>
                <c:ptCount val="4"/>
                <c:pt idx="0">
                  <c:v>FY11</c:v>
                </c:pt>
                <c:pt idx="1">
                  <c:v>FY12</c:v>
                </c:pt>
                <c:pt idx="2">
                  <c:v>FY13</c:v>
                </c:pt>
                <c:pt idx="3">
                  <c:v>FY14</c:v>
                </c:pt>
              </c:strCache>
            </c:strRef>
          </c:cat>
          <c:val>
            <c:numRef>
              <c:f>'T-Details'!$BG$18:$BJ$18</c:f>
              <c:numCache>
                <c:formatCode>0.0</c:formatCode>
                <c:ptCount val="4"/>
                <c:pt idx="0">
                  <c:v>14.5</c:v>
                </c:pt>
                <c:pt idx="1">
                  <c:v>13.75</c:v>
                </c:pt>
                <c:pt idx="2">
                  <c:v>12.833333333333334</c:v>
                </c:pt>
                <c:pt idx="3">
                  <c:v>15.25</c:v>
                </c:pt>
              </c:numCache>
            </c:numRef>
          </c:val>
        </c:ser>
        <c:ser>
          <c:idx val="1"/>
          <c:order val="1"/>
          <c:tx>
            <c:strRef>
              <c:f>'T-Details'!$B$19</c:f>
              <c:strCache>
                <c:ptCount val="1"/>
                <c:pt idx="0">
                  <c:v># of IICs w/ &gt;=2 Falls</c:v>
                </c:pt>
              </c:strCache>
            </c:strRef>
          </c:tx>
          <c:spPr>
            <a:gradFill>
              <a:gsLst>
                <a:gs pos="0">
                  <a:schemeClr val="accent2">
                    <a:lumMod val="50000"/>
                  </a:schemeClr>
                </a:gs>
                <a:gs pos="50000">
                  <a:schemeClr val="accent2">
                    <a:lumMod val="75000"/>
                  </a:schemeClr>
                </a:gs>
                <a:gs pos="100000">
                  <a:schemeClr val="accent2">
                    <a:lumMod val="60000"/>
                    <a:lumOff val="40000"/>
                  </a:schemeClr>
                </a:gs>
              </a:gsLst>
              <a:lin ang="5400000" scaled="0"/>
            </a:gradFill>
          </c:spPr>
          <c:invertIfNegative val="0"/>
          <c:dLbls>
            <c:txPr>
              <a:bodyPr/>
              <a:lstStyle/>
              <a:p>
                <a:pPr>
                  <a:defRPr b="1">
                    <a:solidFill>
                      <a:schemeClr val="bg1"/>
                    </a:solidFill>
                  </a:defRPr>
                </a:pPr>
                <a:endParaRPr lang="en-US"/>
              </a:p>
            </c:txPr>
            <c:dLblPos val="inEnd"/>
            <c:showLegendKey val="0"/>
            <c:showVal val="1"/>
            <c:showCatName val="0"/>
            <c:showSerName val="0"/>
            <c:showPercent val="0"/>
            <c:showBubbleSize val="0"/>
            <c:showLeaderLines val="0"/>
          </c:dLbls>
          <c:cat>
            <c:strRef>
              <c:f>'T-Details'!$BG$10:$BJ$10</c:f>
              <c:strCache>
                <c:ptCount val="4"/>
                <c:pt idx="0">
                  <c:v>FY11</c:v>
                </c:pt>
                <c:pt idx="1">
                  <c:v>FY12</c:v>
                </c:pt>
                <c:pt idx="2">
                  <c:v>FY13</c:v>
                </c:pt>
                <c:pt idx="3">
                  <c:v>FY14</c:v>
                </c:pt>
              </c:strCache>
            </c:strRef>
          </c:cat>
          <c:val>
            <c:numRef>
              <c:f>'T-Details'!$BG$19:$BJ$19</c:f>
              <c:numCache>
                <c:formatCode>0.0</c:formatCode>
                <c:ptCount val="4"/>
                <c:pt idx="0">
                  <c:v>3.4166666666666665</c:v>
                </c:pt>
                <c:pt idx="1">
                  <c:v>3.3333333333333335</c:v>
                </c:pt>
                <c:pt idx="2">
                  <c:v>1.8333333333333333</c:v>
                </c:pt>
                <c:pt idx="3">
                  <c:v>3.5833333333333335</c:v>
                </c:pt>
              </c:numCache>
            </c:numRef>
          </c:val>
        </c:ser>
        <c:dLbls>
          <c:showLegendKey val="0"/>
          <c:showVal val="0"/>
          <c:showCatName val="0"/>
          <c:showSerName val="0"/>
          <c:showPercent val="0"/>
          <c:showBubbleSize val="0"/>
        </c:dLbls>
        <c:gapWidth val="50"/>
        <c:overlap val="80"/>
        <c:axId val="286419456"/>
        <c:axId val="293571968"/>
      </c:barChart>
      <c:lineChart>
        <c:grouping val="standard"/>
        <c:varyColors val="0"/>
        <c:ser>
          <c:idx val="2"/>
          <c:order val="2"/>
          <c:tx>
            <c:strRef>
              <c:f>'T-Details'!$B$17</c:f>
              <c:strCache>
                <c:ptCount val="1"/>
                <c:pt idx="0">
                  <c:v>Patient Fall Rate</c:v>
                </c:pt>
              </c:strCache>
            </c:strRef>
          </c:tx>
          <c:spPr>
            <a:ln>
              <a:solidFill>
                <a:schemeClr val="tx2"/>
              </a:solidFill>
            </a:ln>
          </c:spPr>
          <c:marker>
            <c:symbol val="none"/>
          </c:marker>
          <c:dLbls>
            <c:dLbl>
              <c:idx val="0"/>
              <c:layout>
                <c:manualLayout>
                  <c:x val="-5.3709838073323017E-2"/>
                  <c:y val="2.8252405949256341E-2"/>
                </c:manualLayout>
              </c:layout>
              <c:dLblPos val="r"/>
              <c:showLegendKey val="0"/>
              <c:showVal val="1"/>
              <c:showCatName val="0"/>
              <c:showSerName val="0"/>
              <c:showPercent val="0"/>
              <c:showBubbleSize val="0"/>
            </c:dLbl>
            <c:dLbl>
              <c:idx val="1"/>
              <c:layout>
                <c:manualLayout>
                  <c:x val="-5.0332931118011466E-2"/>
                  <c:y val="3.75116652085156E-2"/>
                </c:manualLayout>
              </c:layout>
              <c:dLblPos val="r"/>
              <c:showLegendKey val="0"/>
              <c:showVal val="1"/>
              <c:showCatName val="0"/>
              <c:showSerName val="0"/>
              <c:showPercent val="0"/>
              <c:showBubbleSize val="0"/>
            </c:dLbl>
            <c:dLbl>
              <c:idx val="2"/>
              <c:layout>
                <c:manualLayout>
                  <c:x val="-5.0332931118011466E-2"/>
                  <c:y val="3.2882035578885971E-2"/>
                </c:manualLayout>
              </c:layout>
              <c:dLblPos val="r"/>
              <c:showLegendKey val="0"/>
              <c:showVal val="1"/>
              <c:showCatName val="0"/>
              <c:showSerName val="0"/>
              <c:showPercent val="0"/>
              <c:showBubbleSize val="0"/>
            </c:dLbl>
            <c:dLbl>
              <c:idx val="3"/>
              <c:layout>
                <c:manualLayout>
                  <c:x val="-4.357911720738835E-2"/>
                  <c:y val="2.3622776319626712E-2"/>
                </c:manualLayout>
              </c:layout>
              <c:dLblPos val="r"/>
              <c:showLegendKey val="0"/>
              <c:showVal val="1"/>
              <c:showCatName val="0"/>
              <c:showSerName val="0"/>
              <c:showPercent val="0"/>
              <c:showBubbleSize val="0"/>
            </c:dLbl>
            <c:txPr>
              <a:bodyPr/>
              <a:lstStyle/>
              <a:p>
                <a:pPr>
                  <a:defRPr b="1">
                    <a:solidFill>
                      <a:schemeClr val="tx2"/>
                    </a:solidFill>
                    <a:effectLst>
                      <a:glow rad="127000">
                        <a:schemeClr val="accent1">
                          <a:lumMod val="20000"/>
                          <a:lumOff val="80000"/>
                        </a:schemeClr>
                      </a:glow>
                    </a:effectLst>
                  </a:defRPr>
                </a:pPr>
                <a:endParaRPr lang="en-US"/>
              </a:p>
            </c:txPr>
            <c:dLblPos val="b"/>
            <c:showLegendKey val="0"/>
            <c:showVal val="1"/>
            <c:showCatName val="0"/>
            <c:showSerName val="0"/>
            <c:showPercent val="0"/>
            <c:showBubbleSize val="0"/>
            <c:showLeaderLines val="0"/>
          </c:dLbls>
          <c:cat>
            <c:strRef>
              <c:f>'T-Details'!$BG$10:$BJ$10</c:f>
              <c:strCache>
                <c:ptCount val="4"/>
                <c:pt idx="0">
                  <c:v>FY11</c:v>
                </c:pt>
                <c:pt idx="1">
                  <c:v>FY12</c:v>
                </c:pt>
                <c:pt idx="2">
                  <c:v>FY13</c:v>
                </c:pt>
                <c:pt idx="3">
                  <c:v>FY14</c:v>
                </c:pt>
              </c:strCache>
            </c:strRef>
          </c:cat>
          <c:val>
            <c:numRef>
              <c:f>'T-Details'!$BG$17:$BJ$17</c:f>
              <c:numCache>
                <c:formatCode>0.0</c:formatCode>
                <c:ptCount val="4"/>
                <c:pt idx="0">
                  <c:v>2.2933056875013702</c:v>
                </c:pt>
                <c:pt idx="1">
                  <c:v>2.0929125847757093</c:v>
                </c:pt>
                <c:pt idx="2">
                  <c:v>2.1704304357214124</c:v>
                </c:pt>
                <c:pt idx="3">
                  <c:v>2.5222139218508342</c:v>
                </c:pt>
              </c:numCache>
            </c:numRef>
          </c:val>
          <c:smooth val="1"/>
        </c:ser>
        <c:dLbls>
          <c:showLegendKey val="0"/>
          <c:showVal val="0"/>
          <c:showCatName val="0"/>
          <c:showSerName val="0"/>
          <c:showPercent val="0"/>
          <c:showBubbleSize val="0"/>
        </c:dLbls>
        <c:marker val="1"/>
        <c:smooth val="0"/>
        <c:axId val="286419968"/>
        <c:axId val="293572544"/>
      </c:lineChart>
      <c:catAx>
        <c:axId val="286419456"/>
        <c:scaling>
          <c:orientation val="minMax"/>
        </c:scaling>
        <c:delete val="0"/>
        <c:axPos val="b"/>
        <c:majorTickMark val="out"/>
        <c:minorTickMark val="none"/>
        <c:tickLblPos val="nextTo"/>
        <c:crossAx val="293571968"/>
        <c:crosses val="autoZero"/>
        <c:auto val="1"/>
        <c:lblAlgn val="ctr"/>
        <c:lblOffset val="100"/>
        <c:noMultiLvlLbl val="0"/>
      </c:catAx>
      <c:valAx>
        <c:axId val="293571968"/>
        <c:scaling>
          <c:orientation val="minMax"/>
          <c:max val="18"/>
          <c:min val="0"/>
        </c:scaling>
        <c:delete val="0"/>
        <c:axPos val="l"/>
        <c:majorGridlines/>
        <c:title>
          <c:tx>
            <c:rich>
              <a:bodyPr rot="-5400000" vert="horz"/>
              <a:lstStyle/>
              <a:p>
                <a:pPr>
                  <a:defRPr u="sng">
                    <a:solidFill>
                      <a:schemeClr val="accent2">
                        <a:lumMod val="50000"/>
                      </a:schemeClr>
                    </a:solidFill>
                  </a:defRPr>
                </a:pPr>
                <a:r>
                  <a:rPr lang="en-US" u="sng">
                    <a:solidFill>
                      <a:schemeClr val="accent2">
                        <a:lumMod val="50000"/>
                      </a:schemeClr>
                    </a:solidFill>
                  </a:rPr>
                  <a:t># of IICs who Fell</a:t>
                </a:r>
              </a:p>
            </c:rich>
          </c:tx>
          <c:layout>
            <c:manualLayout>
              <c:xMode val="edge"/>
              <c:yMode val="edge"/>
              <c:x val="1.0130720865934667E-2"/>
              <c:y val="0.31516404199475068"/>
            </c:manualLayout>
          </c:layout>
          <c:overlay val="0"/>
        </c:title>
        <c:numFmt formatCode="0" sourceLinked="0"/>
        <c:majorTickMark val="out"/>
        <c:minorTickMark val="none"/>
        <c:tickLblPos val="nextTo"/>
        <c:spPr>
          <a:ln>
            <a:solidFill>
              <a:schemeClr val="accent2">
                <a:lumMod val="50000"/>
              </a:schemeClr>
            </a:solidFill>
          </a:ln>
        </c:spPr>
        <c:txPr>
          <a:bodyPr/>
          <a:lstStyle/>
          <a:p>
            <a:pPr>
              <a:defRPr b="1">
                <a:solidFill>
                  <a:schemeClr val="accent2">
                    <a:lumMod val="50000"/>
                  </a:schemeClr>
                </a:solidFill>
              </a:defRPr>
            </a:pPr>
            <a:endParaRPr lang="en-US"/>
          </a:p>
        </c:txPr>
        <c:crossAx val="286419456"/>
        <c:crosses val="autoZero"/>
        <c:crossBetween val="between"/>
        <c:majorUnit val="3"/>
      </c:valAx>
      <c:valAx>
        <c:axId val="293572544"/>
        <c:scaling>
          <c:orientation val="minMax"/>
          <c:max val="3"/>
          <c:min val="0"/>
        </c:scaling>
        <c:delete val="0"/>
        <c:axPos val="r"/>
        <c:title>
          <c:tx>
            <c:rich>
              <a:bodyPr rot="5400000" vert="horz"/>
              <a:lstStyle/>
              <a:p>
                <a:pPr>
                  <a:defRPr u="sng">
                    <a:solidFill>
                      <a:schemeClr val="tx2"/>
                    </a:solidFill>
                  </a:defRPr>
                </a:pPr>
                <a:r>
                  <a:rPr lang="en-US" u="sng">
                    <a:solidFill>
                      <a:schemeClr val="tx2"/>
                    </a:solidFill>
                  </a:rPr>
                  <a:t>Patient Fall Rate</a:t>
                </a:r>
              </a:p>
            </c:rich>
          </c:tx>
          <c:overlay val="0"/>
        </c:title>
        <c:numFmt formatCode="0.0" sourceLinked="0"/>
        <c:majorTickMark val="out"/>
        <c:minorTickMark val="none"/>
        <c:tickLblPos val="nextTo"/>
        <c:spPr>
          <a:ln>
            <a:solidFill>
              <a:schemeClr val="tx2"/>
            </a:solidFill>
          </a:ln>
        </c:spPr>
        <c:txPr>
          <a:bodyPr/>
          <a:lstStyle/>
          <a:p>
            <a:pPr>
              <a:defRPr b="1" i="0">
                <a:solidFill>
                  <a:schemeClr val="tx2"/>
                </a:solidFill>
              </a:defRPr>
            </a:pPr>
            <a:endParaRPr lang="en-US"/>
          </a:p>
        </c:txPr>
        <c:crossAx val="286419968"/>
        <c:crosses val="max"/>
        <c:crossBetween val="between"/>
        <c:majorUnit val="0.5"/>
      </c:valAx>
      <c:catAx>
        <c:axId val="286419968"/>
        <c:scaling>
          <c:orientation val="minMax"/>
        </c:scaling>
        <c:delete val="1"/>
        <c:axPos val="b"/>
        <c:majorTickMark val="out"/>
        <c:minorTickMark val="none"/>
        <c:tickLblPos val="nextTo"/>
        <c:crossAx val="293572544"/>
        <c:crosses val="autoZero"/>
        <c:auto val="1"/>
        <c:lblAlgn val="ctr"/>
        <c:lblOffset val="100"/>
        <c:noMultiLvlLbl val="0"/>
      </c:catAx>
    </c:plotArea>
    <c:legend>
      <c:legendPos val="r"/>
      <c:legendEntry>
        <c:idx val="0"/>
        <c:txPr>
          <a:bodyPr/>
          <a:lstStyle/>
          <a:p>
            <a:pPr>
              <a:defRPr b="1">
                <a:solidFill>
                  <a:schemeClr val="accent2"/>
                </a:solidFill>
              </a:defRPr>
            </a:pPr>
            <a:endParaRPr lang="en-US"/>
          </a:p>
        </c:txPr>
      </c:legendEntry>
      <c:legendEntry>
        <c:idx val="1"/>
        <c:txPr>
          <a:bodyPr/>
          <a:lstStyle/>
          <a:p>
            <a:pPr>
              <a:defRPr b="1">
                <a:solidFill>
                  <a:schemeClr val="accent2">
                    <a:lumMod val="50000"/>
                  </a:schemeClr>
                </a:solidFill>
              </a:defRPr>
            </a:pPr>
            <a:endParaRPr lang="en-US"/>
          </a:p>
        </c:txPr>
      </c:legendEntry>
      <c:legendEntry>
        <c:idx val="2"/>
        <c:txPr>
          <a:bodyPr/>
          <a:lstStyle/>
          <a:p>
            <a:pPr>
              <a:defRPr b="1">
                <a:solidFill>
                  <a:schemeClr val="tx2"/>
                </a:solidFill>
              </a:defRPr>
            </a:pPr>
            <a:endParaRPr lang="en-US"/>
          </a:p>
        </c:txPr>
      </c:legendEntry>
      <c:layout>
        <c:manualLayout>
          <c:xMode val="edge"/>
          <c:yMode val="edge"/>
          <c:x val="0.69871816151515764"/>
          <c:y val="0.1098778553740853"/>
          <c:w val="0.28461510434588994"/>
          <c:h val="0.75230314960629918"/>
        </c:manualLayout>
      </c:layout>
      <c:overlay val="0"/>
      <c:txPr>
        <a:bodyPr/>
        <a:lstStyle/>
        <a:p>
          <a:pPr>
            <a:defRPr b="1"/>
          </a:pPr>
          <a:endParaRPr lang="en-US"/>
        </a:p>
      </c:txPr>
    </c:legend>
    <c:plotVisOnly val="1"/>
    <c:dispBlanksAs val="gap"/>
    <c:showDLblsOverMax val="0"/>
  </c:chart>
  <c:spPr>
    <a:ln>
      <a:noFill/>
    </a:ln>
  </c:sp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4.5052979488675024E-2"/>
          <c:y val="3.2407407407407406E-2"/>
          <c:w val="0.90712070082148821"/>
          <c:h val="0.77195975503062131"/>
        </c:manualLayout>
      </c:layout>
      <c:barChart>
        <c:barDir val="col"/>
        <c:grouping val="clustered"/>
        <c:varyColors val="0"/>
        <c:ser>
          <c:idx val="0"/>
          <c:order val="0"/>
          <c:invertIfNegative val="0"/>
          <c:dPt>
            <c:idx val="0"/>
            <c:invertIfNegative val="0"/>
            <c:bubble3D val="0"/>
            <c:spPr>
              <a:gradFill>
                <a:gsLst>
                  <a:gs pos="0">
                    <a:srgbClr val="C00000"/>
                  </a:gs>
                  <a:gs pos="50000">
                    <a:srgbClr val="B00000"/>
                  </a:gs>
                  <a:gs pos="100000">
                    <a:srgbClr val="960000"/>
                  </a:gs>
                </a:gsLst>
                <a:lin ang="5400000" scaled="0"/>
              </a:gradFill>
            </c:spPr>
          </c:dPt>
          <c:dLbls>
            <c:dLbl>
              <c:idx val="0"/>
              <c:spPr/>
              <c:txPr>
                <a:bodyPr/>
                <a:lstStyle/>
                <a:p>
                  <a:pPr>
                    <a:defRPr b="1">
                      <a:solidFill>
                        <a:srgbClr val="C00000"/>
                      </a:solidFill>
                    </a:defRPr>
                  </a:pPr>
                  <a:endParaRPr lang="en-US"/>
                </a:p>
              </c:txPr>
              <c:showLegendKey val="0"/>
              <c:showVal val="1"/>
              <c:showCatName val="0"/>
              <c:showSerName val="0"/>
              <c:showPercent val="0"/>
              <c:showBubbleSize val="0"/>
            </c:dLbl>
            <c:dLbl>
              <c:idx val="1"/>
              <c:spPr/>
              <c:txPr>
                <a:bodyPr/>
                <a:lstStyle/>
                <a:p>
                  <a:pPr>
                    <a:defRPr b="1">
                      <a:solidFill>
                        <a:schemeClr val="tx2"/>
                      </a:solidFill>
                    </a:defRPr>
                  </a:pPr>
                  <a:endParaRPr lang="en-US"/>
                </a:p>
              </c:txPr>
              <c:showLegendKey val="0"/>
              <c:showVal val="1"/>
              <c:showCatName val="0"/>
              <c:showSerName val="0"/>
              <c:showPercent val="0"/>
              <c:showBubbleSize val="0"/>
            </c:dLbl>
            <c:txPr>
              <a:bodyPr/>
              <a:lstStyle/>
              <a:p>
                <a:pPr>
                  <a:defRPr b="1"/>
                </a:pPr>
                <a:endParaRPr lang="en-US"/>
              </a:p>
            </c:txPr>
            <c:showLegendKey val="0"/>
            <c:showVal val="1"/>
            <c:showCatName val="0"/>
            <c:showSerName val="0"/>
            <c:showPercent val="0"/>
            <c:showBubbleSize val="0"/>
            <c:showLeaderLines val="0"/>
          </c:dLbls>
          <c:cat>
            <c:strRef>
              <c:f>'T-Details'!$BE$26:$BE$27</c:f>
              <c:strCache>
                <c:ptCount val="2"/>
                <c:pt idx="0">
                  <c:v>Patient who Fell (n=243)</c:v>
                </c:pt>
                <c:pt idx="1">
                  <c:v>Staff who Fell (n=30)</c:v>
                </c:pt>
              </c:strCache>
            </c:strRef>
          </c:cat>
          <c:val>
            <c:numRef>
              <c:f>('T-Details'!$BF$22,'T-Details'!$BF$24)</c:f>
              <c:numCache>
                <c:formatCode>0%</c:formatCode>
                <c:ptCount val="2"/>
                <c:pt idx="0">
                  <c:v>0.25925925925925924</c:v>
                </c:pt>
                <c:pt idx="1">
                  <c:v>0.66666666666666663</c:v>
                </c:pt>
              </c:numCache>
            </c:numRef>
          </c:val>
        </c:ser>
        <c:dLbls>
          <c:showLegendKey val="0"/>
          <c:showVal val="0"/>
          <c:showCatName val="0"/>
          <c:showSerName val="0"/>
          <c:showPercent val="0"/>
          <c:showBubbleSize val="0"/>
        </c:dLbls>
        <c:gapWidth val="50"/>
        <c:axId val="286418944"/>
        <c:axId val="293574272"/>
      </c:barChart>
      <c:catAx>
        <c:axId val="286418944"/>
        <c:scaling>
          <c:orientation val="minMax"/>
        </c:scaling>
        <c:delete val="0"/>
        <c:axPos val="b"/>
        <c:majorTickMark val="out"/>
        <c:minorTickMark val="none"/>
        <c:tickLblPos val="nextTo"/>
        <c:crossAx val="293574272"/>
        <c:crosses val="autoZero"/>
        <c:auto val="1"/>
        <c:lblAlgn val="ctr"/>
        <c:lblOffset val="100"/>
        <c:noMultiLvlLbl val="0"/>
      </c:catAx>
      <c:valAx>
        <c:axId val="293574272"/>
        <c:scaling>
          <c:orientation val="minMax"/>
          <c:max val="0.8"/>
          <c:min val="0"/>
        </c:scaling>
        <c:delete val="0"/>
        <c:axPos val="l"/>
        <c:numFmt formatCode="0%" sourceLinked="1"/>
        <c:majorTickMark val="none"/>
        <c:minorTickMark val="none"/>
        <c:tickLblPos val="none"/>
        <c:spPr>
          <a:ln>
            <a:noFill/>
          </a:ln>
        </c:spPr>
        <c:crossAx val="286418944"/>
        <c:crosses val="autoZero"/>
        <c:crossBetween val="between"/>
      </c:valAx>
    </c:plotArea>
    <c:plotVisOnly val="1"/>
    <c:dispBlanksAs val="gap"/>
    <c:showDLblsOverMax val="0"/>
  </c:chart>
  <c:spPr>
    <a:ln>
      <a:noFill/>
    </a:ln>
  </c:sp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771904598881661"/>
          <c:y val="8.0361289358403143E-2"/>
          <c:w val="0.8455937067272532"/>
          <c:h val="0.6181803641732283"/>
        </c:manualLayout>
      </c:layout>
      <c:barChart>
        <c:barDir val="col"/>
        <c:grouping val="clustered"/>
        <c:varyColors val="0"/>
        <c:ser>
          <c:idx val="1"/>
          <c:order val="0"/>
          <c:tx>
            <c:strRef>
              <c:f>'T-Details'!$BU$14</c:f>
              <c:strCache>
                <c:ptCount val="1"/>
                <c:pt idx="0">
                  <c:v>FY12 (n= 206)</c:v>
                </c:pt>
              </c:strCache>
            </c:strRef>
          </c:tx>
          <c:invertIfNegative val="0"/>
          <c:cat>
            <c:strRef>
              <c:f>'T-Details'!$BS$15:$BS$25</c:f>
              <c:strCache>
                <c:ptCount val="11"/>
                <c:pt idx="0">
                  <c:v>1A</c:v>
                </c:pt>
                <c:pt idx="1">
                  <c:v>1B</c:v>
                </c:pt>
                <c:pt idx="2">
                  <c:v>1C</c:v>
                </c:pt>
                <c:pt idx="3">
                  <c:v>1D</c:v>
                </c:pt>
                <c:pt idx="4">
                  <c:v>1E</c:v>
                </c:pt>
                <c:pt idx="5">
                  <c:v>1F</c:v>
                </c:pt>
                <c:pt idx="6">
                  <c:v>1G</c:v>
                </c:pt>
                <c:pt idx="7">
                  <c:v>2A</c:v>
                </c:pt>
                <c:pt idx="8">
                  <c:v>2B</c:v>
                </c:pt>
                <c:pt idx="9">
                  <c:v>2C</c:v>
                </c:pt>
                <c:pt idx="10">
                  <c:v>2D</c:v>
                </c:pt>
              </c:strCache>
            </c:strRef>
          </c:cat>
          <c:val>
            <c:numRef>
              <c:f>'T-Details'!$BU$15:$BU$25</c:f>
              <c:numCache>
                <c:formatCode>0%</c:formatCode>
                <c:ptCount val="11"/>
                <c:pt idx="0">
                  <c:v>0.3446601941747573</c:v>
                </c:pt>
                <c:pt idx="1">
                  <c:v>0.14077669902912621</c:v>
                </c:pt>
                <c:pt idx="2">
                  <c:v>6.3106796116504854E-2</c:v>
                </c:pt>
                <c:pt idx="3">
                  <c:v>3.3980582524271843E-2</c:v>
                </c:pt>
                <c:pt idx="4">
                  <c:v>0.11650485436893204</c:v>
                </c:pt>
                <c:pt idx="5">
                  <c:v>9.7087378640776691E-3</c:v>
                </c:pt>
                <c:pt idx="6">
                  <c:v>6.7961165048543687E-2</c:v>
                </c:pt>
                <c:pt idx="7">
                  <c:v>1.4563106796116505E-2</c:v>
                </c:pt>
                <c:pt idx="8">
                  <c:v>5.8252427184466021E-2</c:v>
                </c:pt>
                <c:pt idx="9">
                  <c:v>5.3398058252427182E-2</c:v>
                </c:pt>
                <c:pt idx="10">
                  <c:v>9.7087378640776698E-2</c:v>
                </c:pt>
              </c:numCache>
            </c:numRef>
          </c:val>
        </c:ser>
        <c:ser>
          <c:idx val="2"/>
          <c:order val="1"/>
          <c:tx>
            <c:strRef>
              <c:f>'T-Details'!$BV$14</c:f>
              <c:strCache>
                <c:ptCount val="1"/>
                <c:pt idx="0">
                  <c:v>FY13 (n= 206)</c:v>
                </c:pt>
              </c:strCache>
            </c:strRef>
          </c:tx>
          <c:invertIfNegative val="0"/>
          <c:cat>
            <c:strRef>
              <c:f>'T-Details'!$BS$15:$BS$25</c:f>
              <c:strCache>
                <c:ptCount val="11"/>
                <c:pt idx="0">
                  <c:v>1A</c:v>
                </c:pt>
                <c:pt idx="1">
                  <c:v>1B</c:v>
                </c:pt>
                <c:pt idx="2">
                  <c:v>1C</c:v>
                </c:pt>
                <c:pt idx="3">
                  <c:v>1D</c:v>
                </c:pt>
                <c:pt idx="4">
                  <c:v>1E</c:v>
                </c:pt>
                <c:pt idx="5">
                  <c:v>1F</c:v>
                </c:pt>
                <c:pt idx="6">
                  <c:v>1G</c:v>
                </c:pt>
                <c:pt idx="7">
                  <c:v>2A</c:v>
                </c:pt>
                <c:pt idx="8">
                  <c:v>2B</c:v>
                </c:pt>
                <c:pt idx="9">
                  <c:v>2C</c:v>
                </c:pt>
                <c:pt idx="10">
                  <c:v>2D</c:v>
                </c:pt>
              </c:strCache>
            </c:strRef>
          </c:cat>
          <c:val>
            <c:numRef>
              <c:f>'T-Details'!$BV$15:$BV$25</c:f>
              <c:numCache>
                <c:formatCode>0%</c:formatCode>
                <c:ptCount val="11"/>
                <c:pt idx="0">
                  <c:v>0.19902912621359223</c:v>
                </c:pt>
                <c:pt idx="1">
                  <c:v>0.24757281553398058</c:v>
                </c:pt>
                <c:pt idx="2">
                  <c:v>9.7087378640776698E-2</c:v>
                </c:pt>
                <c:pt idx="3">
                  <c:v>6.7961165048543687E-2</c:v>
                </c:pt>
                <c:pt idx="4">
                  <c:v>5.3398058252427182E-2</c:v>
                </c:pt>
                <c:pt idx="5">
                  <c:v>4.8543689320388349E-2</c:v>
                </c:pt>
                <c:pt idx="6">
                  <c:v>1.9417475728155338E-2</c:v>
                </c:pt>
                <c:pt idx="7">
                  <c:v>4.8543689320388349E-2</c:v>
                </c:pt>
                <c:pt idx="8">
                  <c:v>6.7961165048543687E-2</c:v>
                </c:pt>
                <c:pt idx="9">
                  <c:v>5.8252427184466021E-2</c:v>
                </c:pt>
                <c:pt idx="10">
                  <c:v>8.7378640776699032E-2</c:v>
                </c:pt>
              </c:numCache>
            </c:numRef>
          </c:val>
        </c:ser>
        <c:ser>
          <c:idx val="3"/>
          <c:order val="2"/>
          <c:tx>
            <c:strRef>
              <c:f>'T-Details'!$BW$14</c:f>
              <c:strCache>
                <c:ptCount val="1"/>
                <c:pt idx="0">
                  <c:v>FY14 (n= 243)</c:v>
                </c:pt>
              </c:strCache>
            </c:strRef>
          </c:tx>
          <c:spPr>
            <a:gradFill>
              <a:gsLst>
                <a:gs pos="0">
                  <a:schemeClr val="tx1">
                    <a:lumMod val="50000"/>
                    <a:lumOff val="50000"/>
                  </a:schemeClr>
                </a:gs>
                <a:gs pos="50000">
                  <a:schemeClr val="tx1">
                    <a:lumMod val="85000"/>
                    <a:lumOff val="15000"/>
                  </a:schemeClr>
                </a:gs>
                <a:gs pos="100000">
                  <a:schemeClr val="tx1"/>
                </a:gs>
              </a:gsLst>
              <a:lin ang="5400000" scaled="0"/>
            </a:gradFill>
          </c:spPr>
          <c:invertIfNegative val="0"/>
          <c:cat>
            <c:strRef>
              <c:f>'T-Details'!$BS$15:$BS$25</c:f>
              <c:strCache>
                <c:ptCount val="11"/>
                <c:pt idx="0">
                  <c:v>1A</c:v>
                </c:pt>
                <c:pt idx="1">
                  <c:v>1B</c:v>
                </c:pt>
                <c:pt idx="2">
                  <c:v>1C</c:v>
                </c:pt>
                <c:pt idx="3">
                  <c:v>1D</c:v>
                </c:pt>
                <c:pt idx="4">
                  <c:v>1E</c:v>
                </c:pt>
                <c:pt idx="5">
                  <c:v>1F</c:v>
                </c:pt>
                <c:pt idx="6">
                  <c:v>1G</c:v>
                </c:pt>
                <c:pt idx="7">
                  <c:v>2A</c:v>
                </c:pt>
                <c:pt idx="8">
                  <c:v>2B</c:v>
                </c:pt>
                <c:pt idx="9">
                  <c:v>2C</c:v>
                </c:pt>
                <c:pt idx="10">
                  <c:v>2D</c:v>
                </c:pt>
              </c:strCache>
            </c:strRef>
          </c:cat>
          <c:val>
            <c:numRef>
              <c:f>'T-Details'!$BW$15:$BW$25</c:f>
              <c:numCache>
                <c:formatCode>0%</c:formatCode>
                <c:ptCount val="11"/>
                <c:pt idx="0">
                  <c:v>0.13168724279835392</c:v>
                </c:pt>
                <c:pt idx="1">
                  <c:v>0.13580246913580246</c:v>
                </c:pt>
                <c:pt idx="2">
                  <c:v>0.12345679012345678</c:v>
                </c:pt>
                <c:pt idx="3">
                  <c:v>0.12757201646090535</c:v>
                </c:pt>
                <c:pt idx="4">
                  <c:v>6.9958847736625515E-2</c:v>
                </c:pt>
                <c:pt idx="5">
                  <c:v>4.5267489711934158E-2</c:v>
                </c:pt>
                <c:pt idx="6">
                  <c:v>4.9382716049382713E-2</c:v>
                </c:pt>
                <c:pt idx="7">
                  <c:v>1.646090534979424E-2</c:v>
                </c:pt>
                <c:pt idx="8">
                  <c:v>7.407407407407407E-2</c:v>
                </c:pt>
                <c:pt idx="9">
                  <c:v>6.1728395061728392E-2</c:v>
                </c:pt>
                <c:pt idx="10">
                  <c:v>0.16460905349794239</c:v>
                </c:pt>
              </c:numCache>
            </c:numRef>
          </c:val>
        </c:ser>
        <c:dLbls>
          <c:showLegendKey val="0"/>
          <c:showVal val="0"/>
          <c:showCatName val="0"/>
          <c:showSerName val="0"/>
          <c:showPercent val="0"/>
          <c:showBubbleSize val="0"/>
        </c:dLbls>
        <c:gapWidth val="49"/>
        <c:axId val="315666432"/>
        <c:axId val="293594240"/>
      </c:barChart>
      <c:catAx>
        <c:axId val="315666432"/>
        <c:scaling>
          <c:orientation val="minMax"/>
        </c:scaling>
        <c:delete val="0"/>
        <c:axPos val="b"/>
        <c:numFmt formatCode="General" sourceLinked="1"/>
        <c:majorTickMark val="out"/>
        <c:minorTickMark val="none"/>
        <c:tickLblPos val="nextTo"/>
        <c:txPr>
          <a:bodyPr rot="0"/>
          <a:lstStyle/>
          <a:p>
            <a:pPr>
              <a:defRPr sz="1100"/>
            </a:pPr>
            <a:endParaRPr lang="en-US"/>
          </a:p>
        </c:txPr>
        <c:crossAx val="293594240"/>
        <c:crosses val="autoZero"/>
        <c:auto val="1"/>
        <c:lblAlgn val="ctr"/>
        <c:lblOffset val="100"/>
        <c:tickLblSkip val="1"/>
        <c:noMultiLvlLbl val="0"/>
      </c:catAx>
      <c:valAx>
        <c:axId val="293594240"/>
        <c:scaling>
          <c:orientation val="minMax"/>
          <c:max val="0.4"/>
          <c:min val="0"/>
        </c:scaling>
        <c:delete val="0"/>
        <c:axPos val="l"/>
        <c:numFmt formatCode="0%" sourceLinked="1"/>
        <c:majorTickMark val="none"/>
        <c:minorTickMark val="none"/>
        <c:tickLblPos val="none"/>
        <c:spPr>
          <a:ln>
            <a:noFill/>
          </a:ln>
        </c:spPr>
        <c:crossAx val="315666432"/>
        <c:crosses val="autoZero"/>
        <c:crossBetween val="between"/>
        <c:majorUnit val="0.1"/>
      </c:valAx>
      <c:dTable>
        <c:showHorzBorder val="1"/>
        <c:showVertBorder val="1"/>
        <c:showOutline val="1"/>
        <c:showKeys val="1"/>
      </c:dTable>
    </c:plotArea>
    <c:legend>
      <c:legendPos val="r"/>
      <c:legendEntry>
        <c:idx val="0"/>
        <c:txPr>
          <a:bodyPr/>
          <a:lstStyle/>
          <a:p>
            <a:pPr>
              <a:defRPr sz="1100" b="1">
                <a:solidFill>
                  <a:srgbClr val="C00000"/>
                </a:solidFill>
              </a:defRPr>
            </a:pPr>
            <a:endParaRPr lang="en-US"/>
          </a:p>
        </c:txPr>
      </c:legendEntry>
      <c:legendEntry>
        <c:idx val="1"/>
        <c:txPr>
          <a:bodyPr/>
          <a:lstStyle/>
          <a:p>
            <a:pPr>
              <a:defRPr sz="1100" b="1">
                <a:solidFill>
                  <a:schemeClr val="accent3">
                    <a:lumMod val="50000"/>
                  </a:schemeClr>
                </a:solidFill>
              </a:defRPr>
            </a:pPr>
            <a:endParaRPr lang="en-US"/>
          </a:p>
        </c:txPr>
      </c:legendEntry>
      <c:legendEntry>
        <c:idx val="2"/>
        <c:txPr>
          <a:bodyPr/>
          <a:lstStyle/>
          <a:p>
            <a:pPr>
              <a:defRPr sz="1100" b="1" u="sng"/>
            </a:pPr>
            <a:endParaRPr lang="en-US"/>
          </a:p>
        </c:txPr>
      </c:legendEntry>
      <c:layout>
        <c:manualLayout>
          <c:xMode val="edge"/>
          <c:yMode val="edge"/>
          <c:x val="0.43455785958692339"/>
          <c:y val="6.9226820687356319E-2"/>
          <c:w val="0.54275123332096575"/>
          <c:h val="0.11854253512428591"/>
        </c:manualLayout>
      </c:layout>
      <c:overlay val="0"/>
      <c:txPr>
        <a:bodyPr/>
        <a:lstStyle/>
        <a:p>
          <a:pPr>
            <a:defRPr sz="1100" b="1"/>
          </a:pPr>
          <a:endParaRPr lang="en-US"/>
        </a:p>
      </c:txPr>
    </c:legend>
    <c:plotVisOnly val="1"/>
    <c:dispBlanksAs val="gap"/>
    <c:showDLblsOverMax val="0"/>
  </c:chart>
  <c:spPr>
    <a:ln>
      <a:noFill/>
    </a:ln>
  </c:spPr>
  <c:externalData r:id="rId2">
    <c:autoUpdate val="0"/>
  </c:externalData>
  <c:userShapes r:id="rId3"/>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2.3837817818784916E-2"/>
          <c:y val="0.1162153689122193"/>
          <c:w val="0.93836512703953245"/>
          <c:h val="0.76780475357247013"/>
        </c:manualLayout>
      </c:layout>
      <c:barChart>
        <c:barDir val="col"/>
        <c:grouping val="clustered"/>
        <c:varyColors val="0"/>
        <c:ser>
          <c:idx val="1"/>
          <c:order val="0"/>
          <c:tx>
            <c:v>Injury UIs per Month</c:v>
          </c:tx>
          <c:invertIfNegative val="0"/>
          <c:dLbls>
            <c:txPr>
              <a:bodyPr/>
              <a:lstStyle/>
              <a:p>
                <a:pPr>
                  <a:defRPr b="1">
                    <a:solidFill>
                      <a:srgbClr val="C00000"/>
                    </a:solidFill>
                  </a:defRPr>
                </a:pPr>
                <a:endParaRPr lang="en-US"/>
              </a:p>
            </c:txPr>
            <c:dLblPos val="outEnd"/>
            <c:showLegendKey val="0"/>
            <c:showVal val="1"/>
            <c:showCatName val="0"/>
            <c:showSerName val="0"/>
            <c:showPercent val="0"/>
            <c:showBubbleSize val="0"/>
            <c:showLeaderLines val="0"/>
          </c:dLbls>
          <c:trendline>
            <c:spPr>
              <a:ln w="25400" cap="flat" cmpd="sng" algn="ctr">
                <a:solidFill>
                  <a:schemeClr val="accent2"/>
                </a:solidFill>
                <a:prstDash val="solid"/>
              </a:ln>
              <a:effectLst>
                <a:outerShdw blurRad="40000" dist="20000" dir="5400000" rotWithShape="0">
                  <a:srgbClr val="000000">
                    <a:alpha val="38000"/>
                  </a:srgbClr>
                </a:outerShdw>
              </a:effectLst>
            </c:spPr>
            <c:trendlineType val="poly"/>
            <c:order val="2"/>
            <c:dispRSqr val="0"/>
            <c:dispEq val="0"/>
          </c:trendline>
          <c:cat>
            <c:strRef>
              <c:f>'T-Details'!$BG$25:$BJ$25</c:f>
              <c:strCache>
                <c:ptCount val="4"/>
                <c:pt idx="0">
                  <c:v>FY11</c:v>
                </c:pt>
                <c:pt idx="1">
                  <c:v>FY12</c:v>
                </c:pt>
                <c:pt idx="2">
                  <c:v>FY13</c:v>
                </c:pt>
                <c:pt idx="3">
                  <c:v>FY14</c:v>
                </c:pt>
              </c:strCache>
            </c:strRef>
          </c:cat>
          <c:val>
            <c:numRef>
              <c:f>'T-Details'!$BG$26:$BJ$26</c:f>
              <c:numCache>
                <c:formatCode>0</c:formatCode>
                <c:ptCount val="4"/>
                <c:pt idx="0">
                  <c:v>34.083333333333336</c:v>
                </c:pt>
                <c:pt idx="1">
                  <c:v>30.583333333333332</c:v>
                </c:pt>
                <c:pt idx="2">
                  <c:v>30.315789473684209</c:v>
                </c:pt>
                <c:pt idx="3">
                  <c:v>34.833333333333336</c:v>
                </c:pt>
              </c:numCache>
            </c:numRef>
          </c:val>
        </c:ser>
        <c:ser>
          <c:idx val="0"/>
          <c:order val="1"/>
          <c:tx>
            <c:v>Patients Injured per Month</c:v>
          </c:tx>
          <c:invertIfNegative val="0"/>
          <c:dLbls>
            <c:txPr>
              <a:bodyPr/>
              <a:lstStyle/>
              <a:p>
                <a:pPr>
                  <a:defRPr b="1">
                    <a:solidFill>
                      <a:schemeClr val="tx2"/>
                    </a:solidFill>
                  </a:defRPr>
                </a:pPr>
                <a:endParaRPr lang="en-US"/>
              </a:p>
            </c:txPr>
            <c:showLegendKey val="0"/>
            <c:showVal val="1"/>
            <c:showCatName val="0"/>
            <c:showSerName val="0"/>
            <c:showPercent val="0"/>
            <c:showBubbleSize val="0"/>
            <c:showLeaderLines val="0"/>
          </c:dLbls>
          <c:trendline>
            <c:spPr>
              <a:ln w="25400" cap="flat" cmpd="sng" algn="ctr">
                <a:solidFill>
                  <a:schemeClr val="accent1"/>
                </a:solidFill>
                <a:prstDash val="solid"/>
              </a:ln>
              <a:effectLst>
                <a:outerShdw blurRad="40000" dist="20000" dir="5400000" rotWithShape="0">
                  <a:srgbClr val="000000">
                    <a:alpha val="38000"/>
                  </a:srgbClr>
                </a:outerShdw>
              </a:effectLst>
            </c:spPr>
            <c:trendlineType val="poly"/>
            <c:order val="2"/>
            <c:dispRSqr val="0"/>
            <c:dispEq val="0"/>
          </c:trendline>
          <c:cat>
            <c:strRef>
              <c:f>'T-Details'!$BG$25:$BJ$25</c:f>
              <c:strCache>
                <c:ptCount val="4"/>
                <c:pt idx="0">
                  <c:v>FY11</c:v>
                </c:pt>
                <c:pt idx="1">
                  <c:v>FY12</c:v>
                </c:pt>
                <c:pt idx="2">
                  <c:v>FY13</c:v>
                </c:pt>
                <c:pt idx="3">
                  <c:v>FY14</c:v>
                </c:pt>
              </c:strCache>
            </c:strRef>
          </c:cat>
          <c:val>
            <c:numRef>
              <c:f>'T-Details'!$BG$33:$BJ$33</c:f>
              <c:numCache>
                <c:formatCode>0</c:formatCode>
                <c:ptCount val="4"/>
                <c:pt idx="0">
                  <c:v>23.5</c:v>
                </c:pt>
                <c:pt idx="1">
                  <c:v>22.333333333333332</c:v>
                </c:pt>
                <c:pt idx="2">
                  <c:v>21.05263157894737</c:v>
                </c:pt>
                <c:pt idx="3">
                  <c:v>23.916666666666668</c:v>
                </c:pt>
              </c:numCache>
            </c:numRef>
          </c:val>
        </c:ser>
        <c:ser>
          <c:idx val="2"/>
          <c:order val="2"/>
          <c:tx>
            <c:v>Staff Injured per Month</c:v>
          </c:tx>
          <c:invertIfNegative val="0"/>
          <c:dLbls>
            <c:txPr>
              <a:bodyPr/>
              <a:lstStyle/>
              <a:p>
                <a:pPr>
                  <a:defRPr b="1">
                    <a:solidFill>
                      <a:schemeClr val="accent3">
                        <a:lumMod val="50000"/>
                      </a:schemeClr>
                    </a:solidFill>
                  </a:defRPr>
                </a:pPr>
                <a:endParaRPr lang="en-US"/>
              </a:p>
            </c:txPr>
            <c:showLegendKey val="0"/>
            <c:showVal val="1"/>
            <c:showCatName val="0"/>
            <c:showSerName val="0"/>
            <c:showPercent val="0"/>
            <c:showBubbleSize val="0"/>
            <c:showLeaderLines val="0"/>
          </c:dLbls>
          <c:trendline>
            <c:spPr>
              <a:ln w="25400" cap="flat" cmpd="sng" algn="ctr">
                <a:solidFill>
                  <a:schemeClr val="accent3"/>
                </a:solidFill>
                <a:prstDash val="solid"/>
              </a:ln>
              <a:effectLst>
                <a:outerShdw blurRad="40000" dist="20000" dir="5400000" rotWithShape="0">
                  <a:srgbClr val="000000">
                    <a:alpha val="38000"/>
                  </a:srgbClr>
                </a:outerShdw>
              </a:effectLst>
            </c:spPr>
            <c:trendlineType val="poly"/>
            <c:order val="2"/>
            <c:dispRSqr val="0"/>
            <c:dispEq val="0"/>
          </c:trendline>
          <c:cat>
            <c:strRef>
              <c:f>'T-Details'!$BG$25:$BJ$25</c:f>
              <c:strCache>
                <c:ptCount val="4"/>
                <c:pt idx="0">
                  <c:v>FY11</c:v>
                </c:pt>
                <c:pt idx="1">
                  <c:v>FY12</c:v>
                </c:pt>
                <c:pt idx="2">
                  <c:v>FY13</c:v>
                </c:pt>
                <c:pt idx="3">
                  <c:v>FY14</c:v>
                </c:pt>
              </c:strCache>
            </c:strRef>
          </c:cat>
          <c:val>
            <c:numRef>
              <c:f>'T-Details'!$BG$42:$BJ$42</c:f>
              <c:numCache>
                <c:formatCode>0</c:formatCode>
                <c:ptCount val="4"/>
                <c:pt idx="0">
                  <c:v>15.083333333333334</c:v>
                </c:pt>
                <c:pt idx="1">
                  <c:v>12.5</c:v>
                </c:pt>
                <c:pt idx="2">
                  <c:v>12.894736842105264</c:v>
                </c:pt>
                <c:pt idx="3">
                  <c:v>17.166666666666668</c:v>
                </c:pt>
              </c:numCache>
            </c:numRef>
          </c:val>
        </c:ser>
        <c:dLbls>
          <c:showLegendKey val="0"/>
          <c:showVal val="0"/>
          <c:showCatName val="0"/>
          <c:showSerName val="0"/>
          <c:showPercent val="0"/>
          <c:showBubbleSize val="0"/>
        </c:dLbls>
        <c:gapWidth val="30"/>
        <c:axId val="315417600"/>
        <c:axId val="293594816"/>
      </c:barChart>
      <c:catAx>
        <c:axId val="315417600"/>
        <c:scaling>
          <c:orientation val="minMax"/>
        </c:scaling>
        <c:delete val="0"/>
        <c:axPos val="b"/>
        <c:majorTickMark val="out"/>
        <c:minorTickMark val="none"/>
        <c:tickLblPos val="nextTo"/>
        <c:crossAx val="293594816"/>
        <c:crosses val="autoZero"/>
        <c:auto val="1"/>
        <c:lblAlgn val="ctr"/>
        <c:lblOffset val="100"/>
        <c:noMultiLvlLbl val="0"/>
      </c:catAx>
      <c:valAx>
        <c:axId val="293594816"/>
        <c:scaling>
          <c:orientation val="minMax"/>
          <c:max val="40"/>
          <c:min val="0"/>
        </c:scaling>
        <c:delete val="0"/>
        <c:axPos val="l"/>
        <c:numFmt formatCode="0" sourceLinked="0"/>
        <c:majorTickMark val="none"/>
        <c:minorTickMark val="none"/>
        <c:tickLblPos val="none"/>
        <c:spPr>
          <a:ln>
            <a:noFill/>
          </a:ln>
        </c:spPr>
        <c:crossAx val="315417600"/>
        <c:crosses val="autoZero"/>
        <c:crossBetween val="between"/>
      </c:valAx>
    </c:plotArea>
    <c:legend>
      <c:legendPos val="r"/>
      <c:legendEntry>
        <c:idx val="0"/>
        <c:txPr>
          <a:bodyPr/>
          <a:lstStyle/>
          <a:p>
            <a:pPr>
              <a:defRPr b="1">
                <a:solidFill>
                  <a:srgbClr val="C00000"/>
                </a:solidFill>
              </a:defRPr>
            </a:pPr>
            <a:endParaRPr lang="en-US"/>
          </a:p>
        </c:txPr>
      </c:legendEntry>
      <c:legendEntry>
        <c:idx val="1"/>
        <c:txPr>
          <a:bodyPr/>
          <a:lstStyle/>
          <a:p>
            <a:pPr>
              <a:defRPr b="1">
                <a:solidFill>
                  <a:schemeClr val="tx2"/>
                </a:solidFill>
              </a:defRPr>
            </a:pPr>
            <a:endParaRPr lang="en-US"/>
          </a:p>
        </c:txPr>
      </c:legendEntry>
      <c:legendEntry>
        <c:idx val="2"/>
        <c:txPr>
          <a:bodyPr/>
          <a:lstStyle/>
          <a:p>
            <a:pPr>
              <a:defRPr b="1">
                <a:solidFill>
                  <a:schemeClr val="accent3">
                    <a:lumMod val="50000"/>
                  </a:schemeClr>
                </a:solidFill>
              </a:defRPr>
            </a:pPr>
            <a:endParaRPr lang="en-US"/>
          </a:p>
        </c:txPr>
      </c:legendEntry>
      <c:legendEntry>
        <c:idx val="3"/>
        <c:delete val="1"/>
      </c:legendEntry>
      <c:legendEntry>
        <c:idx val="4"/>
        <c:delete val="1"/>
      </c:legendEntry>
      <c:legendEntry>
        <c:idx val="5"/>
        <c:delete val="1"/>
      </c:legendEntry>
      <c:layout>
        <c:manualLayout>
          <c:xMode val="edge"/>
          <c:yMode val="edge"/>
          <c:x val="0.10677134014964547"/>
          <c:y val="4.0219052339651191E-3"/>
          <c:w val="0.61498070094179402"/>
          <c:h val="0.17359944590259552"/>
        </c:manualLayout>
      </c:layout>
      <c:overlay val="0"/>
      <c:txPr>
        <a:bodyPr/>
        <a:lstStyle/>
        <a:p>
          <a:pPr>
            <a:defRPr b="1"/>
          </a:pPr>
          <a:endParaRPr lang="en-US"/>
        </a:p>
      </c:txPr>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2.7738407699037616E-2"/>
          <c:y val="6.5757247280179509E-2"/>
          <c:w val="0.92679618318738199"/>
          <c:h val="0.73488764103690229"/>
        </c:manualLayout>
      </c:layout>
      <c:barChart>
        <c:barDir val="col"/>
        <c:grouping val="clustered"/>
        <c:varyColors val="0"/>
        <c:ser>
          <c:idx val="0"/>
          <c:order val="0"/>
          <c:tx>
            <c:strRef>
              <c:f>'TA Summary'!$Q$32</c:f>
              <c:strCache>
                <c:ptCount val="1"/>
                <c:pt idx="0">
                  <c:v>Civil</c:v>
                </c:pt>
              </c:strCache>
            </c:strRef>
          </c:tx>
          <c:invertIfNegative val="0"/>
          <c:dLbls>
            <c:dLbl>
              <c:idx val="3"/>
              <c:layout>
                <c:manualLayout>
                  <c:x val="5.6614897660085487E-3"/>
                  <c:y val="0.10225378114056355"/>
                </c:manualLayout>
              </c:layout>
              <c:dLblPos val="outEnd"/>
              <c:showLegendKey val="0"/>
              <c:showVal val="1"/>
              <c:showCatName val="0"/>
              <c:showSerName val="0"/>
              <c:showPercent val="0"/>
              <c:showBubbleSize val="0"/>
            </c:dLbl>
            <c:txPr>
              <a:bodyPr/>
              <a:lstStyle/>
              <a:p>
                <a:pPr>
                  <a:defRPr b="1">
                    <a:solidFill>
                      <a:schemeClr val="bg1"/>
                    </a:solidFill>
                  </a:defRPr>
                </a:pPr>
                <a:endParaRPr lang="en-US"/>
              </a:p>
            </c:txPr>
            <c:dLblPos val="inEnd"/>
            <c:showLegendKey val="0"/>
            <c:showVal val="1"/>
            <c:showCatName val="0"/>
            <c:showSerName val="0"/>
            <c:showPercent val="0"/>
            <c:showBubbleSize val="0"/>
            <c:showLeaderLines val="0"/>
          </c:dLbls>
          <c:cat>
            <c:strRef>
              <c:f>'TA Summary'!$U$33:$U$37</c:f>
              <c:strCache>
                <c:ptCount val="5"/>
                <c:pt idx="0">
                  <c:v>FY10
(n=485)</c:v>
                </c:pt>
                <c:pt idx="1">
                  <c:v>FY11
(n=444)</c:v>
                </c:pt>
                <c:pt idx="2">
                  <c:v>FY12
(n=411)</c:v>
                </c:pt>
                <c:pt idx="3">
                  <c:v>FY13
(n=429)</c:v>
                </c:pt>
                <c:pt idx="4">
                  <c:v>FY14
(n=429)</c:v>
                </c:pt>
              </c:strCache>
            </c:strRef>
          </c:cat>
          <c:val>
            <c:numRef>
              <c:f>'TA Summary'!$Q$33:$Q$37</c:f>
              <c:numCache>
                <c:formatCode>General</c:formatCode>
                <c:ptCount val="5"/>
                <c:pt idx="0">
                  <c:v>289</c:v>
                </c:pt>
                <c:pt idx="1">
                  <c:v>233</c:v>
                </c:pt>
                <c:pt idx="2">
                  <c:v>186</c:v>
                </c:pt>
                <c:pt idx="3">
                  <c:v>223</c:v>
                </c:pt>
                <c:pt idx="4">
                  <c:v>213</c:v>
                </c:pt>
              </c:numCache>
            </c:numRef>
          </c:val>
        </c:ser>
        <c:ser>
          <c:idx val="1"/>
          <c:order val="1"/>
          <c:tx>
            <c:strRef>
              <c:f>'TA Summary'!$R$32</c:f>
              <c:strCache>
                <c:ptCount val="1"/>
                <c:pt idx="0">
                  <c:v>Pre-trial</c:v>
                </c:pt>
              </c:strCache>
            </c:strRef>
          </c:tx>
          <c:invertIfNegative val="0"/>
          <c:dLbls>
            <c:txPr>
              <a:bodyPr/>
              <a:lstStyle/>
              <a:p>
                <a:pPr>
                  <a:defRPr b="1">
                    <a:solidFill>
                      <a:schemeClr val="bg1"/>
                    </a:solidFill>
                  </a:defRPr>
                </a:pPr>
                <a:endParaRPr lang="en-US"/>
              </a:p>
            </c:txPr>
            <c:dLblPos val="inEnd"/>
            <c:showLegendKey val="0"/>
            <c:showVal val="1"/>
            <c:showCatName val="0"/>
            <c:showSerName val="0"/>
            <c:showPercent val="0"/>
            <c:showBubbleSize val="0"/>
            <c:showLeaderLines val="0"/>
          </c:dLbls>
          <c:cat>
            <c:strRef>
              <c:f>'TA Summary'!$U$33:$U$37</c:f>
              <c:strCache>
                <c:ptCount val="5"/>
                <c:pt idx="0">
                  <c:v>FY10
(n=485)</c:v>
                </c:pt>
                <c:pt idx="1">
                  <c:v>FY11
(n=444)</c:v>
                </c:pt>
                <c:pt idx="2">
                  <c:v>FY12
(n=411)</c:v>
                </c:pt>
                <c:pt idx="3">
                  <c:v>FY13
(n=429)</c:v>
                </c:pt>
                <c:pt idx="4">
                  <c:v>FY14
(n=429)</c:v>
                </c:pt>
              </c:strCache>
            </c:strRef>
          </c:cat>
          <c:val>
            <c:numRef>
              <c:f>'TA Summary'!$R$33:$R$37</c:f>
              <c:numCache>
                <c:formatCode>General</c:formatCode>
                <c:ptCount val="5"/>
                <c:pt idx="0">
                  <c:v>162</c:v>
                </c:pt>
                <c:pt idx="1">
                  <c:v>185</c:v>
                </c:pt>
                <c:pt idx="2">
                  <c:v>194</c:v>
                </c:pt>
                <c:pt idx="3">
                  <c:v>179</c:v>
                </c:pt>
                <c:pt idx="4">
                  <c:v>178</c:v>
                </c:pt>
              </c:numCache>
            </c:numRef>
          </c:val>
        </c:ser>
        <c:ser>
          <c:idx val="2"/>
          <c:order val="2"/>
          <c:tx>
            <c:strRef>
              <c:f>'TA Summary'!$S$20</c:f>
              <c:strCache>
                <c:ptCount val="1"/>
                <c:pt idx="0">
                  <c:v>Post-trial</c:v>
                </c:pt>
              </c:strCache>
            </c:strRef>
          </c:tx>
          <c:invertIfNegative val="0"/>
          <c:dLbls>
            <c:txPr>
              <a:bodyPr/>
              <a:lstStyle/>
              <a:p>
                <a:pPr>
                  <a:defRPr b="1">
                    <a:solidFill>
                      <a:srgbClr val="006600"/>
                    </a:solidFill>
                  </a:defRPr>
                </a:pPr>
                <a:endParaRPr lang="en-US"/>
              </a:p>
            </c:txPr>
            <c:showLegendKey val="0"/>
            <c:showVal val="1"/>
            <c:showCatName val="0"/>
            <c:showSerName val="0"/>
            <c:showPercent val="0"/>
            <c:showBubbleSize val="0"/>
            <c:showLeaderLines val="0"/>
          </c:dLbls>
          <c:cat>
            <c:strRef>
              <c:f>'TA Summary'!$U$33:$U$37</c:f>
              <c:strCache>
                <c:ptCount val="5"/>
                <c:pt idx="0">
                  <c:v>FY10
(n=485)</c:v>
                </c:pt>
                <c:pt idx="1">
                  <c:v>FY11
(n=444)</c:v>
                </c:pt>
                <c:pt idx="2">
                  <c:v>FY12
(n=411)</c:v>
                </c:pt>
                <c:pt idx="3">
                  <c:v>FY13
(n=429)</c:v>
                </c:pt>
                <c:pt idx="4">
                  <c:v>FY14
(n=429)</c:v>
                </c:pt>
              </c:strCache>
            </c:strRef>
          </c:cat>
          <c:val>
            <c:numRef>
              <c:f>'TA Summary'!$S$33:$S$37</c:f>
              <c:numCache>
                <c:formatCode>General</c:formatCode>
                <c:ptCount val="5"/>
                <c:pt idx="0">
                  <c:v>34</c:v>
                </c:pt>
                <c:pt idx="1">
                  <c:v>26</c:v>
                </c:pt>
                <c:pt idx="2">
                  <c:v>31</c:v>
                </c:pt>
                <c:pt idx="3">
                  <c:v>27</c:v>
                </c:pt>
                <c:pt idx="4">
                  <c:v>38</c:v>
                </c:pt>
              </c:numCache>
            </c:numRef>
          </c:val>
        </c:ser>
        <c:dLbls>
          <c:showLegendKey val="0"/>
          <c:showVal val="0"/>
          <c:showCatName val="0"/>
          <c:showSerName val="0"/>
          <c:showPercent val="0"/>
          <c:showBubbleSize val="0"/>
        </c:dLbls>
        <c:gapWidth val="50"/>
        <c:axId val="237939200"/>
        <c:axId val="171826496"/>
      </c:barChart>
      <c:catAx>
        <c:axId val="237939200"/>
        <c:scaling>
          <c:orientation val="minMax"/>
        </c:scaling>
        <c:delete val="0"/>
        <c:axPos val="b"/>
        <c:majorTickMark val="out"/>
        <c:minorTickMark val="none"/>
        <c:tickLblPos val="nextTo"/>
        <c:txPr>
          <a:bodyPr/>
          <a:lstStyle/>
          <a:p>
            <a:pPr>
              <a:defRPr sz="1100" b="1"/>
            </a:pPr>
            <a:endParaRPr lang="en-US"/>
          </a:p>
        </c:txPr>
        <c:crossAx val="171826496"/>
        <c:crosses val="autoZero"/>
        <c:auto val="1"/>
        <c:lblAlgn val="ctr"/>
        <c:lblOffset val="100"/>
        <c:noMultiLvlLbl val="0"/>
      </c:catAx>
      <c:valAx>
        <c:axId val="171826496"/>
        <c:scaling>
          <c:orientation val="minMax"/>
          <c:max val="300"/>
          <c:min val="0"/>
        </c:scaling>
        <c:delete val="0"/>
        <c:axPos val="l"/>
        <c:numFmt formatCode="General" sourceLinked="1"/>
        <c:majorTickMark val="none"/>
        <c:minorTickMark val="none"/>
        <c:tickLblPos val="none"/>
        <c:spPr>
          <a:ln>
            <a:noFill/>
          </a:ln>
        </c:spPr>
        <c:crossAx val="237939200"/>
        <c:crosses val="autoZero"/>
        <c:crossBetween val="between"/>
      </c:valAx>
    </c:plotArea>
    <c:legend>
      <c:legendPos val="r"/>
      <c:legendEntry>
        <c:idx val="0"/>
        <c:txPr>
          <a:bodyPr/>
          <a:lstStyle/>
          <a:p>
            <a:pPr>
              <a:defRPr sz="900" b="1">
                <a:solidFill>
                  <a:schemeClr val="tx2"/>
                </a:solidFill>
              </a:defRPr>
            </a:pPr>
            <a:endParaRPr lang="en-US"/>
          </a:p>
        </c:txPr>
      </c:legendEntry>
      <c:legendEntry>
        <c:idx val="1"/>
        <c:txPr>
          <a:bodyPr/>
          <a:lstStyle/>
          <a:p>
            <a:pPr>
              <a:defRPr sz="900" b="1">
                <a:solidFill>
                  <a:schemeClr val="accent2">
                    <a:lumMod val="75000"/>
                  </a:schemeClr>
                </a:solidFill>
              </a:defRPr>
            </a:pPr>
            <a:endParaRPr lang="en-US"/>
          </a:p>
        </c:txPr>
      </c:legendEntry>
      <c:legendEntry>
        <c:idx val="2"/>
        <c:txPr>
          <a:bodyPr/>
          <a:lstStyle/>
          <a:p>
            <a:pPr>
              <a:defRPr sz="900" b="1">
                <a:solidFill>
                  <a:srgbClr val="006600"/>
                </a:solidFill>
              </a:defRPr>
            </a:pPr>
            <a:endParaRPr lang="en-US"/>
          </a:p>
        </c:txPr>
      </c:legendEntry>
      <c:layout>
        <c:manualLayout>
          <c:xMode val="edge"/>
          <c:yMode val="edge"/>
          <c:x val="2.7889763779527579E-2"/>
          <c:y val="1.0424644307187363E-2"/>
          <c:w val="0.95655340595839289"/>
          <c:h val="0.13139836038247871"/>
        </c:manualLayout>
      </c:layout>
      <c:overlay val="0"/>
      <c:txPr>
        <a:bodyPr/>
        <a:lstStyle/>
        <a:p>
          <a:pPr>
            <a:defRPr sz="900" b="1"/>
          </a:pPr>
          <a:endParaRPr lang="en-US"/>
        </a:p>
      </c:txPr>
    </c:legend>
    <c:plotVisOnly val="1"/>
    <c:dispBlanksAs val="gap"/>
    <c:showDLblsOverMax val="0"/>
  </c:chart>
  <c:spPr>
    <a:ln>
      <a:noFill/>
    </a:ln>
  </c:sp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45625714302378872"/>
          <c:y val="1.4295026847134299E-2"/>
          <c:w val="0.51624165400377586"/>
          <c:h val="0.68621378210076689"/>
        </c:manualLayout>
      </c:layout>
      <c:barChart>
        <c:barDir val="col"/>
        <c:grouping val="clustered"/>
        <c:varyColors val="0"/>
        <c:ser>
          <c:idx val="0"/>
          <c:order val="0"/>
          <c:tx>
            <c:strRef>
              <c:f>'T-Details'!$BK$33</c:f>
              <c:strCache>
                <c:ptCount val="1"/>
                <c:pt idx="0">
                  <c:v>All Patient Injuries</c:v>
                </c:pt>
              </c:strCache>
            </c:strRef>
          </c:tx>
          <c:spPr>
            <a:gradFill>
              <a:gsLst>
                <a:gs pos="0">
                  <a:schemeClr val="tx2">
                    <a:alpha val="50000"/>
                    <a:lumMod val="80000"/>
                    <a:lumOff val="20000"/>
                  </a:schemeClr>
                </a:gs>
                <a:gs pos="50000">
                  <a:schemeClr val="tx2">
                    <a:lumMod val="60000"/>
                    <a:lumOff val="40000"/>
                  </a:schemeClr>
                </a:gs>
                <a:gs pos="100000">
                  <a:schemeClr val="accent1"/>
                </a:gs>
              </a:gsLst>
              <a:lin ang="5400000" scaled="0"/>
            </a:gradFill>
            <a:ln w="25400">
              <a:solidFill>
                <a:schemeClr val="tx2"/>
              </a:solidFill>
            </a:ln>
          </c:spPr>
          <c:invertIfNegative val="0"/>
          <c:cat>
            <c:strRef>
              <c:f>'T-Details'!$BG$32:$BJ$32</c:f>
              <c:strCache>
                <c:ptCount val="4"/>
                <c:pt idx="0">
                  <c:v>FY11</c:v>
                </c:pt>
                <c:pt idx="1">
                  <c:v>FY12</c:v>
                </c:pt>
                <c:pt idx="2">
                  <c:v>FY13</c:v>
                </c:pt>
                <c:pt idx="3">
                  <c:v>FY14</c:v>
                </c:pt>
              </c:strCache>
            </c:strRef>
          </c:cat>
          <c:val>
            <c:numRef>
              <c:f>'T-Details'!$BC$33:$BF$33</c:f>
              <c:numCache>
                <c:formatCode>0</c:formatCode>
                <c:ptCount val="4"/>
                <c:pt idx="0">
                  <c:v>282</c:v>
                </c:pt>
                <c:pt idx="1">
                  <c:v>268</c:v>
                </c:pt>
                <c:pt idx="2">
                  <c:v>220</c:v>
                </c:pt>
                <c:pt idx="3">
                  <c:v>287</c:v>
                </c:pt>
              </c:numCache>
            </c:numRef>
          </c:val>
        </c:ser>
        <c:ser>
          <c:idx val="1"/>
          <c:order val="1"/>
          <c:tx>
            <c:strRef>
              <c:f>'T-Details'!$BK$34</c:f>
              <c:strCache>
                <c:ptCount val="1"/>
                <c:pt idx="0">
                  <c:v>Major Injuries Only</c:v>
                </c:pt>
              </c:strCache>
            </c:strRef>
          </c:tx>
          <c:spPr>
            <a:ln w="12700">
              <a:solidFill>
                <a:srgbClr val="C00000"/>
              </a:solidFill>
              <a:prstDash val="sysDot"/>
            </a:ln>
          </c:spPr>
          <c:invertIfNegative val="0"/>
          <c:cat>
            <c:strRef>
              <c:f>'T-Details'!$BG$32:$BJ$32</c:f>
              <c:strCache>
                <c:ptCount val="4"/>
                <c:pt idx="0">
                  <c:v>FY11</c:v>
                </c:pt>
                <c:pt idx="1">
                  <c:v>FY12</c:v>
                </c:pt>
                <c:pt idx="2">
                  <c:v>FY13</c:v>
                </c:pt>
                <c:pt idx="3">
                  <c:v>FY14</c:v>
                </c:pt>
              </c:strCache>
            </c:strRef>
          </c:cat>
          <c:val>
            <c:numRef>
              <c:f>'T-Details'!$BC$34:$BF$34</c:f>
              <c:numCache>
                <c:formatCode>0</c:formatCode>
                <c:ptCount val="4"/>
                <c:pt idx="0">
                  <c:v>29</c:v>
                </c:pt>
                <c:pt idx="1">
                  <c:v>36</c:v>
                </c:pt>
                <c:pt idx="2">
                  <c:v>23</c:v>
                </c:pt>
                <c:pt idx="3">
                  <c:v>33</c:v>
                </c:pt>
              </c:numCache>
            </c:numRef>
          </c:val>
        </c:ser>
        <c:dLbls>
          <c:showLegendKey val="0"/>
          <c:showVal val="0"/>
          <c:showCatName val="0"/>
          <c:showSerName val="0"/>
          <c:showPercent val="0"/>
          <c:showBubbleSize val="0"/>
        </c:dLbls>
        <c:gapWidth val="50"/>
        <c:overlap val="100"/>
        <c:axId val="315417088"/>
        <c:axId val="293596544"/>
      </c:barChart>
      <c:lineChart>
        <c:grouping val="standard"/>
        <c:varyColors val="0"/>
        <c:ser>
          <c:idx val="2"/>
          <c:order val="2"/>
          <c:tx>
            <c:strRef>
              <c:f>'T-Details'!$BK$35</c:f>
              <c:strCache>
                <c:ptCount val="1"/>
                <c:pt idx="0">
                  <c:v>Patient Injury Rate</c:v>
                </c:pt>
              </c:strCache>
            </c:strRef>
          </c:tx>
          <c:spPr>
            <a:ln w="50800">
              <a:solidFill>
                <a:schemeClr val="accent2">
                  <a:lumMod val="50000"/>
                </a:schemeClr>
              </a:solidFill>
            </a:ln>
            <a:effectLst>
              <a:glow rad="25400">
                <a:schemeClr val="accent2">
                  <a:lumMod val="60000"/>
                  <a:lumOff val="40000"/>
                </a:schemeClr>
              </a:glow>
            </a:effectLst>
          </c:spPr>
          <c:marker>
            <c:symbol val="none"/>
          </c:marker>
          <c:cat>
            <c:strRef>
              <c:f>'T-Details'!$BG$32:$BJ$32</c:f>
              <c:strCache>
                <c:ptCount val="4"/>
                <c:pt idx="0">
                  <c:v>FY11</c:v>
                </c:pt>
                <c:pt idx="1">
                  <c:v>FY12</c:v>
                </c:pt>
                <c:pt idx="2">
                  <c:v>FY13</c:v>
                </c:pt>
                <c:pt idx="3">
                  <c:v>FY14</c:v>
                </c:pt>
              </c:strCache>
            </c:strRef>
          </c:cat>
          <c:val>
            <c:numRef>
              <c:f>'T-Details'!$BC$35:$BF$35</c:f>
              <c:numCache>
                <c:formatCode>0.00</c:formatCode>
                <c:ptCount val="4"/>
                <c:pt idx="0">
                  <c:v>0.28434439008128326</c:v>
                </c:pt>
                <c:pt idx="1">
                  <c:v>0.36508194061333765</c:v>
                </c:pt>
                <c:pt idx="2">
                  <c:v>0.24281069211604239</c:v>
                </c:pt>
                <c:pt idx="3">
                  <c:v>0.34301751468218905</c:v>
                </c:pt>
              </c:numCache>
            </c:numRef>
          </c:val>
          <c:smooth val="1"/>
        </c:ser>
        <c:dLbls>
          <c:showLegendKey val="0"/>
          <c:showVal val="0"/>
          <c:showCatName val="0"/>
          <c:showSerName val="0"/>
          <c:showPercent val="0"/>
          <c:showBubbleSize val="0"/>
        </c:dLbls>
        <c:marker val="1"/>
        <c:smooth val="0"/>
        <c:axId val="315418112"/>
        <c:axId val="293597120"/>
      </c:lineChart>
      <c:catAx>
        <c:axId val="315417088"/>
        <c:scaling>
          <c:orientation val="minMax"/>
        </c:scaling>
        <c:delete val="0"/>
        <c:axPos val="b"/>
        <c:majorTickMark val="out"/>
        <c:minorTickMark val="none"/>
        <c:tickLblPos val="nextTo"/>
        <c:crossAx val="293596544"/>
        <c:crosses val="autoZero"/>
        <c:auto val="1"/>
        <c:lblAlgn val="ctr"/>
        <c:lblOffset val="100"/>
        <c:noMultiLvlLbl val="0"/>
      </c:catAx>
      <c:valAx>
        <c:axId val="293596544"/>
        <c:scaling>
          <c:orientation val="minMax"/>
        </c:scaling>
        <c:delete val="0"/>
        <c:axPos val="l"/>
        <c:numFmt formatCode="0" sourceLinked="1"/>
        <c:majorTickMark val="none"/>
        <c:minorTickMark val="none"/>
        <c:tickLblPos val="none"/>
        <c:spPr>
          <a:ln>
            <a:noFill/>
          </a:ln>
        </c:spPr>
        <c:crossAx val="315417088"/>
        <c:crosses val="autoZero"/>
        <c:crossBetween val="between"/>
      </c:valAx>
      <c:valAx>
        <c:axId val="293597120"/>
        <c:scaling>
          <c:orientation val="minMax"/>
          <c:max val="2.6"/>
          <c:min val="0"/>
        </c:scaling>
        <c:delete val="0"/>
        <c:axPos val="r"/>
        <c:numFmt formatCode="0.00" sourceLinked="1"/>
        <c:majorTickMark val="none"/>
        <c:minorTickMark val="none"/>
        <c:tickLblPos val="none"/>
        <c:spPr>
          <a:ln>
            <a:noFill/>
          </a:ln>
        </c:spPr>
        <c:crossAx val="315418112"/>
        <c:crosses val="max"/>
        <c:crossBetween val="between"/>
      </c:valAx>
      <c:catAx>
        <c:axId val="315418112"/>
        <c:scaling>
          <c:orientation val="minMax"/>
        </c:scaling>
        <c:delete val="1"/>
        <c:axPos val="b"/>
        <c:majorTickMark val="out"/>
        <c:minorTickMark val="none"/>
        <c:tickLblPos val="nextTo"/>
        <c:crossAx val="293597120"/>
        <c:crosses val="autoZero"/>
        <c:auto val="1"/>
        <c:lblAlgn val="ctr"/>
        <c:lblOffset val="100"/>
        <c:noMultiLvlLbl val="0"/>
      </c:catAx>
      <c:dTable>
        <c:showHorzBorder val="1"/>
        <c:showVertBorder val="1"/>
        <c:showOutline val="1"/>
        <c:showKeys val="1"/>
        <c:txPr>
          <a:bodyPr/>
          <a:lstStyle/>
          <a:p>
            <a:pPr rtl="0">
              <a:defRPr sz="1000"/>
            </a:pPr>
            <a:endParaRPr lang="en-US"/>
          </a:p>
        </c:txPr>
      </c:dTable>
    </c:plotArea>
    <c:plotVisOnly val="1"/>
    <c:dispBlanksAs val="gap"/>
    <c:showDLblsOverMax val="0"/>
  </c:chart>
  <c:spPr>
    <a:ln>
      <a:noFill/>
    </a:ln>
  </c:sp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2.3482250395093187E-2"/>
          <c:y val="4.6296296296296294E-2"/>
          <c:w val="0.9130192680246364"/>
          <c:h val="0.65989938757655298"/>
        </c:manualLayout>
      </c:layout>
      <c:barChart>
        <c:barDir val="col"/>
        <c:grouping val="clustered"/>
        <c:varyColors val="0"/>
        <c:ser>
          <c:idx val="0"/>
          <c:order val="0"/>
          <c:tx>
            <c:v>Patient Injury</c:v>
          </c:tx>
          <c:invertIfNegative val="0"/>
          <c:dLbls>
            <c:txPr>
              <a:bodyPr/>
              <a:lstStyle/>
              <a:p>
                <a:pPr>
                  <a:defRPr sz="1100" b="1">
                    <a:solidFill>
                      <a:schemeClr val="tx2"/>
                    </a:solidFill>
                  </a:defRPr>
                </a:pPr>
                <a:endParaRPr lang="en-US"/>
              </a:p>
            </c:txPr>
            <c:showLegendKey val="0"/>
            <c:showVal val="1"/>
            <c:showCatName val="0"/>
            <c:showSerName val="0"/>
            <c:showPercent val="0"/>
            <c:showBubbleSize val="0"/>
            <c:showLeaderLines val="0"/>
          </c:dLbls>
          <c:cat>
            <c:strRef>
              <c:f>'T-Details'!$B$27:$B$30</c:f>
              <c:strCache>
                <c:ptCount val="4"/>
                <c:pt idx="0">
                  <c:v>Associated w/ Fall</c:v>
                </c:pt>
                <c:pt idx="1">
                  <c:v>Associated w/ Assault</c:v>
                </c:pt>
                <c:pt idx="2">
                  <c:v>Associated w/ both Fall &amp; Assault</c:v>
                </c:pt>
                <c:pt idx="3">
                  <c:v>Not Associated w/ Fall or Assault</c:v>
                </c:pt>
              </c:strCache>
            </c:strRef>
          </c:cat>
          <c:val>
            <c:numRef>
              <c:f>'T-Details'!$BN$37:$BN$40</c:f>
              <c:numCache>
                <c:formatCode>0%</c:formatCode>
                <c:ptCount val="4"/>
                <c:pt idx="0">
                  <c:v>0.1672473867595819</c:v>
                </c:pt>
                <c:pt idx="1">
                  <c:v>0.40069686411149824</c:v>
                </c:pt>
                <c:pt idx="2">
                  <c:v>7.3170731707317069E-2</c:v>
                </c:pt>
                <c:pt idx="3">
                  <c:v>0.35888501742160278</c:v>
                </c:pt>
              </c:numCache>
            </c:numRef>
          </c:val>
        </c:ser>
        <c:dLbls>
          <c:showLegendKey val="0"/>
          <c:showVal val="0"/>
          <c:showCatName val="0"/>
          <c:showSerName val="0"/>
          <c:showPercent val="0"/>
          <c:showBubbleSize val="0"/>
        </c:dLbls>
        <c:gapWidth val="50"/>
        <c:axId val="315419136"/>
        <c:axId val="293598848"/>
      </c:barChart>
      <c:catAx>
        <c:axId val="315419136"/>
        <c:scaling>
          <c:orientation val="minMax"/>
        </c:scaling>
        <c:delete val="0"/>
        <c:axPos val="b"/>
        <c:majorTickMark val="out"/>
        <c:minorTickMark val="none"/>
        <c:tickLblPos val="nextTo"/>
        <c:crossAx val="293598848"/>
        <c:crosses val="autoZero"/>
        <c:auto val="1"/>
        <c:lblAlgn val="ctr"/>
        <c:lblOffset val="100"/>
        <c:noMultiLvlLbl val="0"/>
      </c:catAx>
      <c:valAx>
        <c:axId val="293598848"/>
        <c:scaling>
          <c:orientation val="minMax"/>
        </c:scaling>
        <c:delete val="0"/>
        <c:axPos val="l"/>
        <c:numFmt formatCode="0%" sourceLinked="1"/>
        <c:majorTickMark val="none"/>
        <c:minorTickMark val="none"/>
        <c:tickLblPos val="none"/>
        <c:spPr>
          <a:ln>
            <a:noFill/>
          </a:ln>
        </c:spPr>
        <c:crossAx val="315419136"/>
        <c:crosses val="autoZero"/>
        <c:crossBetween val="between"/>
      </c:valAx>
    </c:plotArea>
    <c:plotVisOnly val="1"/>
    <c:dispBlanksAs val="gap"/>
    <c:showDLblsOverMax val="0"/>
  </c:chart>
  <c:spPr>
    <a:ln>
      <a:noFill/>
    </a:ln>
  </c:spPr>
  <c:externalData r:id="rId1">
    <c:autoUpdate val="0"/>
  </c:externalData>
  <c:userShapes r:id="rId2"/>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3.0555555555555555E-2"/>
          <c:y val="7.407407407407407E-2"/>
          <c:w val="0.93888888888888888"/>
          <c:h val="0.71913531641878103"/>
        </c:manualLayout>
      </c:layout>
      <c:barChart>
        <c:barDir val="col"/>
        <c:grouping val="clustered"/>
        <c:varyColors val="0"/>
        <c:ser>
          <c:idx val="0"/>
          <c:order val="0"/>
          <c:invertIfNegative val="0"/>
          <c:dLbls>
            <c:txPr>
              <a:bodyPr/>
              <a:lstStyle/>
              <a:p>
                <a:pPr>
                  <a:defRPr sz="1100" b="1">
                    <a:solidFill>
                      <a:schemeClr val="tx2"/>
                    </a:solidFill>
                  </a:defRPr>
                </a:pPr>
                <a:endParaRPr lang="en-US"/>
              </a:p>
            </c:txPr>
            <c:showLegendKey val="0"/>
            <c:showVal val="1"/>
            <c:showCatName val="0"/>
            <c:showSerName val="0"/>
            <c:showPercent val="0"/>
            <c:showBubbleSize val="0"/>
            <c:showLeaderLines val="0"/>
          </c:dLbls>
          <c:cat>
            <c:strRef>
              <c:f>'T-Details'!$B$27:$B$30</c:f>
              <c:strCache>
                <c:ptCount val="4"/>
                <c:pt idx="0">
                  <c:v>Associated w/ Fall</c:v>
                </c:pt>
                <c:pt idx="1">
                  <c:v>Associated w/ Assault</c:v>
                </c:pt>
                <c:pt idx="2">
                  <c:v>Associated w/ both Fall &amp; Assault</c:v>
                </c:pt>
                <c:pt idx="3">
                  <c:v>Not Associated w/ Fall or Assault</c:v>
                </c:pt>
              </c:strCache>
            </c:strRef>
          </c:cat>
          <c:val>
            <c:numRef>
              <c:f>'T-Details'!$BN$43:$BN$46</c:f>
              <c:numCache>
                <c:formatCode>0%</c:formatCode>
                <c:ptCount val="4"/>
                <c:pt idx="0">
                  <c:v>7.7669902912621352E-2</c:v>
                </c:pt>
                <c:pt idx="1">
                  <c:v>0.68446601941747576</c:v>
                </c:pt>
                <c:pt idx="2">
                  <c:v>4.8543689320388349E-2</c:v>
                </c:pt>
                <c:pt idx="3">
                  <c:v>0.18932038834951456</c:v>
                </c:pt>
              </c:numCache>
            </c:numRef>
          </c:val>
        </c:ser>
        <c:dLbls>
          <c:showLegendKey val="0"/>
          <c:showVal val="0"/>
          <c:showCatName val="0"/>
          <c:showSerName val="0"/>
          <c:showPercent val="0"/>
          <c:showBubbleSize val="0"/>
        </c:dLbls>
        <c:gapWidth val="50"/>
        <c:axId val="315419648"/>
        <c:axId val="293600576"/>
      </c:barChart>
      <c:catAx>
        <c:axId val="315419648"/>
        <c:scaling>
          <c:orientation val="minMax"/>
        </c:scaling>
        <c:delete val="0"/>
        <c:axPos val="b"/>
        <c:majorTickMark val="out"/>
        <c:minorTickMark val="none"/>
        <c:tickLblPos val="nextTo"/>
        <c:crossAx val="293600576"/>
        <c:crosses val="autoZero"/>
        <c:auto val="1"/>
        <c:lblAlgn val="ctr"/>
        <c:lblOffset val="100"/>
        <c:noMultiLvlLbl val="0"/>
      </c:catAx>
      <c:valAx>
        <c:axId val="293600576"/>
        <c:scaling>
          <c:orientation val="minMax"/>
        </c:scaling>
        <c:delete val="0"/>
        <c:axPos val="l"/>
        <c:numFmt formatCode="0%" sourceLinked="1"/>
        <c:majorTickMark val="none"/>
        <c:minorTickMark val="none"/>
        <c:tickLblPos val="none"/>
        <c:spPr>
          <a:ln>
            <a:noFill/>
          </a:ln>
        </c:spPr>
        <c:crossAx val="315419648"/>
        <c:crosses val="autoZero"/>
        <c:crossBetween val="between"/>
      </c:valAx>
    </c:plotArea>
    <c:plotVisOnly val="1"/>
    <c:dispBlanksAs val="gap"/>
    <c:showDLblsOverMax val="0"/>
  </c:chart>
  <c:spPr>
    <a:ln>
      <a:noFill/>
    </a:ln>
  </c:sp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880812975301164"/>
          <c:y val="5.3153884344065865E-2"/>
          <c:w val="0.75990981896493703"/>
          <c:h val="0.77281070360796666"/>
        </c:manualLayout>
      </c:layout>
      <c:barChart>
        <c:barDir val="col"/>
        <c:grouping val="percentStacked"/>
        <c:varyColors val="0"/>
        <c:ser>
          <c:idx val="0"/>
          <c:order val="0"/>
          <c:tx>
            <c:strRef>
              <c:f>'TA Summary'!$V$54</c:f>
              <c:strCache>
                <c:ptCount val="1"/>
                <c:pt idx="0">
                  <c:v>Civil</c:v>
                </c:pt>
              </c:strCache>
            </c:strRef>
          </c:tx>
          <c:invertIfNegative val="0"/>
          <c:dLbls>
            <c:txPr>
              <a:bodyPr/>
              <a:lstStyle/>
              <a:p>
                <a:pPr>
                  <a:defRPr b="1">
                    <a:solidFill>
                      <a:schemeClr val="bg1"/>
                    </a:solidFill>
                  </a:defRPr>
                </a:pPr>
                <a:endParaRPr lang="en-US"/>
              </a:p>
            </c:txPr>
            <c:showLegendKey val="0"/>
            <c:showVal val="1"/>
            <c:showCatName val="0"/>
            <c:showSerName val="0"/>
            <c:showPercent val="0"/>
            <c:showBubbleSize val="0"/>
            <c:showLeaderLines val="0"/>
          </c:dLbls>
          <c:cat>
            <c:strRef>
              <c:f>'TA Summary'!$U$56:$U$60</c:f>
              <c:strCache>
                <c:ptCount val="5"/>
                <c:pt idx="0">
                  <c:v>FY10
(n=485)</c:v>
                </c:pt>
                <c:pt idx="1">
                  <c:v>FY11
(n=444)</c:v>
                </c:pt>
                <c:pt idx="2">
                  <c:v>FY12
(n=411)</c:v>
                </c:pt>
                <c:pt idx="3">
                  <c:v>FY13
(n=429)</c:v>
                </c:pt>
                <c:pt idx="4">
                  <c:v>FY14
(n=429)</c:v>
                </c:pt>
              </c:strCache>
            </c:strRef>
          </c:cat>
          <c:val>
            <c:numRef>
              <c:f>'TA Summary'!$V$56:$V$60</c:f>
              <c:numCache>
                <c:formatCode>0%</c:formatCode>
                <c:ptCount val="5"/>
                <c:pt idx="0">
                  <c:v>0.59587628865979381</c:v>
                </c:pt>
                <c:pt idx="1">
                  <c:v>0.52477477477477474</c:v>
                </c:pt>
                <c:pt idx="2">
                  <c:v>0.45255474452554745</c:v>
                </c:pt>
                <c:pt idx="3">
                  <c:v>0.51981351981351986</c:v>
                </c:pt>
                <c:pt idx="4">
                  <c:v>0.49650349650349651</c:v>
                </c:pt>
              </c:numCache>
            </c:numRef>
          </c:val>
        </c:ser>
        <c:ser>
          <c:idx val="1"/>
          <c:order val="1"/>
          <c:tx>
            <c:strRef>
              <c:f>'TA Summary'!$W$54</c:f>
              <c:strCache>
                <c:ptCount val="1"/>
                <c:pt idx="0">
                  <c:v>Pre-trial</c:v>
                </c:pt>
              </c:strCache>
            </c:strRef>
          </c:tx>
          <c:invertIfNegative val="0"/>
          <c:dLbls>
            <c:txPr>
              <a:bodyPr/>
              <a:lstStyle/>
              <a:p>
                <a:pPr>
                  <a:defRPr b="1">
                    <a:solidFill>
                      <a:schemeClr val="bg1"/>
                    </a:solidFill>
                  </a:defRPr>
                </a:pPr>
                <a:endParaRPr lang="en-US"/>
              </a:p>
            </c:txPr>
            <c:showLegendKey val="0"/>
            <c:showVal val="1"/>
            <c:showCatName val="0"/>
            <c:showSerName val="0"/>
            <c:showPercent val="0"/>
            <c:showBubbleSize val="0"/>
            <c:showLeaderLines val="0"/>
          </c:dLbls>
          <c:cat>
            <c:strRef>
              <c:f>'TA Summary'!$U$56:$U$60</c:f>
              <c:strCache>
                <c:ptCount val="5"/>
                <c:pt idx="0">
                  <c:v>FY10
(n=485)</c:v>
                </c:pt>
                <c:pt idx="1">
                  <c:v>FY11
(n=444)</c:v>
                </c:pt>
                <c:pt idx="2">
                  <c:v>FY12
(n=411)</c:v>
                </c:pt>
                <c:pt idx="3">
                  <c:v>FY13
(n=429)</c:v>
                </c:pt>
                <c:pt idx="4">
                  <c:v>FY14
(n=429)</c:v>
                </c:pt>
              </c:strCache>
            </c:strRef>
          </c:cat>
          <c:val>
            <c:numRef>
              <c:f>'TA Summary'!$W$56:$W$60</c:f>
              <c:numCache>
                <c:formatCode>0%</c:formatCode>
                <c:ptCount val="5"/>
                <c:pt idx="0">
                  <c:v>0.33402061855670101</c:v>
                </c:pt>
                <c:pt idx="1">
                  <c:v>0.41666666666666669</c:v>
                </c:pt>
                <c:pt idx="2">
                  <c:v>0.47201946472019463</c:v>
                </c:pt>
                <c:pt idx="3">
                  <c:v>0.41724941724941728</c:v>
                </c:pt>
                <c:pt idx="4">
                  <c:v>0.41491841491841491</c:v>
                </c:pt>
              </c:numCache>
            </c:numRef>
          </c:val>
        </c:ser>
        <c:ser>
          <c:idx val="2"/>
          <c:order val="2"/>
          <c:tx>
            <c:strRef>
              <c:f>'TA Summary'!$X$54</c:f>
              <c:strCache>
                <c:ptCount val="1"/>
                <c:pt idx="0">
                  <c:v>Post-trial</c:v>
                </c:pt>
              </c:strCache>
            </c:strRef>
          </c:tx>
          <c:invertIfNegative val="0"/>
          <c:dLbls>
            <c:txPr>
              <a:bodyPr/>
              <a:lstStyle/>
              <a:p>
                <a:pPr>
                  <a:defRPr b="1"/>
                </a:pPr>
                <a:endParaRPr lang="en-US"/>
              </a:p>
            </c:txPr>
            <c:showLegendKey val="0"/>
            <c:showVal val="1"/>
            <c:showCatName val="0"/>
            <c:showSerName val="0"/>
            <c:showPercent val="0"/>
            <c:showBubbleSize val="0"/>
            <c:showLeaderLines val="0"/>
          </c:dLbls>
          <c:cat>
            <c:strRef>
              <c:f>'TA Summary'!$U$56:$U$60</c:f>
              <c:strCache>
                <c:ptCount val="5"/>
                <c:pt idx="0">
                  <c:v>FY10
(n=485)</c:v>
                </c:pt>
                <c:pt idx="1">
                  <c:v>FY11
(n=444)</c:v>
                </c:pt>
                <c:pt idx="2">
                  <c:v>FY12
(n=411)</c:v>
                </c:pt>
                <c:pt idx="3">
                  <c:v>FY13
(n=429)</c:v>
                </c:pt>
                <c:pt idx="4">
                  <c:v>FY14
(n=429)</c:v>
                </c:pt>
              </c:strCache>
            </c:strRef>
          </c:cat>
          <c:val>
            <c:numRef>
              <c:f>'TA Summary'!$X$56:$X$60</c:f>
              <c:numCache>
                <c:formatCode>0%</c:formatCode>
                <c:ptCount val="5"/>
                <c:pt idx="0">
                  <c:v>7.0103092783505155E-2</c:v>
                </c:pt>
                <c:pt idx="1">
                  <c:v>5.8558558558558557E-2</c:v>
                </c:pt>
                <c:pt idx="2">
                  <c:v>7.5425790754257913E-2</c:v>
                </c:pt>
                <c:pt idx="3">
                  <c:v>6.2937062937062943E-2</c:v>
                </c:pt>
                <c:pt idx="4">
                  <c:v>8.8578088578088576E-2</c:v>
                </c:pt>
              </c:numCache>
            </c:numRef>
          </c:val>
        </c:ser>
        <c:dLbls>
          <c:showLegendKey val="0"/>
          <c:showVal val="0"/>
          <c:showCatName val="0"/>
          <c:showSerName val="0"/>
          <c:showPercent val="0"/>
          <c:showBubbleSize val="0"/>
        </c:dLbls>
        <c:gapWidth val="30"/>
        <c:overlap val="100"/>
        <c:axId val="240836608"/>
        <c:axId val="237552768"/>
      </c:barChart>
      <c:catAx>
        <c:axId val="240836608"/>
        <c:scaling>
          <c:orientation val="minMax"/>
        </c:scaling>
        <c:delete val="0"/>
        <c:axPos val="b"/>
        <c:majorTickMark val="out"/>
        <c:minorTickMark val="none"/>
        <c:tickLblPos val="nextTo"/>
        <c:txPr>
          <a:bodyPr rot="0" vert="horz"/>
          <a:lstStyle/>
          <a:p>
            <a:pPr>
              <a:defRPr b="1"/>
            </a:pPr>
            <a:endParaRPr lang="en-US"/>
          </a:p>
        </c:txPr>
        <c:crossAx val="237552768"/>
        <c:crosses val="autoZero"/>
        <c:auto val="1"/>
        <c:lblAlgn val="ctr"/>
        <c:lblOffset val="100"/>
        <c:noMultiLvlLbl val="0"/>
      </c:catAx>
      <c:valAx>
        <c:axId val="237552768"/>
        <c:scaling>
          <c:orientation val="minMax"/>
        </c:scaling>
        <c:delete val="0"/>
        <c:axPos val="l"/>
        <c:majorGridlines/>
        <c:numFmt formatCode="0%" sourceLinked="1"/>
        <c:majorTickMark val="out"/>
        <c:minorTickMark val="none"/>
        <c:tickLblPos val="nextTo"/>
        <c:crossAx val="240836608"/>
        <c:crosses val="autoZero"/>
        <c:crossBetween val="between"/>
      </c:valAx>
    </c:plotArea>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2.3230598284919052E-2"/>
          <c:y val="6.2015503875968991E-2"/>
          <c:w val="0.95777991886035363"/>
          <c:h val="0.83474158753411642"/>
        </c:manualLayout>
      </c:layout>
      <c:barChart>
        <c:barDir val="col"/>
        <c:grouping val="clustered"/>
        <c:varyColors val="0"/>
        <c:ser>
          <c:idx val="1"/>
          <c:order val="0"/>
          <c:tx>
            <c:v>Admissions</c:v>
          </c:tx>
          <c:invertIfNegative val="0"/>
          <c:dLbls>
            <c:dLbl>
              <c:idx val="0"/>
              <c:layout>
                <c:manualLayout>
                  <c:x val="-3.7611659614480487E-3"/>
                  <c:y val="1.9047619047618998E-3"/>
                </c:manualLayout>
              </c:layout>
              <c:spPr/>
              <c:txPr>
                <a:bodyPr/>
                <a:lstStyle/>
                <a:p>
                  <a:pPr>
                    <a:defRPr sz="1100" b="1" u="sng">
                      <a:solidFill>
                        <a:srgbClr val="C00000"/>
                      </a:solidFill>
                    </a:defRPr>
                  </a:pPr>
                  <a:endParaRPr lang="en-US"/>
                </a:p>
              </c:txPr>
              <c:dLblPos val="outEnd"/>
              <c:showLegendKey val="0"/>
              <c:showVal val="1"/>
              <c:showCatName val="0"/>
              <c:showSerName val="0"/>
              <c:showPercent val="0"/>
              <c:showBubbleSize val="0"/>
            </c:dLbl>
            <c:dLbl>
              <c:idx val="1"/>
              <c:layout>
                <c:manualLayout>
                  <c:x val="0"/>
                  <c:y val="6.334440753045404E-3"/>
                </c:manualLayout>
              </c:layout>
              <c:spPr/>
              <c:txPr>
                <a:bodyPr/>
                <a:lstStyle/>
                <a:p>
                  <a:pPr>
                    <a:defRPr sz="1100" b="1" u="sng">
                      <a:solidFill>
                        <a:srgbClr val="C00000"/>
                      </a:solidFill>
                    </a:defRPr>
                  </a:pPr>
                  <a:endParaRPr lang="en-US"/>
                </a:p>
              </c:txPr>
              <c:dLblPos val="outEnd"/>
              <c:showLegendKey val="0"/>
              <c:showVal val="1"/>
              <c:showCatName val="0"/>
              <c:showSerName val="0"/>
              <c:showPercent val="0"/>
              <c:showBubbleSize val="0"/>
            </c:dLbl>
            <c:dLbl>
              <c:idx val="7"/>
              <c:layout>
                <c:manualLayout>
                  <c:x val="-1.9146084625694046E-3"/>
                  <c:y val="2.2261306532663318E-2"/>
                </c:manualLayout>
              </c:layout>
              <c:spPr/>
              <c:txPr>
                <a:bodyPr/>
                <a:lstStyle/>
                <a:p>
                  <a:pPr>
                    <a:defRPr sz="1100" b="1" u="sng">
                      <a:solidFill>
                        <a:srgbClr val="C00000"/>
                      </a:solidFill>
                    </a:defRPr>
                  </a:pPr>
                  <a:endParaRPr lang="en-US"/>
                </a:p>
              </c:txPr>
              <c:dLblPos val="outEnd"/>
              <c:showLegendKey val="0"/>
              <c:showVal val="1"/>
              <c:showCatName val="0"/>
              <c:showSerName val="0"/>
              <c:showPercent val="0"/>
              <c:showBubbleSize val="0"/>
            </c:dLbl>
            <c:txPr>
              <a:bodyPr/>
              <a:lstStyle/>
              <a:p>
                <a:pPr>
                  <a:defRPr sz="1100" b="1" u="sng">
                    <a:solidFill>
                      <a:schemeClr val="bg1"/>
                    </a:solidFill>
                  </a:defRPr>
                </a:pPr>
                <a:endParaRPr lang="en-US"/>
              </a:p>
            </c:txPr>
            <c:dLblPos val="inEnd"/>
            <c:showLegendKey val="0"/>
            <c:showVal val="1"/>
            <c:showCatName val="0"/>
            <c:showSerName val="0"/>
            <c:showPercent val="0"/>
            <c:showBubbleSize val="0"/>
            <c:showLeaderLines val="0"/>
          </c:dLbls>
          <c:trendline>
            <c:name>Admission Trendline</c:name>
            <c:spPr>
              <a:ln w="25400" cap="flat" cmpd="sng" algn="ctr">
                <a:solidFill>
                  <a:srgbClr val="C00000"/>
                </a:solidFill>
                <a:prstDash val="solid"/>
              </a:ln>
              <a:effectLst>
                <a:outerShdw blurRad="40000" dist="20000" dir="5400000" rotWithShape="0">
                  <a:srgbClr val="000000">
                    <a:alpha val="38000"/>
                  </a:srgbClr>
                </a:outerShdw>
              </a:effectLst>
            </c:spPr>
            <c:trendlineType val="poly"/>
            <c:order val="2"/>
            <c:dispRSqr val="0"/>
            <c:dispEq val="0"/>
          </c:trendline>
          <c:cat>
            <c:strRef>
              <c:f>'TA Summary'!$A$53:$A$60</c:f>
              <c:strCache>
                <c:ptCount val="8"/>
                <c:pt idx="0">
                  <c:v>FY07</c:v>
                </c:pt>
                <c:pt idx="1">
                  <c:v>FY08</c:v>
                </c:pt>
                <c:pt idx="2">
                  <c:v>FY09</c:v>
                </c:pt>
                <c:pt idx="3">
                  <c:v>FY10</c:v>
                </c:pt>
                <c:pt idx="4">
                  <c:v>FY11</c:v>
                </c:pt>
                <c:pt idx="5">
                  <c:v>FY12</c:v>
                </c:pt>
                <c:pt idx="6">
                  <c:v>FY13</c:v>
                </c:pt>
                <c:pt idx="7">
                  <c:v>FY14</c:v>
                </c:pt>
              </c:strCache>
            </c:strRef>
          </c:cat>
          <c:val>
            <c:numRef>
              <c:f>'TA Summary'!$N$29:$N$36</c:f>
              <c:numCache>
                <c:formatCode>General</c:formatCode>
                <c:ptCount val="8"/>
                <c:pt idx="0">
                  <c:v>763</c:v>
                </c:pt>
                <c:pt idx="1">
                  <c:v>704</c:v>
                </c:pt>
                <c:pt idx="2">
                  <c:v>558</c:v>
                </c:pt>
                <c:pt idx="3">
                  <c:v>442</c:v>
                </c:pt>
                <c:pt idx="4">
                  <c:v>424</c:v>
                </c:pt>
                <c:pt idx="5">
                  <c:v>400</c:v>
                </c:pt>
                <c:pt idx="6">
                  <c:v>423</c:v>
                </c:pt>
                <c:pt idx="7">
                  <c:v>434</c:v>
                </c:pt>
              </c:numCache>
            </c:numRef>
          </c:val>
        </c:ser>
        <c:ser>
          <c:idx val="0"/>
          <c:order val="1"/>
          <c:tx>
            <c:v>Discharges</c:v>
          </c:tx>
          <c:spPr>
            <a:gradFill>
              <a:gsLst>
                <a:gs pos="0">
                  <a:schemeClr val="accent1">
                    <a:alpha val="85000"/>
                  </a:schemeClr>
                </a:gs>
                <a:gs pos="50000">
                  <a:schemeClr val="accent1">
                    <a:lumMod val="75000"/>
                    <a:alpha val="85000"/>
                  </a:schemeClr>
                </a:gs>
                <a:gs pos="100000">
                  <a:schemeClr val="accent1">
                    <a:lumMod val="50000"/>
                    <a:alpha val="85000"/>
                  </a:schemeClr>
                </a:gs>
              </a:gsLst>
              <a:lin ang="5400000" scaled="0"/>
            </a:gradFill>
          </c:spPr>
          <c:invertIfNegative val="0"/>
          <c:dLbls>
            <c:dLbl>
              <c:idx val="0"/>
              <c:layout>
                <c:manualLayout>
                  <c:x val="0"/>
                  <c:y val="8.859357696567001E-2"/>
                </c:manualLayout>
              </c:layout>
              <c:spPr/>
              <c:txPr>
                <a:bodyPr/>
                <a:lstStyle/>
                <a:p>
                  <a:pPr>
                    <a:defRPr sz="1100" b="1">
                      <a:solidFill>
                        <a:schemeClr val="bg1"/>
                      </a:solidFill>
                    </a:defRPr>
                  </a:pPr>
                  <a:endParaRPr lang="en-US"/>
                </a:p>
              </c:txPr>
              <c:dLblPos val="outEnd"/>
              <c:showLegendKey val="0"/>
              <c:showVal val="1"/>
              <c:showCatName val="0"/>
              <c:showSerName val="0"/>
              <c:showPercent val="0"/>
              <c:showBubbleSize val="0"/>
            </c:dLbl>
            <c:dLbl>
              <c:idx val="1"/>
              <c:layout>
                <c:manualLayout>
                  <c:x val="5.6417489421720732E-3"/>
                  <c:y val="7.5304540420819535E-2"/>
                </c:manualLayout>
              </c:layout>
              <c:spPr/>
              <c:txPr>
                <a:bodyPr/>
                <a:lstStyle/>
                <a:p>
                  <a:pPr>
                    <a:defRPr sz="1100" b="1">
                      <a:solidFill>
                        <a:schemeClr val="bg1"/>
                      </a:solidFill>
                    </a:defRPr>
                  </a:pPr>
                  <a:endParaRPr lang="en-US"/>
                </a:p>
              </c:txPr>
              <c:dLblPos val="outEnd"/>
              <c:showLegendKey val="0"/>
              <c:showVal val="1"/>
              <c:showCatName val="0"/>
              <c:showSerName val="0"/>
              <c:showPercent val="0"/>
              <c:showBubbleSize val="0"/>
            </c:dLbl>
            <c:dLbl>
              <c:idx val="7"/>
              <c:layout>
                <c:manualLayout>
                  <c:x val="3.8289265755090699E-3"/>
                  <c:y val="0.10551765966815942"/>
                </c:manualLayout>
              </c:layout>
              <c:spPr/>
              <c:txPr>
                <a:bodyPr/>
                <a:lstStyle/>
                <a:p>
                  <a:pPr>
                    <a:defRPr sz="1100" b="1">
                      <a:solidFill>
                        <a:schemeClr val="bg1"/>
                      </a:solidFill>
                    </a:defRPr>
                  </a:pPr>
                  <a:endParaRPr lang="en-US"/>
                </a:p>
              </c:txPr>
              <c:dLblPos val="outEnd"/>
              <c:showLegendKey val="0"/>
              <c:showVal val="1"/>
              <c:showCatName val="0"/>
              <c:showSerName val="0"/>
              <c:showPercent val="0"/>
              <c:showBubbleSize val="0"/>
            </c:dLbl>
            <c:txPr>
              <a:bodyPr/>
              <a:lstStyle/>
              <a:p>
                <a:pPr>
                  <a:defRPr sz="1100" b="1">
                    <a:solidFill>
                      <a:schemeClr val="tx2"/>
                    </a:solidFill>
                  </a:defRPr>
                </a:pPr>
                <a:endParaRPr lang="en-US"/>
              </a:p>
            </c:txPr>
            <c:dLblPos val="outEnd"/>
            <c:showLegendKey val="0"/>
            <c:showVal val="1"/>
            <c:showCatName val="0"/>
            <c:showSerName val="0"/>
            <c:showPercent val="0"/>
            <c:showBubbleSize val="0"/>
            <c:showLeaderLines val="0"/>
          </c:dLbls>
          <c:trendline>
            <c:name>Discharge Trendline</c:name>
            <c:spPr>
              <a:ln w="25400" cap="flat" cmpd="sng" algn="ctr">
                <a:solidFill>
                  <a:schemeClr val="tx2"/>
                </a:solidFill>
                <a:prstDash val="sysDot"/>
              </a:ln>
              <a:effectLst>
                <a:outerShdw blurRad="40000" dist="20000" dir="5400000" rotWithShape="0">
                  <a:srgbClr val="000000">
                    <a:alpha val="38000"/>
                  </a:srgbClr>
                </a:outerShdw>
              </a:effectLst>
            </c:spPr>
            <c:trendlineType val="poly"/>
            <c:order val="2"/>
            <c:dispRSqr val="0"/>
            <c:dispEq val="0"/>
          </c:trendline>
          <c:cat>
            <c:strRef>
              <c:f>'TA Summary'!$A$53:$A$60</c:f>
              <c:strCache>
                <c:ptCount val="8"/>
                <c:pt idx="0">
                  <c:v>FY07</c:v>
                </c:pt>
                <c:pt idx="1">
                  <c:v>FY08</c:v>
                </c:pt>
                <c:pt idx="2">
                  <c:v>FY09</c:v>
                </c:pt>
                <c:pt idx="3">
                  <c:v>FY10</c:v>
                </c:pt>
                <c:pt idx="4">
                  <c:v>FY11</c:v>
                </c:pt>
                <c:pt idx="5">
                  <c:v>FY12</c:v>
                </c:pt>
                <c:pt idx="6">
                  <c:v>FY13</c:v>
                </c:pt>
                <c:pt idx="7">
                  <c:v>FY14</c:v>
                </c:pt>
              </c:strCache>
            </c:strRef>
          </c:cat>
          <c:val>
            <c:numRef>
              <c:f>'TA Summary'!$N$53:$N$60</c:f>
              <c:numCache>
                <c:formatCode>General</c:formatCode>
                <c:ptCount val="8"/>
                <c:pt idx="0">
                  <c:v>738</c:v>
                </c:pt>
                <c:pt idx="1">
                  <c:v>680</c:v>
                </c:pt>
                <c:pt idx="2">
                  <c:v>604</c:v>
                </c:pt>
                <c:pt idx="3">
                  <c:v>485</c:v>
                </c:pt>
                <c:pt idx="4">
                  <c:v>444</c:v>
                </c:pt>
                <c:pt idx="5">
                  <c:v>411</c:v>
                </c:pt>
                <c:pt idx="6">
                  <c:v>429</c:v>
                </c:pt>
                <c:pt idx="7">
                  <c:v>429</c:v>
                </c:pt>
              </c:numCache>
            </c:numRef>
          </c:val>
        </c:ser>
        <c:dLbls>
          <c:showLegendKey val="0"/>
          <c:showVal val="0"/>
          <c:showCatName val="0"/>
          <c:showSerName val="0"/>
          <c:showPercent val="0"/>
          <c:showBubbleSize val="0"/>
        </c:dLbls>
        <c:gapWidth val="50"/>
        <c:overlap val="25"/>
        <c:axId val="238767104"/>
        <c:axId val="237555072"/>
      </c:barChart>
      <c:catAx>
        <c:axId val="238767104"/>
        <c:scaling>
          <c:orientation val="minMax"/>
        </c:scaling>
        <c:delete val="0"/>
        <c:axPos val="b"/>
        <c:numFmt formatCode="General" sourceLinked="1"/>
        <c:majorTickMark val="none"/>
        <c:minorTickMark val="none"/>
        <c:tickLblPos val="nextTo"/>
        <c:txPr>
          <a:bodyPr rot="0" vert="horz"/>
          <a:lstStyle/>
          <a:p>
            <a:pPr>
              <a:defRPr sz="1100" b="1"/>
            </a:pPr>
            <a:endParaRPr lang="en-US"/>
          </a:p>
        </c:txPr>
        <c:crossAx val="237555072"/>
        <c:crossesAt val="20"/>
        <c:auto val="1"/>
        <c:lblAlgn val="ctr"/>
        <c:lblOffset val="100"/>
        <c:tickMarkSkip val="1"/>
        <c:noMultiLvlLbl val="0"/>
      </c:catAx>
      <c:valAx>
        <c:axId val="237555072"/>
        <c:scaling>
          <c:orientation val="minMax"/>
          <c:max val="800"/>
          <c:min val="300"/>
        </c:scaling>
        <c:delete val="0"/>
        <c:axPos val="l"/>
        <c:numFmt formatCode="General" sourceLinked="1"/>
        <c:majorTickMark val="none"/>
        <c:minorTickMark val="none"/>
        <c:tickLblPos val="none"/>
        <c:spPr>
          <a:ln>
            <a:noFill/>
          </a:ln>
        </c:spPr>
        <c:crossAx val="238767104"/>
        <c:crosses val="autoZero"/>
        <c:crossBetween val="between"/>
      </c:valAx>
    </c:plotArea>
    <c:legend>
      <c:legendPos val="r"/>
      <c:legendEntry>
        <c:idx val="0"/>
        <c:txPr>
          <a:bodyPr/>
          <a:lstStyle/>
          <a:p>
            <a:pPr>
              <a:defRPr sz="1100" b="1" u="sng">
                <a:solidFill>
                  <a:srgbClr val="C00000"/>
                </a:solidFill>
              </a:defRPr>
            </a:pPr>
            <a:endParaRPr lang="en-US"/>
          </a:p>
        </c:txPr>
      </c:legendEntry>
      <c:legendEntry>
        <c:idx val="1"/>
        <c:txPr>
          <a:bodyPr/>
          <a:lstStyle/>
          <a:p>
            <a:pPr>
              <a:defRPr sz="1100" b="1">
                <a:solidFill>
                  <a:schemeClr val="tx2"/>
                </a:solidFill>
              </a:defRPr>
            </a:pPr>
            <a:endParaRPr lang="en-US"/>
          </a:p>
        </c:txPr>
      </c:legendEntry>
      <c:legendEntry>
        <c:idx val="2"/>
        <c:txPr>
          <a:bodyPr/>
          <a:lstStyle/>
          <a:p>
            <a:pPr>
              <a:defRPr sz="1100" b="1" u="none">
                <a:solidFill>
                  <a:srgbClr val="C00000"/>
                </a:solidFill>
              </a:defRPr>
            </a:pPr>
            <a:endParaRPr lang="en-US"/>
          </a:p>
        </c:txPr>
      </c:legendEntry>
      <c:legendEntry>
        <c:idx val="3"/>
        <c:txPr>
          <a:bodyPr/>
          <a:lstStyle/>
          <a:p>
            <a:pPr>
              <a:defRPr sz="1100" b="1">
                <a:solidFill>
                  <a:schemeClr val="tx2"/>
                </a:solidFill>
              </a:defRPr>
            </a:pPr>
            <a:endParaRPr lang="en-US"/>
          </a:p>
        </c:txPr>
      </c:legendEntry>
      <c:layout>
        <c:manualLayout>
          <c:xMode val="edge"/>
          <c:yMode val="edge"/>
          <c:x val="0.42258979968829707"/>
          <c:y val="4.2600929300798562E-2"/>
          <c:w val="0.56053248633060504"/>
          <c:h val="0.21968242341800298"/>
        </c:manualLayout>
      </c:layout>
      <c:overlay val="0"/>
      <c:txPr>
        <a:bodyPr/>
        <a:lstStyle/>
        <a:p>
          <a:pPr>
            <a:defRPr sz="1100" b="1"/>
          </a:pPr>
          <a:endParaRPr lang="en-US"/>
        </a:p>
      </c:txPr>
    </c:legend>
    <c:plotVisOnly val="1"/>
    <c:dispBlanksAs val="gap"/>
    <c:showDLblsOverMax val="0"/>
  </c:chart>
  <c:spPr>
    <a:ln>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0.92552</cdr:x>
      <cdr:y>0.06857</cdr:y>
    </cdr:from>
    <cdr:to>
      <cdr:x>1</cdr:x>
      <cdr:y>0.11058</cdr:y>
    </cdr:to>
    <cdr:sp macro="" textlink="">
      <cdr:nvSpPr>
        <cdr:cNvPr id="2" name="Line1" hidden="1"/>
        <cdr:cNvSpPr txBox="1"/>
      </cdr:nvSpPr>
      <cdr:spPr>
        <a:xfrm xmlns:a="http://schemas.openxmlformats.org/drawingml/2006/main">
          <a:off x="8021465" y="431800"/>
          <a:ext cx="645498" cy="264560"/>
        </a:xfrm>
        <a:prstGeom xmlns:a="http://schemas.openxmlformats.org/drawingml/2006/main" prst="rect">
          <a:avLst/>
        </a:prstGeom>
      </cdr:spPr>
      <cdr:txBody>
        <a:bodyPr xmlns:a="http://schemas.openxmlformats.org/drawingml/2006/main" vertOverflow="clip" vert="horz" wrap="none" rtlCol="0">
          <a:spAutoFit/>
        </a:bodyPr>
        <a:lstStyle xmlns:a="http://schemas.openxmlformats.org/drawingml/2006/main"/>
        <a:p xmlns:a="http://schemas.openxmlformats.org/drawingml/2006/main">
          <a:r>
            <a:rPr lang="en-US" sz="1100"/>
            <a:t>32768 3</a:t>
          </a:r>
        </a:p>
      </cdr:txBody>
    </cdr:sp>
  </cdr:relSizeAnchor>
  <cdr:relSizeAnchor xmlns:cdr="http://schemas.openxmlformats.org/drawingml/2006/chartDrawing">
    <cdr:from>
      <cdr:x>0.9097</cdr:x>
      <cdr:y>0.06857</cdr:y>
    </cdr:from>
    <cdr:to>
      <cdr:x>1</cdr:x>
      <cdr:y>0.2321</cdr:y>
    </cdr:to>
    <cdr:sp macro="" textlink="">
      <cdr:nvSpPr>
        <cdr:cNvPr id="3" name="data location" hidden="1"/>
        <cdr:cNvSpPr txBox="1"/>
      </cdr:nvSpPr>
      <cdr:spPr>
        <a:xfrm xmlns:a="http://schemas.openxmlformats.org/drawingml/2006/main">
          <a:off x="5960384" y="228017"/>
          <a:ext cx="576568" cy="543803"/>
        </a:xfrm>
        <a:prstGeom xmlns:a="http://schemas.openxmlformats.org/drawingml/2006/main" prst="rect">
          <a:avLst/>
        </a:prstGeom>
      </cdr:spPr>
      <cdr:txBody>
        <a:bodyPr xmlns:a="http://schemas.openxmlformats.org/drawingml/2006/main" vertOverflow="clip" vert="horz" wrap="none" rtlCol="0">
          <a:spAutoFit/>
        </a:bodyPr>
        <a:lstStyle xmlns:a="http://schemas.openxmlformats.org/drawingml/2006/main"/>
        <a:p xmlns:a="http://schemas.openxmlformats.org/drawingml/2006/main">
          <a:fld id="{E769946C-CC44-4125-8634-68B3D8B6C77D}" type="TxLink">
            <a:rPr lang="en-US" sz="1000" b="0" i="0" u="none" strike="noStrike">
              <a:solidFill>
                <a:srgbClr val="000000"/>
              </a:solidFill>
              <a:latin typeface="Arial"/>
              <a:cs typeface="Arial"/>
            </a:rPr>
            <a:pPr/>
            <a:t>X Axis
labels
(down)</a:t>
          </a:fld>
          <a:endParaRPr lang="en-US" sz="1100"/>
        </a:p>
      </cdr:txBody>
    </cdr:sp>
  </cdr:relSizeAnchor>
  <cdr:relSizeAnchor xmlns:cdr="http://schemas.openxmlformats.org/drawingml/2006/chartDrawing">
    <cdr:from>
      <cdr:x>0.97044</cdr:x>
      <cdr:y>0.06857</cdr:y>
    </cdr:from>
    <cdr:to>
      <cdr:x>1</cdr:x>
      <cdr:y>0.11058</cdr:y>
    </cdr:to>
    <cdr:sp macro="" textlink="">
      <cdr:nvSpPr>
        <cdr:cNvPr id="4" name="ShowOnBottom" hidden="1"/>
        <cdr:cNvSpPr txBox="1"/>
      </cdr:nvSpPr>
      <cdr:spPr>
        <a:xfrm xmlns:a="http://schemas.openxmlformats.org/drawingml/2006/main">
          <a:off x="8410803" y="431800"/>
          <a:ext cx="256160" cy="264560"/>
        </a:xfrm>
        <a:prstGeom xmlns:a="http://schemas.openxmlformats.org/drawingml/2006/main" prst="rect">
          <a:avLst/>
        </a:prstGeom>
      </cdr:spPr>
      <cdr:txBody>
        <a:bodyPr xmlns:a="http://schemas.openxmlformats.org/drawingml/2006/main" vertOverflow="clip" vert="horz" wrap="none" rtlCol="0">
          <a:spAutoFit/>
        </a:bodyPr>
        <a:lstStyle xmlns:a="http://schemas.openxmlformats.org/drawingml/2006/main"/>
        <a:p xmlns:a="http://schemas.openxmlformats.org/drawingml/2006/main">
          <a:r>
            <a:rPr lang="en-US" sz="1100"/>
            <a:t>1</a:t>
          </a:r>
        </a:p>
      </cdr:txBody>
    </cdr:sp>
  </cdr:relSizeAnchor>
  <cdr:relSizeAnchor xmlns:cdr="http://schemas.openxmlformats.org/drawingml/2006/chartDrawing">
    <cdr:from>
      <cdr:x>0.97044</cdr:x>
      <cdr:y>0.06857</cdr:y>
    </cdr:from>
    <cdr:to>
      <cdr:x>1</cdr:x>
      <cdr:y>0.11058</cdr:y>
    </cdr:to>
    <cdr:sp macro="" textlink="">
      <cdr:nvSpPr>
        <cdr:cNvPr id="5" name="showonTop" hidden="1"/>
        <cdr:cNvSpPr txBox="1"/>
      </cdr:nvSpPr>
      <cdr:spPr>
        <a:xfrm xmlns:a="http://schemas.openxmlformats.org/drawingml/2006/main">
          <a:off x="8410803" y="431800"/>
          <a:ext cx="256160" cy="264560"/>
        </a:xfrm>
        <a:prstGeom xmlns:a="http://schemas.openxmlformats.org/drawingml/2006/main" prst="rect">
          <a:avLst/>
        </a:prstGeom>
      </cdr:spPr>
      <cdr:txBody>
        <a:bodyPr xmlns:a="http://schemas.openxmlformats.org/drawingml/2006/main" vertOverflow="clip" vert="horz" wrap="none" rtlCol="0">
          <a:spAutoFit/>
        </a:bodyPr>
        <a:lstStyle xmlns:a="http://schemas.openxmlformats.org/drawingml/2006/main"/>
        <a:p xmlns:a="http://schemas.openxmlformats.org/drawingml/2006/main">
          <a:r>
            <a:rPr lang="en-US" sz="1100"/>
            <a:t>0</a:t>
          </a:r>
        </a:p>
      </cdr:txBody>
    </cdr:sp>
  </cdr:relSizeAnchor>
  <cdr:relSizeAnchor xmlns:cdr="http://schemas.openxmlformats.org/drawingml/2006/chartDrawing">
    <cdr:from>
      <cdr:x>0.97044</cdr:x>
      <cdr:y>0.06857</cdr:y>
    </cdr:from>
    <cdr:to>
      <cdr:x>1</cdr:x>
      <cdr:y>0.11058</cdr:y>
    </cdr:to>
    <cdr:sp macro="" textlink="">
      <cdr:nvSpPr>
        <cdr:cNvPr id="6" name="AxisLabels" hidden="1"/>
        <cdr:cNvSpPr txBox="1"/>
      </cdr:nvSpPr>
      <cdr:spPr>
        <a:xfrm xmlns:a="http://schemas.openxmlformats.org/drawingml/2006/main">
          <a:off x="8410803" y="431800"/>
          <a:ext cx="256160" cy="264560"/>
        </a:xfrm>
        <a:prstGeom xmlns:a="http://schemas.openxmlformats.org/drawingml/2006/main" prst="rect">
          <a:avLst/>
        </a:prstGeom>
      </cdr:spPr>
      <cdr:txBody>
        <a:bodyPr xmlns:a="http://schemas.openxmlformats.org/drawingml/2006/main" vertOverflow="clip" vert="horz" wrap="none" rtlCol="0">
          <a:spAutoFit/>
        </a:bodyPr>
        <a:lstStyle xmlns:a="http://schemas.openxmlformats.org/drawingml/2006/main"/>
        <a:p xmlns:a="http://schemas.openxmlformats.org/drawingml/2006/main">
          <a:r>
            <a:rPr lang="en-US" sz="1100"/>
            <a:t>1</a:t>
          </a:r>
        </a:p>
      </cdr:txBody>
    </cdr:sp>
  </cdr:relSizeAnchor>
  <cdr:relSizeAnchor xmlns:cdr="http://schemas.openxmlformats.org/drawingml/2006/chartDrawing">
    <cdr:from>
      <cdr:x>0.97044</cdr:x>
      <cdr:y>0.06857</cdr:y>
    </cdr:from>
    <cdr:to>
      <cdr:x>1</cdr:x>
      <cdr:y>0.11058</cdr:y>
    </cdr:to>
    <cdr:sp macro="" textlink="">
      <cdr:nvSpPr>
        <cdr:cNvPr id="7" name="LineCount" hidden="1"/>
        <cdr:cNvSpPr txBox="1"/>
      </cdr:nvSpPr>
      <cdr:spPr>
        <a:xfrm xmlns:a="http://schemas.openxmlformats.org/drawingml/2006/main">
          <a:off x="8410803" y="431800"/>
          <a:ext cx="256160" cy="264560"/>
        </a:xfrm>
        <a:prstGeom xmlns:a="http://schemas.openxmlformats.org/drawingml/2006/main" prst="rect">
          <a:avLst/>
        </a:prstGeom>
      </cdr:spPr>
      <cdr:txBody>
        <a:bodyPr xmlns:a="http://schemas.openxmlformats.org/drawingml/2006/main" vertOverflow="clip" vert="horz" wrap="none" rtlCol="0">
          <a:spAutoFit/>
        </a:bodyPr>
        <a:lstStyle xmlns:a="http://schemas.openxmlformats.org/drawingml/2006/main"/>
        <a:p xmlns:a="http://schemas.openxmlformats.org/drawingml/2006/main">
          <a:r>
            <a:rPr lang="en-US" sz="1100"/>
            <a:t>2</a:t>
          </a:r>
        </a:p>
      </cdr:txBody>
    </cdr:sp>
  </cdr:relSizeAnchor>
  <cdr:relSizeAnchor xmlns:cdr="http://schemas.openxmlformats.org/drawingml/2006/chartDrawing">
    <cdr:from>
      <cdr:x>0.97044</cdr:x>
      <cdr:y>0.06857</cdr:y>
    </cdr:from>
    <cdr:to>
      <cdr:x>1</cdr:x>
      <cdr:y>0.11058</cdr:y>
    </cdr:to>
    <cdr:sp macro="" textlink="">
      <cdr:nvSpPr>
        <cdr:cNvPr id="8" name="LineWeight" hidden="1"/>
        <cdr:cNvSpPr txBox="1"/>
      </cdr:nvSpPr>
      <cdr:spPr>
        <a:xfrm xmlns:a="http://schemas.openxmlformats.org/drawingml/2006/main">
          <a:off x="8410803" y="431800"/>
          <a:ext cx="256160" cy="264560"/>
        </a:xfrm>
        <a:prstGeom xmlns:a="http://schemas.openxmlformats.org/drawingml/2006/main" prst="rect">
          <a:avLst/>
        </a:prstGeom>
      </cdr:spPr>
      <cdr:txBody>
        <a:bodyPr xmlns:a="http://schemas.openxmlformats.org/drawingml/2006/main" vertOverflow="clip" vert="horz" wrap="none" rtlCol="0">
          <a:spAutoFit/>
        </a:bodyPr>
        <a:lstStyle xmlns:a="http://schemas.openxmlformats.org/drawingml/2006/main"/>
        <a:p xmlns:a="http://schemas.openxmlformats.org/drawingml/2006/main">
          <a:r>
            <a:rPr lang="en-US" sz="1100"/>
            <a:t>1</a:t>
          </a:r>
        </a:p>
      </cdr:txBody>
    </cdr:sp>
  </cdr:relSizeAnchor>
  <cdr:relSizeAnchor xmlns:cdr="http://schemas.openxmlformats.org/drawingml/2006/chartDrawing">
    <cdr:from>
      <cdr:x>0.53936</cdr:x>
      <cdr:y>0.10611</cdr:y>
    </cdr:from>
    <cdr:to>
      <cdr:x>0.54606</cdr:x>
      <cdr:y>0.80707</cdr:y>
    </cdr:to>
    <cdr:cxnSp macro="">
      <cdr:nvCxnSpPr>
        <cdr:cNvPr id="10" name="Straight Connector 9"/>
        <cdr:cNvCxnSpPr/>
      </cdr:nvCxnSpPr>
      <cdr:spPr>
        <a:xfrm xmlns:a="http://schemas.openxmlformats.org/drawingml/2006/main" flipH="1" flipV="1">
          <a:off x="3446124" y="353174"/>
          <a:ext cx="42809" cy="2333090"/>
        </a:xfrm>
        <a:prstGeom xmlns:a="http://schemas.openxmlformats.org/drawingml/2006/main" prst="line">
          <a:avLst/>
        </a:prstGeom>
      </cdr:spPr>
      <cdr:style>
        <a:lnRef xmlns:a="http://schemas.openxmlformats.org/drawingml/2006/main" idx="2">
          <a:schemeClr val="accent2"/>
        </a:lnRef>
        <a:fillRef xmlns:a="http://schemas.openxmlformats.org/drawingml/2006/main" idx="0">
          <a:schemeClr val="accent2"/>
        </a:fillRef>
        <a:effectRef xmlns:a="http://schemas.openxmlformats.org/drawingml/2006/main" idx="1">
          <a:schemeClr val="accent2"/>
        </a:effectRef>
        <a:fontRef xmlns:a="http://schemas.openxmlformats.org/drawingml/2006/main" idx="minor">
          <a:schemeClr val="tx1"/>
        </a:fontRef>
      </cdr:style>
    </cdr:cxnSp>
  </cdr:relSizeAnchor>
  <cdr:relSizeAnchor xmlns:cdr="http://schemas.openxmlformats.org/drawingml/2006/chartDrawing">
    <cdr:from>
      <cdr:x>0.54439</cdr:x>
      <cdr:y>0.11576</cdr:y>
    </cdr:from>
    <cdr:to>
      <cdr:x>0.84919</cdr:x>
      <cdr:y>0.27577</cdr:y>
    </cdr:to>
    <cdr:sp macro="" textlink="">
      <cdr:nvSpPr>
        <cdr:cNvPr id="11" name="TextBox 10"/>
        <cdr:cNvSpPr txBox="1"/>
      </cdr:nvSpPr>
      <cdr:spPr>
        <a:xfrm xmlns:a="http://schemas.openxmlformats.org/drawingml/2006/main">
          <a:off x="3541570" y="427813"/>
          <a:ext cx="1982929" cy="591361"/>
        </a:xfrm>
        <a:prstGeom xmlns:a="http://schemas.openxmlformats.org/drawingml/2006/main" prst="rect">
          <a:avLst/>
        </a:prstGeom>
        <a:solidFill xmlns:a="http://schemas.openxmlformats.org/drawingml/2006/main">
          <a:schemeClr val="accent2">
            <a:lumMod val="20000"/>
            <a:lumOff val="80000"/>
          </a:schemeClr>
        </a:solidFill>
      </cdr:spPr>
      <cdr:txBody>
        <a:bodyPr xmlns:a="http://schemas.openxmlformats.org/drawingml/2006/main" vertOverflow="clip" wrap="square" rtlCol="0"/>
        <a:lstStyle xmlns:a="http://schemas.openxmlformats.org/drawingml/2006/main"/>
        <a:p xmlns:a="http://schemas.openxmlformats.org/drawingml/2006/main">
          <a:r>
            <a:rPr lang="en-US" sz="1000">
              <a:solidFill>
                <a:srgbClr val="C00000"/>
              </a:solidFill>
            </a:rPr>
            <a:t>*As</a:t>
          </a:r>
          <a:r>
            <a:rPr lang="en-US" sz="1000" baseline="0">
              <a:solidFill>
                <a:srgbClr val="C00000"/>
              </a:solidFill>
            </a:rPr>
            <a:t> of May 2011, </a:t>
          </a:r>
          <a:r>
            <a:rPr lang="en-US" sz="1000">
              <a:solidFill>
                <a:srgbClr val="C00000"/>
              </a:solidFill>
            </a:rPr>
            <a:t>SEH</a:t>
          </a:r>
          <a:r>
            <a:rPr lang="en-US" sz="1000" baseline="0">
              <a:solidFill>
                <a:srgbClr val="C00000"/>
              </a:solidFill>
            </a:rPr>
            <a:t> moved from a larger facility  to a  new building with a capacity of 292 beds. </a:t>
          </a:r>
          <a:endParaRPr lang="en-US" sz="1000">
            <a:solidFill>
              <a:srgbClr val="C00000"/>
            </a:solidFill>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0.07716</cdr:x>
      <cdr:y>0.03385</cdr:y>
    </cdr:from>
    <cdr:to>
      <cdr:x>0.12103</cdr:x>
      <cdr:y>0.55061</cdr:y>
    </cdr:to>
    <cdr:sp macro="" textlink="">
      <cdr:nvSpPr>
        <cdr:cNvPr id="9" name="Left Brace 8"/>
        <cdr:cNvSpPr/>
      </cdr:nvSpPr>
      <cdr:spPr>
        <a:xfrm xmlns:a="http://schemas.openxmlformats.org/drawingml/2006/main">
          <a:off x="485800" y="104787"/>
          <a:ext cx="276199" cy="1599687"/>
        </a:xfrm>
        <a:prstGeom xmlns:a="http://schemas.openxmlformats.org/drawingml/2006/main" prst="leftBrace">
          <a:avLst/>
        </a:prstGeom>
      </cdr:spPr>
      <cdr:style>
        <a:lnRef xmlns:a="http://schemas.openxmlformats.org/drawingml/2006/main" idx="3">
          <a:schemeClr val="accent2"/>
        </a:lnRef>
        <a:fillRef xmlns:a="http://schemas.openxmlformats.org/drawingml/2006/main" idx="0">
          <a:schemeClr val="accent2"/>
        </a:fillRef>
        <a:effectRef xmlns:a="http://schemas.openxmlformats.org/drawingml/2006/main" idx="2">
          <a:schemeClr val="accent2"/>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0.07325</cdr:x>
      <cdr:y>0.56518</cdr:y>
    </cdr:from>
    <cdr:to>
      <cdr:x>0.12103</cdr:x>
      <cdr:y>0.84858</cdr:y>
    </cdr:to>
    <cdr:sp macro="" textlink="">
      <cdr:nvSpPr>
        <cdr:cNvPr id="10" name="Left Brace 9"/>
        <cdr:cNvSpPr/>
      </cdr:nvSpPr>
      <cdr:spPr>
        <a:xfrm xmlns:a="http://schemas.openxmlformats.org/drawingml/2006/main">
          <a:off x="461210" y="1749593"/>
          <a:ext cx="300789" cy="877302"/>
        </a:xfrm>
        <a:prstGeom xmlns:a="http://schemas.openxmlformats.org/drawingml/2006/main" prst="leftBrace">
          <a:avLst/>
        </a:prstGeom>
      </cdr:spPr>
      <cdr:style>
        <a:lnRef xmlns:a="http://schemas.openxmlformats.org/drawingml/2006/main" idx="3">
          <a:schemeClr val="accent1"/>
        </a:lnRef>
        <a:fillRef xmlns:a="http://schemas.openxmlformats.org/drawingml/2006/main" idx="0">
          <a:schemeClr val="accent1"/>
        </a:fillRef>
        <a:effectRef xmlns:a="http://schemas.openxmlformats.org/drawingml/2006/main" idx="2">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en-US">
            <a:solidFill>
              <a:schemeClr val="tx2"/>
            </a:solidFill>
          </a:endParaRPr>
        </a:p>
      </cdr:txBody>
    </cdr:sp>
  </cdr:relSizeAnchor>
  <cdr:relSizeAnchor xmlns:cdr="http://schemas.openxmlformats.org/drawingml/2006/chartDrawing">
    <cdr:from>
      <cdr:x>0.73167</cdr:x>
      <cdr:y>0.03531</cdr:y>
    </cdr:from>
    <cdr:to>
      <cdr:x>0.76797</cdr:x>
      <cdr:y>0.44761</cdr:y>
    </cdr:to>
    <cdr:sp macro="" textlink="">
      <cdr:nvSpPr>
        <cdr:cNvPr id="12" name="Right Brace 11"/>
        <cdr:cNvSpPr/>
      </cdr:nvSpPr>
      <cdr:spPr>
        <a:xfrm xmlns:a="http://schemas.openxmlformats.org/drawingml/2006/main">
          <a:off x="4606629" y="109308"/>
          <a:ext cx="228545" cy="1276327"/>
        </a:xfrm>
        <a:prstGeom xmlns:a="http://schemas.openxmlformats.org/drawingml/2006/main" prst="rightBrace">
          <a:avLst/>
        </a:prstGeom>
      </cdr:spPr>
      <cdr:style>
        <a:lnRef xmlns:a="http://schemas.openxmlformats.org/drawingml/2006/main" idx="3">
          <a:schemeClr val="accent2"/>
        </a:lnRef>
        <a:fillRef xmlns:a="http://schemas.openxmlformats.org/drawingml/2006/main" idx="0">
          <a:schemeClr val="accent2"/>
        </a:fillRef>
        <a:effectRef xmlns:a="http://schemas.openxmlformats.org/drawingml/2006/main" idx="2">
          <a:schemeClr val="accent2"/>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0.73071</cdr:x>
      <cdr:y>0.45846</cdr:y>
    </cdr:from>
    <cdr:to>
      <cdr:x>0.77307</cdr:x>
      <cdr:y>0.84308</cdr:y>
    </cdr:to>
    <cdr:sp macro="" textlink="">
      <cdr:nvSpPr>
        <cdr:cNvPr id="13" name="Right Brace 12"/>
        <cdr:cNvSpPr/>
      </cdr:nvSpPr>
      <cdr:spPr>
        <a:xfrm xmlns:a="http://schemas.openxmlformats.org/drawingml/2006/main">
          <a:off x="4600587" y="1419225"/>
          <a:ext cx="266688" cy="1190625"/>
        </a:xfrm>
        <a:prstGeom xmlns:a="http://schemas.openxmlformats.org/drawingml/2006/main" prst="rightBrace">
          <a:avLst/>
        </a:prstGeom>
      </cdr:spPr>
      <cdr:style>
        <a:lnRef xmlns:a="http://schemas.openxmlformats.org/drawingml/2006/main" idx="3">
          <a:schemeClr val="accent1"/>
        </a:lnRef>
        <a:fillRef xmlns:a="http://schemas.openxmlformats.org/drawingml/2006/main" idx="0">
          <a:schemeClr val="accent1"/>
        </a:fillRef>
        <a:effectRef xmlns:a="http://schemas.openxmlformats.org/drawingml/2006/main" idx="2">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en-US">
            <a:solidFill>
              <a:schemeClr val="tx2"/>
            </a:solidFill>
          </a:endParaRPr>
        </a:p>
      </cdr:txBody>
    </cdr:sp>
  </cdr:relSizeAnchor>
  <cdr:relSizeAnchor xmlns:cdr="http://schemas.openxmlformats.org/drawingml/2006/chartDrawing">
    <cdr:from>
      <cdr:x>0.76192</cdr:x>
      <cdr:y>0.62624</cdr:y>
    </cdr:from>
    <cdr:to>
      <cdr:x>0.84059</cdr:x>
      <cdr:y>0.697</cdr:y>
    </cdr:to>
    <cdr:sp macro="" textlink="">
      <cdr:nvSpPr>
        <cdr:cNvPr id="14" name="TextBox 13"/>
        <cdr:cNvSpPr txBox="1"/>
      </cdr:nvSpPr>
      <cdr:spPr>
        <a:xfrm xmlns:a="http://schemas.openxmlformats.org/drawingml/2006/main">
          <a:off x="4797066" y="1938589"/>
          <a:ext cx="495309" cy="219077"/>
        </a:xfrm>
        <a:prstGeom xmlns:a="http://schemas.openxmlformats.org/drawingml/2006/main" prst="rect">
          <a:avLst/>
        </a:prstGeom>
      </cdr:spPr>
      <cdr:txBody>
        <a:bodyPr xmlns:a="http://schemas.openxmlformats.org/drawingml/2006/main" vertOverflow="clip" vert="horz" wrap="square" lIns="0" tIns="0" rIns="0" bIns="0" rtlCol="0"/>
        <a:lstStyle xmlns:a="http://schemas.openxmlformats.org/drawingml/2006/main"/>
        <a:p xmlns:a="http://schemas.openxmlformats.org/drawingml/2006/main">
          <a:pPr algn="ctr"/>
          <a:r>
            <a:rPr lang="en-US" sz="1200" b="1">
              <a:solidFill>
                <a:schemeClr val="tx2"/>
              </a:solidFill>
              <a:effectLst>
                <a:glow rad="127000">
                  <a:schemeClr val="tx2">
                    <a:lumMod val="20000"/>
                    <a:lumOff val="80000"/>
                  </a:schemeClr>
                </a:glow>
              </a:effectLst>
            </a:rPr>
            <a:t>49%</a:t>
          </a:r>
        </a:p>
      </cdr:txBody>
    </cdr:sp>
  </cdr:relSizeAnchor>
  <cdr:relSizeAnchor xmlns:cdr="http://schemas.openxmlformats.org/drawingml/2006/chartDrawing">
    <cdr:from>
      <cdr:x>0.01221</cdr:x>
      <cdr:y>0.7194</cdr:y>
    </cdr:from>
    <cdr:to>
      <cdr:x>0.09088</cdr:x>
      <cdr:y>0.79017</cdr:y>
    </cdr:to>
    <cdr:sp macro="" textlink="">
      <cdr:nvSpPr>
        <cdr:cNvPr id="15" name="TextBox 1"/>
        <cdr:cNvSpPr txBox="1"/>
      </cdr:nvSpPr>
      <cdr:spPr>
        <a:xfrm xmlns:a="http://schemas.openxmlformats.org/drawingml/2006/main">
          <a:off x="76850" y="2226997"/>
          <a:ext cx="495308" cy="219077"/>
        </a:xfrm>
        <a:prstGeom xmlns:a="http://schemas.openxmlformats.org/drawingml/2006/main" prst="rect">
          <a:avLst/>
        </a:prstGeom>
      </cdr:spPr>
      <cdr:txBody>
        <a:bodyPr xmlns:a="http://schemas.openxmlformats.org/drawingml/2006/main" vert="horz"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200" b="1">
              <a:solidFill>
                <a:schemeClr val="tx2"/>
              </a:solidFill>
              <a:effectLst>
                <a:glow rad="127000">
                  <a:schemeClr val="tx2">
                    <a:lumMod val="20000"/>
                    <a:lumOff val="80000"/>
                  </a:schemeClr>
                </a:glow>
              </a:effectLst>
            </a:rPr>
            <a:t>35%</a:t>
          </a:r>
        </a:p>
      </cdr:txBody>
    </cdr:sp>
  </cdr:relSizeAnchor>
  <cdr:relSizeAnchor xmlns:cdr="http://schemas.openxmlformats.org/drawingml/2006/chartDrawing">
    <cdr:from>
      <cdr:x>0.74634</cdr:x>
      <cdr:y>0.20102</cdr:y>
    </cdr:from>
    <cdr:to>
      <cdr:x>0.82501</cdr:x>
      <cdr:y>0.27179</cdr:y>
    </cdr:to>
    <cdr:sp macro="" textlink="">
      <cdr:nvSpPr>
        <cdr:cNvPr id="17" name="TextBox 1"/>
        <cdr:cNvSpPr txBox="1"/>
      </cdr:nvSpPr>
      <cdr:spPr>
        <a:xfrm xmlns:a="http://schemas.openxmlformats.org/drawingml/2006/main">
          <a:off x="4699002" y="622292"/>
          <a:ext cx="495309" cy="219077"/>
        </a:xfrm>
        <a:prstGeom xmlns:a="http://schemas.openxmlformats.org/drawingml/2006/main" prst="rect">
          <a:avLst/>
        </a:prstGeom>
      </cdr:spPr>
      <cdr:txBody>
        <a:bodyPr xmlns:a="http://schemas.openxmlformats.org/drawingml/2006/main" vert="horz"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200" b="1">
              <a:solidFill>
                <a:schemeClr val="accent2"/>
              </a:solidFill>
              <a:effectLst>
                <a:glow rad="127000">
                  <a:schemeClr val="accent2">
                    <a:lumMod val="20000"/>
                    <a:lumOff val="80000"/>
                  </a:schemeClr>
                </a:glow>
              </a:effectLst>
            </a:rPr>
            <a:t>51%</a:t>
          </a:r>
        </a:p>
      </cdr:txBody>
    </cdr:sp>
  </cdr:relSizeAnchor>
  <cdr:relSizeAnchor xmlns:cdr="http://schemas.openxmlformats.org/drawingml/2006/chartDrawing">
    <cdr:from>
      <cdr:x>0.00756</cdr:x>
      <cdr:y>0.22872</cdr:y>
    </cdr:from>
    <cdr:to>
      <cdr:x>0.08623</cdr:x>
      <cdr:y>0.29949</cdr:y>
    </cdr:to>
    <cdr:sp macro="" textlink="">
      <cdr:nvSpPr>
        <cdr:cNvPr id="18" name="TextBox 1"/>
        <cdr:cNvSpPr txBox="1"/>
      </cdr:nvSpPr>
      <cdr:spPr>
        <a:xfrm xmlns:a="http://schemas.openxmlformats.org/drawingml/2006/main">
          <a:off x="47625" y="708022"/>
          <a:ext cx="495308" cy="219077"/>
        </a:xfrm>
        <a:prstGeom xmlns:a="http://schemas.openxmlformats.org/drawingml/2006/main" prst="rect">
          <a:avLst/>
        </a:prstGeom>
      </cdr:spPr>
      <cdr:txBody>
        <a:bodyPr xmlns:a="http://schemas.openxmlformats.org/drawingml/2006/main" vert="horz"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200" b="1">
              <a:solidFill>
                <a:schemeClr val="accent2"/>
              </a:solidFill>
              <a:effectLst>
                <a:glow rad="127000">
                  <a:schemeClr val="accent2">
                    <a:lumMod val="20000"/>
                    <a:lumOff val="80000"/>
                  </a:schemeClr>
                </a:glow>
              </a:effectLst>
            </a:rPr>
            <a:t>65%</a:t>
          </a:r>
        </a:p>
      </cdr:txBody>
    </cdr:sp>
  </cdr:relSizeAnchor>
  <cdr:relSizeAnchor xmlns:cdr="http://schemas.openxmlformats.org/drawingml/2006/chartDrawing">
    <cdr:from>
      <cdr:x>0.72856</cdr:x>
      <cdr:y>0.3336</cdr:y>
    </cdr:from>
    <cdr:to>
      <cdr:x>0.83367</cdr:x>
      <cdr:y>0.34008</cdr:y>
    </cdr:to>
    <cdr:cxnSp macro="">
      <cdr:nvCxnSpPr>
        <cdr:cNvPr id="73" name="Straight Arrow Connector 72"/>
        <cdr:cNvCxnSpPr/>
      </cdr:nvCxnSpPr>
      <cdr:spPr>
        <a:xfrm xmlns:a="http://schemas.openxmlformats.org/drawingml/2006/main">
          <a:off x="4587039" y="1032711"/>
          <a:ext cx="661737" cy="20052"/>
        </a:xfrm>
        <a:prstGeom xmlns:a="http://schemas.openxmlformats.org/drawingml/2006/main" prst="straightConnector1">
          <a:avLst/>
        </a:prstGeom>
        <a:ln xmlns:a="http://schemas.openxmlformats.org/drawingml/2006/main" w="19050">
          <a:tailEnd type="arrow"/>
        </a:ln>
      </cdr:spPr>
      <cdr:style>
        <a:lnRef xmlns:a="http://schemas.openxmlformats.org/drawingml/2006/main" idx="2">
          <a:schemeClr val="accent2"/>
        </a:lnRef>
        <a:fillRef xmlns:a="http://schemas.openxmlformats.org/drawingml/2006/main" idx="0">
          <a:schemeClr val="accent2"/>
        </a:fillRef>
        <a:effectRef xmlns:a="http://schemas.openxmlformats.org/drawingml/2006/main" idx="1">
          <a:schemeClr val="accent2"/>
        </a:effectRef>
        <a:fontRef xmlns:a="http://schemas.openxmlformats.org/drawingml/2006/main" idx="minor">
          <a:schemeClr val="tx1"/>
        </a:fontRef>
      </cdr:style>
    </cdr:cxnSp>
  </cdr:relSizeAnchor>
  <cdr:relSizeAnchor xmlns:cdr="http://schemas.openxmlformats.org/drawingml/2006/chartDrawing">
    <cdr:from>
      <cdr:x>0.72867</cdr:x>
      <cdr:y>0.41965</cdr:y>
    </cdr:from>
    <cdr:to>
      <cdr:x>0.83377</cdr:x>
      <cdr:y>0.42613</cdr:y>
    </cdr:to>
    <cdr:cxnSp macro="">
      <cdr:nvCxnSpPr>
        <cdr:cNvPr id="74" name="Straight Arrow Connector 73"/>
        <cdr:cNvCxnSpPr/>
      </cdr:nvCxnSpPr>
      <cdr:spPr>
        <a:xfrm xmlns:a="http://schemas.openxmlformats.org/drawingml/2006/main">
          <a:off x="4587708" y="1299077"/>
          <a:ext cx="661737" cy="20052"/>
        </a:xfrm>
        <a:prstGeom xmlns:a="http://schemas.openxmlformats.org/drawingml/2006/main" prst="straightConnector1">
          <a:avLst/>
        </a:prstGeom>
        <a:ln xmlns:a="http://schemas.openxmlformats.org/drawingml/2006/main" w="19050">
          <a:tailEnd type="arrow"/>
        </a:ln>
      </cdr:spPr>
      <cdr:style>
        <a:lnRef xmlns:a="http://schemas.openxmlformats.org/drawingml/2006/main" idx="2">
          <a:schemeClr val="accent6"/>
        </a:lnRef>
        <a:fillRef xmlns:a="http://schemas.openxmlformats.org/drawingml/2006/main" idx="0">
          <a:schemeClr val="accent6"/>
        </a:fillRef>
        <a:effectRef xmlns:a="http://schemas.openxmlformats.org/drawingml/2006/main" idx="1">
          <a:schemeClr val="accent6"/>
        </a:effectRef>
        <a:fontRef xmlns:a="http://schemas.openxmlformats.org/drawingml/2006/main" idx="minor">
          <a:schemeClr val="tx1"/>
        </a:fontRef>
      </cdr:style>
    </cdr:cxnSp>
  </cdr:relSizeAnchor>
  <cdr:relSizeAnchor xmlns:cdr="http://schemas.openxmlformats.org/drawingml/2006/chartDrawing">
    <cdr:from>
      <cdr:x>0.72787</cdr:x>
      <cdr:y>0.56864</cdr:y>
    </cdr:from>
    <cdr:to>
      <cdr:x>0.83207</cdr:x>
      <cdr:y>0.60891</cdr:y>
    </cdr:to>
    <cdr:cxnSp macro="">
      <cdr:nvCxnSpPr>
        <cdr:cNvPr id="75" name="Straight Arrow Connector 74"/>
        <cdr:cNvCxnSpPr/>
      </cdr:nvCxnSpPr>
      <cdr:spPr>
        <a:xfrm xmlns:a="http://schemas.openxmlformats.org/drawingml/2006/main">
          <a:off x="4582695" y="1760287"/>
          <a:ext cx="656055" cy="124660"/>
        </a:xfrm>
        <a:prstGeom xmlns:a="http://schemas.openxmlformats.org/drawingml/2006/main" prst="straightConnector1">
          <a:avLst/>
        </a:prstGeom>
        <a:ln xmlns:a="http://schemas.openxmlformats.org/drawingml/2006/main" w="19050">
          <a:tailEnd type="arrow"/>
        </a:ln>
      </cdr:spPr>
      <cdr:style>
        <a:lnRef xmlns:a="http://schemas.openxmlformats.org/drawingml/2006/main" idx="2">
          <a:schemeClr val="accent5"/>
        </a:lnRef>
        <a:fillRef xmlns:a="http://schemas.openxmlformats.org/drawingml/2006/main" idx="0">
          <a:schemeClr val="accent5"/>
        </a:fillRef>
        <a:effectRef xmlns:a="http://schemas.openxmlformats.org/drawingml/2006/main" idx="1">
          <a:schemeClr val="accent5"/>
        </a:effectRef>
        <a:fontRef xmlns:a="http://schemas.openxmlformats.org/drawingml/2006/main" idx="minor">
          <a:schemeClr val="tx1"/>
        </a:fontRef>
      </cdr:style>
    </cdr:cxnSp>
  </cdr:relSizeAnchor>
</c:userShapes>
</file>

<file path=word/drawings/drawing11.xml><?xml version="1.0" encoding="utf-8"?>
<c:userShapes xmlns:c="http://schemas.openxmlformats.org/drawingml/2006/chart">
  <cdr:relSizeAnchor xmlns:cdr="http://schemas.openxmlformats.org/drawingml/2006/chartDrawing">
    <cdr:from>
      <cdr:x>0.92552</cdr:x>
      <cdr:y>0.06857</cdr:y>
    </cdr:from>
    <cdr:to>
      <cdr:x>1</cdr:x>
      <cdr:y>0.11058</cdr:y>
    </cdr:to>
    <cdr:sp macro="" textlink="">
      <cdr:nvSpPr>
        <cdr:cNvPr id="2" name="Line1" hidden="1"/>
        <cdr:cNvSpPr txBox="1"/>
      </cdr:nvSpPr>
      <cdr:spPr>
        <a:xfrm xmlns:a="http://schemas.openxmlformats.org/drawingml/2006/main">
          <a:off x="8021465" y="431800"/>
          <a:ext cx="645498" cy="264560"/>
        </a:xfrm>
        <a:prstGeom xmlns:a="http://schemas.openxmlformats.org/drawingml/2006/main" prst="rect">
          <a:avLst/>
        </a:prstGeom>
      </cdr:spPr>
      <cdr:txBody>
        <a:bodyPr xmlns:a="http://schemas.openxmlformats.org/drawingml/2006/main" vertOverflow="clip" vert="horz" wrap="none" rtlCol="0">
          <a:spAutoFit/>
        </a:bodyPr>
        <a:lstStyle xmlns:a="http://schemas.openxmlformats.org/drawingml/2006/main"/>
        <a:p xmlns:a="http://schemas.openxmlformats.org/drawingml/2006/main">
          <a:r>
            <a:rPr lang="en-US" sz="1100"/>
            <a:t>32768 3</a:t>
          </a:r>
        </a:p>
      </cdr:txBody>
    </cdr:sp>
  </cdr:relSizeAnchor>
  <cdr:relSizeAnchor xmlns:cdr="http://schemas.openxmlformats.org/drawingml/2006/chartDrawing">
    <cdr:from>
      <cdr:x>0.90965</cdr:x>
      <cdr:y>0.06857</cdr:y>
    </cdr:from>
    <cdr:to>
      <cdr:x>1</cdr:x>
      <cdr:y>0.21238</cdr:y>
    </cdr:to>
    <cdr:sp macro="" textlink="">
      <cdr:nvSpPr>
        <cdr:cNvPr id="3" name="data location" hidden="1"/>
        <cdr:cNvSpPr txBox="1"/>
      </cdr:nvSpPr>
      <cdr:spPr>
        <a:xfrm xmlns:a="http://schemas.openxmlformats.org/drawingml/2006/main">
          <a:off x="5957205" y="259280"/>
          <a:ext cx="576568" cy="543803"/>
        </a:xfrm>
        <a:prstGeom xmlns:a="http://schemas.openxmlformats.org/drawingml/2006/main" prst="rect">
          <a:avLst/>
        </a:prstGeom>
      </cdr:spPr>
      <cdr:txBody>
        <a:bodyPr xmlns:a="http://schemas.openxmlformats.org/drawingml/2006/main" vertOverflow="clip" vert="horz" wrap="none" rtlCol="0">
          <a:spAutoFit/>
        </a:bodyPr>
        <a:lstStyle xmlns:a="http://schemas.openxmlformats.org/drawingml/2006/main"/>
        <a:p xmlns:a="http://schemas.openxmlformats.org/drawingml/2006/main">
          <a:fld id="{1CE899AF-C3CB-4408-8FEB-A40424C5767D}" type="TxLink">
            <a:rPr lang="en-US" sz="1000" b="0" i="0" u="none" strike="noStrike">
              <a:solidFill>
                <a:srgbClr val="000000"/>
              </a:solidFill>
              <a:latin typeface="Arial"/>
              <a:cs typeface="Arial"/>
            </a:rPr>
            <a:pPr/>
            <a:t>X Axis
labels
(down)</a:t>
          </a:fld>
          <a:endParaRPr lang="en-US" sz="1100"/>
        </a:p>
      </cdr:txBody>
    </cdr:sp>
  </cdr:relSizeAnchor>
  <cdr:relSizeAnchor xmlns:cdr="http://schemas.openxmlformats.org/drawingml/2006/chartDrawing">
    <cdr:from>
      <cdr:x>0.97044</cdr:x>
      <cdr:y>0.06857</cdr:y>
    </cdr:from>
    <cdr:to>
      <cdr:x>1</cdr:x>
      <cdr:y>0.11058</cdr:y>
    </cdr:to>
    <cdr:sp macro="" textlink="">
      <cdr:nvSpPr>
        <cdr:cNvPr id="4" name="ShowOnBottom" hidden="1"/>
        <cdr:cNvSpPr txBox="1"/>
      </cdr:nvSpPr>
      <cdr:spPr>
        <a:xfrm xmlns:a="http://schemas.openxmlformats.org/drawingml/2006/main">
          <a:off x="8410803" y="431800"/>
          <a:ext cx="256160" cy="264560"/>
        </a:xfrm>
        <a:prstGeom xmlns:a="http://schemas.openxmlformats.org/drawingml/2006/main" prst="rect">
          <a:avLst/>
        </a:prstGeom>
      </cdr:spPr>
      <cdr:txBody>
        <a:bodyPr xmlns:a="http://schemas.openxmlformats.org/drawingml/2006/main" vertOverflow="clip" vert="horz" wrap="none" rtlCol="0">
          <a:spAutoFit/>
        </a:bodyPr>
        <a:lstStyle xmlns:a="http://schemas.openxmlformats.org/drawingml/2006/main"/>
        <a:p xmlns:a="http://schemas.openxmlformats.org/drawingml/2006/main">
          <a:r>
            <a:rPr lang="en-US" sz="1100"/>
            <a:t>1</a:t>
          </a:r>
        </a:p>
      </cdr:txBody>
    </cdr:sp>
  </cdr:relSizeAnchor>
  <cdr:relSizeAnchor xmlns:cdr="http://schemas.openxmlformats.org/drawingml/2006/chartDrawing">
    <cdr:from>
      <cdr:x>0.97044</cdr:x>
      <cdr:y>0.06857</cdr:y>
    </cdr:from>
    <cdr:to>
      <cdr:x>1</cdr:x>
      <cdr:y>0.11058</cdr:y>
    </cdr:to>
    <cdr:sp macro="" textlink="">
      <cdr:nvSpPr>
        <cdr:cNvPr id="5" name="showonTop" hidden="1"/>
        <cdr:cNvSpPr txBox="1"/>
      </cdr:nvSpPr>
      <cdr:spPr>
        <a:xfrm xmlns:a="http://schemas.openxmlformats.org/drawingml/2006/main">
          <a:off x="8410803" y="431800"/>
          <a:ext cx="256160" cy="264560"/>
        </a:xfrm>
        <a:prstGeom xmlns:a="http://schemas.openxmlformats.org/drawingml/2006/main" prst="rect">
          <a:avLst/>
        </a:prstGeom>
      </cdr:spPr>
      <cdr:txBody>
        <a:bodyPr xmlns:a="http://schemas.openxmlformats.org/drawingml/2006/main" vertOverflow="clip" vert="horz" wrap="none" rtlCol="0">
          <a:spAutoFit/>
        </a:bodyPr>
        <a:lstStyle xmlns:a="http://schemas.openxmlformats.org/drawingml/2006/main"/>
        <a:p xmlns:a="http://schemas.openxmlformats.org/drawingml/2006/main">
          <a:r>
            <a:rPr lang="en-US" sz="1100"/>
            <a:t>0</a:t>
          </a:r>
        </a:p>
      </cdr:txBody>
    </cdr:sp>
  </cdr:relSizeAnchor>
  <cdr:relSizeAnchor xmlns:cdr="http://schemas.openxmlformats.org/drawingml/2006/chartDrawing">
    <cdr:from>
      <cdr:x>0.97044</cdr:x>
      <cdr:y>0.06857</cdr:y>
    </cdr:from>
    <cdr:to>
      <cdr:x>1</cdr:x>
      <cdr:y>0.11058</cdr:y>
    </cdr:to>
    <cdr:sp macro="" textlink="">
      <cdr:nvSpPr>
        <cdr:cNvPr id="6" name="AxisLabels" hidden="1"/>
        <cdr:cNvSpPr txBox="1"/>
      </cdr:nvSpPr>
      <cdr:spPr>
        <a:xfrm xmlns:a="http://schemas.openxmlformats.org/drawingml/2006/main">
          <a:off x="8410803" y="431800"/>
          <a:ext cx="256160" cy="264560"/>
        </a:xfrm>
        <a:prstGeom xmlns:a="http://schemas.openxmlformats.org/drawingml/2006/main" prst="rect">
          <a:avLst/>
        </a:prstGeom>
      </cdr:spPr>
      <cdr:txBody>
        <a:bodyPr xmlns:a="http://schemas.openxmlformats.org/drawingml/2006/main" vertOverflow="clip" vert="horz" wrap="none" rtlCol="0">
          <a:spAutoFit/>
        </a:bodyPr>
        <a:lstStyle xmlns:a="http://schemas.openxmlformats.org/drawingml/2006/main"/>
        <a:p xmlns:a="http://schemas.openxmlformats.org/drawingml/2006/main">
          <a:r>
            <a:rPr lang="en-US" sz="1100"/>
            <a:t>1</a:t>
          </a:r>
        </a:p>
      </cdr:txBody>
    </cdr:sp>
  </cdr:relSizeAnchor>
  <cdr:relSizeAnchor xmlns:cdr="http://schemas.openxmlformats.org/drawingml/2006/chartDrawing">
    <cdr:from>
      <cdr:x>0.97044</cdr:x>
      <cdr:y>0.06857</cdr:y>
    </cdr:from>
    <cdr:to>
      <cdr:x>1</cdr:x>
      <cdr:y>0.11058</cdr:y>
    </cdr:to>
    <cdr:sp macro="" textlink="">
      <cdr:nvSpPr>
        <cdr:cNvPr id="7" name="LineCount" hidden="1"/>
        <cdr:cNvSpPr txBox="1"/>
      </cdr:nvSpPr>
      <cdr:spPr>
        <a:xfrm xmlns:a="http://schemas.openxmlformats.org/drawingml/2006/main">
          <a:off x="8410803" y="431800"/>
          <a:ext cx="256160" cy="264560"/>
        </a:xfrm>
        <a:prstGeom xmlns:a="http://schemas.openxmlformats.org/drawingml/2006/main" prst="rect">
          <a:avLst/>
        </a:prstGeom>
      </cdr:spPr>
      <cdr:txBody>
        <a:bodyPr xmlns:a="http://schemas.openxmlformats.org/drawingml/2006/main" vertOverflow="clip" vert="horz" wrap="none" rtlCol="0">
          <a:spAutoFit/>
        </a:bodyPr>
        <a:lstStyle xmlns:a="http://schemas.openxmlformats.org/drawingml/2006/main"/>
        <a:p xmlns:a="http://schemas.openxmlformats.org/drawingml/2006/main">
          <a:r>
            <a:rPr lang="en-US" sz="1100"/>
            <a:t>2</a:t>
          </a:r>
        </a:p>
      </cdr:txBody>
    </cdr:sp>
  </cdr:relSizeAnchor>
  <cdr:relSizeAnchor xmlns:cdr="http://schemas.openxmlformats.org/drawingml/2006/chartDrawing">
    <cdr:from>
      <cdr:x>0.97044</cdr:x>
      <cdr:y>0.06857</cdr:y>
    </cdr:from>
    <cdr:to>
      <cdr:x>1</cdr:x>
      <cdr:y>0.11058</cdr:y>
    </cdr:to>
    <cdr:sp macro="" textlink="">
      <cdr:nvSpPr>
        <cdr:cNvPr id="8" name="LineWeight" hidden="1"/>
        <cdr:cNvSpPr txBox="1"/>
      </cdr:nvSpPr>
      <cdr:spPr>
        <a:xfrm xmlns:a="http://schemas.openxmlformats.org/drawingml/2006/main">
          <a:off x="8410803" y="431800"/>
          <a:ext cx="256160" cy="264560"/>
        </a:xfrm>
        <a:prstGeom xmlns:a="http://schemas.openxmlformats.org/drawingml/2006/main" prst="rect">
          <a:avLst/>
        </a:prstGeom>
      </cdr:spPr>
      <cdr:txBody>
        <a:bodyPr xmlns:a="http://schemas.openxmlformats.org/drawingml/2006/main" vertOverflow="clip" vert="horz" wrap="none" rtlCol="0">
          <a:spAutoFit/>
        </a:bodyPr>
        <a:lstStyle xmlns:a="http://schemas.openxmlformats.org/drawingml/2006/main"/>
        <a:p xmlns:a="http://schemas.openxmlformats.org/drawingml/2006/main">
          <a:r>
            <a:rPr lang="en-US" sz="1100"/>
            <a:t>1</a:t>
          </a:r>
        </a:p>
      </cdr:txBody>
    </cdr:sp>
  </cdr:relSizeAnchor>
  <cdr:relSizeAnchor xmlns:cdr="http://schemas.openxmlformats.org/drawingml/2006/chartDrawing">
    <cdr:from>
      <cdr:x>0</cdr:x>
      <cdr:y>0.04575</cdr:y>
    </cdr:from>
    <cdr:to>
      <cdr:x>0.12234</cdr:x>
      <cdr:y>0.85621</cdr:y>
    </cdr:to>
    <cdr:sp macro="" textlink="">
      <cdr:nvSpPr>
        <cdr:cNvPr id="9" name="TextBox 8"/>
        <cdr:cNvSpPr txBox="1"/>
      </cdr:nvSpPr>
      <cdr:spPr>
        <a:xfrm xmlns:a="http://schemas.openxmlformats.org/drawingml/2006/main">
          <a:off x="0" y="149910"/>
          <a:ext cx="438150" cy="265554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en-US" sz="800" b="1"/>
            <a:t>16 yrs</a:t>
          </a:r>
        </a:p>
        <a:p xmlns:a="http://schemas.openxmlformats.org/drawingml/2006/main">
          <a:pPr algn="r"/>
          <a:endParaRPr lang="en-US" sz="800" b="1"/>
        </a:p>
        <a:p xmlns:a="http://schemas.openxmlformats.org/drawingml/2006/main">
          <a:pPr algn="r"/>
          <a:r>
            <a:rPr lang="en-US" sz="800" b="1"/>
            <a:t>14 yrs</a:t>
          </a:r>
        </a:p>
        <a:p xmlns:a="http://schemas.openxmlformats.org/drawingml/2006/main">
          <a:pPr algn="r"/>
          <a:endParaRPr lang="en-US" sz="800" b="1"/>
        </a:p>
        <a:p xmlns:a="http://schemas.openxmlformats.org/drawingml/2006/main">
          <a:pPr algn="r"/>
          <a:r>
            <a:rPr lang="en-US" sz="800" b="1"/>
            <a:t>12 yrs</a:t>
          </a:r>
        </a:p>
        <a:p xmlns:a="http://schemas.openxmlformats.org/drawingml/2006/main">
          <a:pPr algn="r"/>
          <a:endParaRPr lang="en-US" sz="800" b="1"/>
        </a:p>
        <a:p xmlns:a="http://schemas.openxmlformats.org/drawingml/2006/main">
          <a:pPr algn="r"/>
          <a:r>
            <a:rPr lang="en-US" sz="800" b="1"/>
            <a:t>10 yrs</a:t>
          </a:r>
        </a:p>
        <a:p xmlns:a="http://schemas.openxmlformats.org/drawingml/2006/main">
          <a:pPr algn="r"/>
          <a:endParaRPr lang="en-US" sz="800" b="1"/>
        </a:p>
        <a:p xmlns:a="http://schemas.openxmlformats.org/drawingml/2006/main">
          <a:pPr algn="r"/>
          <a:r>
            <a:rPr lang="en-US" sz="800" b="1"/>
            <a:t>8 yrs</a:t>
          </a:r>
        </a:p>
        <a:p xmlns:a="http://schemas.openxmlformats.org/drawingml/2006/main">
          <a:pPr algn="r"/>
          <a:endParaRPr lang="en-US" sz="800" b="1"/>
        </a:p>
        <a:p xmlns:a="http://schemas.openxmlformats.org/drawingml/2006/main">
          <a:pPr algn="r"/>
          <a:r>
            <a:rPr lang="en-US" sz="800" b="1"/>
            <a:t>6 yrs</a:t>
          </a:r>
        </a:p>
        <a:p xmlns:a="http://schemas.openxmlformats.org/drawingml/2006/main">
          <a:pPr algn="r"/>
          <a:endParaRPr lang="en-US" sz="800" b="1"/>
        </a:p>
        <a:p xmlns:a="http://schemas.openxmlformats.org/drawingml/2006/main">
          <a:pPr algn="r"/>
          <a:r>
            <a:rPr lang="en-US" sz="800" b="1"/>
            <a:t>4 yrs</a:t>
          </a:r>
        </a:p>
        <a:p xmlns:a="http://schemas.openxmlformats.org/drawingml/2006/main">
          <a:pPr algn="r"/>
          <a:endParaRPr lang="en-US" sz="800" b="1"/>
        </a:p>
        <a:p xmlns:a="http://schemas.openxmlformats.org/drawingml/2006/main">
          <a:pPr algn="r"/>
          <a:r>
            <a:rPr lang="en-US" sz="800" b="1"/>
            <a:t>2 yrs</a:t>
          </a:r>
        </a:p>
      </cdr:txBody>
    </cdr:sp>
  </cdr:relSizeAnchor>
</c:userShapes>
</file>

<file path=word/drawings/drawing12.xml><?xml version="1.0" encoding="utf-8"?>
<c:userShapes xmlns:c="http://schemas.openxmlformats.org/drawingml/2006/chart">
  <cdr:relSizeAnchor xmlns:cdr="http://schemas.openxmlformats.org/drawingml/2006/chartDrawing">
    <cdr:from>
      <cdr:x>0.83151</cdr:x>
      <cdr:y>0.06434</cdr:y>
    </cdr:from>
    <cdr:to>
      <cdr:x>0.98752</cdr:x>
      <cdr:y>0.67828</cdr:y>
    </cdr:to>
    <cdr:sp macro="" textlink="">
      <cdr:nvSpPr>
        <cdr:cNvPr id="12" name="TextBox 11"/>
        <cdr:cNvSpPr txBox="1"/>
      </cdr:nvSpPr>
      <cdr:spPr>
        <a:xfrm xmlns:a="http://schemas.openxmlformats.org/drawingml/2006/main">
          <a:off x="5076825" y="228599"/>
          <a:ext cx="952500" cy="2181225"/>
        </a:xfrm>
        <a:prstGeom xmlns:a="http://schemas.openxmlformats.org/drawingml/2006/main" prst="rect">
          <a:avLst/>
        </a:prstGeom>
        <a:noFill xmlns:a="http://schemas.openxmlformats.org/drawingml/2006/main"/>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pPr algn="ctr"/>
          <a:r>
            <a:rPr lang="en-US" sz="1100" b="1"/>
            <a:t>Discharged within</a:t>
          </a:r>
        </a:p>
      </cdr:txBody>
    </cdr:sp>
  </cdr:relSizeAnchor>
  <cdr:relSizeAnchor xmlns:cdr="http://schemas.openxmlformats.org/drawingml/2006/chartDrawing">
    <cdr:from>
      <cdr:x>0.92552</cdr:x>
      <cdr:y>0.06857</cdr:y>
    </cdr:from>
    <cdr:to>
      <cdr:x>1</cdr:x>
      <cdr:y>0.11058</cdr:y>
    </cdr:to>
    <cdr:sp macro="" textlink="">
      <cdr:nvSpPr>
        <cdr:cNvPr id="2" name="Line1" hidden="1"/>
        <cdr:cNvSpPr txBox="1"/>
      </cdr:nvSpPr>
      <cdr:spPr>
        <a:xfrm xmlns:a="http://schemas.openxmlformats.org/drawingml/2006/main">
          <a:off x="8021465" y="431800"/>
          <a:ext cx="645498" cy="264560"/>
        </a:xfrm>
        <a:prstGeom xmlns:a="http://schemas.openxmlformats.org/drawingml/2006/main" prst="rect">
          <a:avLst/>
        </a:prstGeom>
      </cdr:spPr>
      <cdr:txBody>
        <a:bodyPr xmlns:a="http://schemas.openxmlformats.org/drawingml/2006/main" vertOverflow="clip" vert="horz" wrap="none" rtlCol="0">
          <a:spAutoFit/>
        </a:bodyPr>
        <a:lstStyle xmlns:a="http://schemas.openxmlformats.org/drawingml/2006/main"/>
        <a:p xmlns:a="http://schemas.openxmlformats.org/drawingml/2006/main">
          <a:r>
            <a:rPr lang="en-US" sz="1100"/>
            <a:t>32768 3</a:t>
          </a:r>
        </a:p>
      </cdr:txBody>
    </cdr:sp>
  </cdr:relSizeAnchor>
  <cdr:relSizeAnchor xmlns:cdr="http://schemas.openxmlformats.org/drawingml/2006/chartDrawing">
    <cdr:from>
      <cdr:x>0.90078</cdr:x>
      <cdr:y>0.06857</cdr:y>
    </cdr:from>
    <cdr:to>
      <cdr:x>1</cdr:x>
      <cdr:y>0.11058</cdr:y>
    </cdr:to>
    <cdr:sp macro="" textlink="">
      <cdr:nvSpPr>
        <cdr:cNvPr id="3" name="Line2" hidden="1"/>
        <cdr:cNvSpPr txBox="1"/>
      </cdr:nvSpPr>
      <cdr:spPr>
        <a:xfrm xmlns:a="http://schemas.openxmlformats.org/drawingml/2006/main">
          <a:off x="7806984" y="431800"/>
          <a:ext cx="859979" cy="264560"/>
        </a:xfrm>
        <a:prstGeom xmlns:a="http://schemas.openxmlformats.org/drawingml/2006/main" prst="rect">
          <a:avLst/>
        </a:prstGeom>
      </cdr:spPr>
      <cdr:txBody>
        <a:bodyPr xmlns:a="http://schemas.openxmlformats.org/drawingml/2006/main" vertOverflow="clip" vert="horz" wrap="none" rtlCol="0">
          <a:spAutoFit/>
        </a:bodyPr>
        <a:lstStyle xmlns:a="http://schemas.openxmlformats.org/drawingml/2006/main"/>
        <a:p xmlns:a="http://schemas.openxmlformats.org/drawingml/2006/main">
          <a:r>
            <a:rPr lang="en-US" sz="1100"/>
            <a:t>16711935 1</a:t>
          </a:r>
        </a:p>
      </cdr:txBody>
    </cdr:sp>
  </cdr:relSizeAnchor>
  <cdr:relSizeAnchor xmlns:cdr="http://schemas.openxmlformats.org/drawingml/2006/chartDrawing">
    <cdr:from>
      <cdr:x>0.90902</cdr:x>
      <cdr:y>0.06857</cdr:y>
    </cdr:from>
    <cdr:to>
      <cdr:x>1</cdr:x>
      <cdr:y>0.11058</cdr:y>
    </cdr:to>
    <cdr:sp macro="" textlink="">
      <cdr:nvSpPr>
        <cdr:cNvPr id="4" name="Line3" hidden="1"/>
        <cdr:cNvSpPr txBox="1"/>
      </cdr:nvSpPr>
      <cdr:spPr>
        <a:xfrm xmlns:a="http://schemas.openxmlformats.org/drawingml/2006/main">
          <a:off x="7878477" y="431800"/>
          <a:ext cx="788486" cy="264560"/>
        </a:xfrm>
        <a:prstGeom xmlns:a="http://schemas.openxmlformats.org/drawingml/2006/main" prst="rect">
          <a:avLst/>
        </a:prstGeom>
      </cdr:spPr>
      <cdr:txBody>
        <a:bodyPr xmlns:a="http://schemas.openxmlformats.org/drawingml/2006/main" vertOverflow="clip" vert="horz" wrap="none" rtlCol="0">
          <a:spAutoFit/>
        </a:bodyPr>
        <a:lstStyle xmlns:a="http://schemas.openxmlformats.org/drawingml/2006/main"/>
        <a:p xmlns:a="http://schemas.openxmlformats.org/drawingml/2006/main">
          <a:r>
            <a:rPr lang="en-US" sz="1100"/>
            <a:t>8388608 2</a:t>
          </a:r>
        </a:p>
      </cdr:txBody>
    </cdr:sp>
  </cdr:relSizeAnchor>
  <cdr:relSizeAnchor xmlns:cdr="http://schemas.openxmlformats.org/drawingml/2006/chartDrawing">
    <cdr:from>
      <cdr:x>0.92552</cdr:x>
      <cdr:y>0.06857</cdr:y>
    </cdr:from>
    <cdr:to>
      <cdr:x>1</cdr:x>
      <cdr:y>0.11058</cdr:y>
    </cdr:to>
    <cdr:sp macro="" textlink="">
      <cdr:nvSpPr>
        <cdr:cNvPr id="5" name="Line4" hidden="1"/>
        <cdr:cNvSpPr txBox="1"/>
      </cdr:nvSpPr>
      <cdr:spPr>
        <a:xfrm xmlns:a="http://schemas.openxmlformats.org/drawingml/2006/main">
          <a:off x="8021465" y="431800"/>
          <a:ext cx="645498" cy="264560"/>
        </a:xfrm>
        <a:prstGeom xmlns:a="http://schemas.openxmlformats.org/drawingml/2006/main" prst="rect">
          <a:avLst/>
        </a:prstGeom>
      </cdr:spPr>
      <cdr:txBody>
        <a:bodyPr xmlns:a="http://schemas.openxmlformats.org/drawingml/2006/main" vertOverflow="clip" vert="horz" wrap="none" rtlCol="0">
          <a:spAutoFit/>
        </a:bodyPr>
        <a:lstStyle xmlns:a="http://schemas.openxmlformats.org/drawingml/2006/main"/>
        <a:p xmlns:a="http://schemas.openxmlformats.org/drawingml/2006/main">
          <a:r>
            <a:rPr lang="en-US" sz="1100"/>
            <a:t>52479 8</a:t>
          </a:r>
        </a:p>
      </cdr:txBody>
    </cdr:sp>
  </cdr:relSizeAnchor>
  <cdr:relSizeAnchor xmlns:cdr="http://schemas.openxmlformats.org/drawingml/2006/chartDrawing">
    <cdr:from>
      <cdr:x>0.90557</cdr:x>
      <cdr:y>0.06857</cdr:y>
    </cdr:from>
    <cdr:to>
      <cdr:x>1</cdr:x>
      <cdr:y>0.22163</cdr:y>
    </cdr:to>
    <cdr:sp macro="" textlink="">
      <cdr:nvSpPr>
        <cdr:cNvPr id="6" name="data location" hidden="1"/>
        <cdr:cNvSpPr txBox="1"/>
      </cdr:nvSpPr>
      <cdr:spPr>
        <a:xfrm xmlns:a="http://schemas.openxmlformats.org/drawingml/2006/main">
          <a:off x="5528980" y="243617"/>
          <a:ext cx="576568" cy="543803"/>
        </a:xfrm>
        <a:prstGeom xmlns:a="http://schemas.openxmlformats.org/drawingml/2006/main" prst="rect">
          <a:avLst/>
        </a:prstGeom>
      </cdr:spPr>
      <cdr:txBody>
        <a:bodyPr xmlns:a="http://schemas.openxmlformats.org/drawingml/2006/main" vertOverflow="clip" vert="horz" wrap="none" rtlCol="0">
          <a:spAutoFit/>
        </a:bodyPr>
        <a:lstStyle xmlns:a="http://schemas.openxmlformats.org/drawingml/2006/main"/>
        <a:p xmlns:a="http://schemas.openxmlformats.org/drawingml/2006/main">
          <a:fld id="{93014493-75A6-4F37-B141-DE622960E648}" type="TxLink">
            <a:rPr lang="en-US" sz="1000" b="0" i="0" u="none" strike="noStrike">
              <a:solidFill>
                <a:srgbClr val="000000"/>
              </a:solidFill>
              <a:latin typeface="Arial"/>
              <a:cs typeface="Arial"/>
            </a:rPr>
            <a:pPr/>
            <a:t>X Axis
labels
(down)</a:t>
          </a:fld>
          <a:endParaRPr lang="en-US" sz="1100"/>
        </a:p>
      </cdr:txBody>
    </cdr:sp>
  </cdr:relSizeAnchor>
  <cdr:relSizeAnchor xmlns:cdr="http://schemas.openxmlformats.org/drawingml/2006/chartDrawing">
    <cdr:from>
      <cdr:x>0.97044</cdr:x>
      <cdr:y>0.06857</cdr:y>
    </cdr:from>
    <cdr:to>
      <cdr:x>1</cdr:x>
      <cdr:y>0.11058</cdr:y>
    </cdr:to>
    <cdr:sp macro="" textlink="">
      <cdr:nvSpPr>
        <cdr:cNvPr id="7" name="ShowOnBottom" hidden="1"/>
        <cdr:cNvSpPr txBox="1"/>
      </cdr:nvSpPr>
      <cdr:spPr>
        <a:xfrm xmlns:a="http://schemas.openxmlformats.org/drawingml/2006/main">
          <a:off x="8410803" y="431800"/>
          <a:ext cx="256160" cy="264560"/>
        </a:xfrm>
        <a:prstGeom xmlns:a="http://schemas.openxmlformats.org/drawingml/2006/main" prst="rect">
          <a:avLst/>
        </a:prstGeom>
      </cdr:spPr>
      <cdr:txBody>
        <a:bodyPr xmlns:a="http://schemas.openxmlformats.org/drawingml/2006/main" vertOverflow="clip" vert="horz" wrap="none" rtlCol="0">
          <a:spAutoFit/>
        </a:bodyPr>
        <a:lstStyle xmlns:a="http://schemas.openxmlformats.org/drawingml/2006/main"/>
        <a:p xmlns:a="http://schemas.openxmlformats.org/drawingml/2006/main">
          <a:r>
            <a:rPr lang="en-US" sz="1100"/>
            <a:t>1</a:t>
          </a:r>
        </a:p>
      </cdr:txBody>
    </cdr:sp>
  </cdr:relSizeAnchor>
  <cdr:relSizeAnchor xmlns:cdr="http://schemas.openxmlformats.org/drawingml/2006/chartDrawing">
    <cdr:from>
      <cdr:x>0.97044</cdr:x>
      <cdr:y>0.06857</cdr:y>
    </cdr:from>
    <cdr:to>
      <cdr:x>1</cdr:x>
      <cdr:y>0.11058</cdr:y>
    </cdr:to>
    <cdr:sp macro="" textlink="">
      <cdr:nvSpPr>
        <cdr:cNvPr id="8" name="showonTop" hidden="1"/>
        <cdr:cNvSpPr txBox="1"/>
      </cdr:nvSpPr>
      <cdr:spPr>
        <a:xfrm xmlns:a="http://schemas.openxmlformats.org/drawingml/2006/main">
          <a:off x="8410803" y="431800"/>
          <a:ext cx="256160" cy="264560"/>
        </a:xfrm>
        <a:prstGeom xmlns:a="http://schemas.openxmlformats.org/drawingml/2006/main" prst="rect">
          <a:avLst/>
        </a:prstGeom>
      </cdr:spPr>
      <cdr:txBody>
        <a:bodyPr xmlns:a="http://schemas.openxmlformats.org/drawingml/2006/main" vertOverflow="clip" vert="horz" wrap="none" rtlCol="0">
          <a:spAutoFit/>
        </a:bodyPr>
        <a:lstStyle xmlns:a="http://schemas.openxmlformats.org/drawingml/2006/main"/>
        <a:p xmlns:a="http://schemas.openxmlformats.org/drawingml/2006/main">
          <a:r>
            <a:rPr lang="en-US" sz="1100"/>
            <a:t>0</a:t>
          </a:r>
        </a:p>
      </cdr:txBody>
    </cdr:sp>
  </cdr:relSizeAnchor>
  <cdr:relSizeAnchor xmlns:cdr="http://schemas.openxmlformats.org/drawingml/2006/chartDrawing">
    <cdr:from>
      <cdr:x>0.97044</cdr:x>
      <cdr:y>0.06857</cdr:y>
    </cdr:from>
    <cdr:to>
      <cdr:x>1</cdr:x>
      <cdr:y>0.11058</cdr:y>
    </cdr:to>
    <cdr:sp macro="" textlink="">
      <cdr:nvSpPr>
        <cdr:cNvPr id="9" name="AxisLabels" hidden="1"/>
        <cdr:cNvSpPr txBox="1"/>
      </cdr:nvSpPr>
      <cdr:spPr>
        <a:xfrm xmlns:a="http://schemas.openxmlformats.org/drawingml/2006/main">
          <a:off x="8410803" y="431800"/>
          <a:ext cx="256160" cy="264560"/>
        </a:xfrm>
        <a:prstGeom xmlns:a="http://schemas.openxmlformats.org/drawingml/2006/main" prst="rect">
          <a:avLst/>
        </a:prstGeom>
      </cdr:spPr>
      <cdr:txBody>
        <a:bodyPr xmlns:a="http://schemas.openxmlformats.org/drawingml/2006/main" vertOverflow="clip" vert="horz" wrap="none" rtlCol="0">
          <a:spAutoFit/>
        </a:bodyPr>
        <a:lstStyle xmlns:a="http://schemas.openxmlformats.org/drawingml/2006/main"/>
        <a:p xmlns:a="http://schemas.openxmlformats.org/drawingml/2006/main">
          <a:r>
            <a:rPr lang="en-US" sz="1100"/>
            <a:t>1</a:t>
          </a:r>
        </a:p>
      </cdr:txBody>
    </cdr:sp>
  </cdr:relSizeAnchor>
  <cdr:relSizeAnchor xmlns:cdr="http://schemas.openxmlformats.org/drawingml/2006/chartDrawing">
    <cdr:from>
      <cdr:x>0.97044</cdr:x>
      <cdr:y>0.06857</cdr:y>
    </cdr:from>
    <cdr:to>
      <cdr:x>1</cdr:x>
      <cdr:y>0.11058</cdr:y>
    </cdr:to>
    <cdr:sp macro="" textlink="">
      <cdr:nvSpPr>
        <cdr:cNvPr id="10" name="LineCount" hidden="1"/>
        <cdr:cNvSpPr txBox="1"/>
      </cdr:nvSpPr>
      <cdr:spPr>
        <a:xfrm xmlns:a="http://schemas.openxmlformats.org/drawingml/2006/main">
          <a:off x="8410803" y="431800"/>
          <a:ext cx="256160" cy="264560"/>
        </a:xfrm>
        <a:prstGeom xmlns:a="http://schemas.openxmlformats.org/drawingml/2006/main" prst="rect">
          <a:avLst/>
        </a:prstGeom>
      </cdr:spPr>
      <cdr:txBody>
        <a:bodyPr xmlns:a="http://schemas.openxmlformats.org/drawingml/2006/main" vertOverflow="clip" vert="horz" wrap="none" rtlCol="0">
          <a:spAutoFit/>
        </a:bodyPr>
        <a:lstStyle xmlns:a="http://schemas.openxmlformats.org/drawingml/2006/main"/>
        <a:p xmlns:a="http://schemas.openxmlformats.org/drawingml/2006/main">
          <a:r>
            <a:rPr lang="en-US" sz="1100"/>
            <a:t>8</a:t>
          </a:r>
        </a:p>
      </cdr:txBody>
    </cdr:sp>
  </cdr:relSizeAnchor>
  <cdr:relSizeAnchor xmlns:cdr="http://schemas.openxmlformats.org/drawingml/2006/chartDrawing">
    <cdr:from>
      <cdr:x>0.97044</cdr:x>
      <cdr:y>0.06857</cdr:y>
    </cdr:from>
    <cdr:to>
      <cdr:x>1</cdr:x>
      <cdr:y>0.11058</cdr:y>
    </cdr:to>
    <cdr:sp macro="" textlink="">
      <cdr:nvSpPr>
        <cdr:cNvPr id="11" name="LineWeight" hidden="1"/>
        <cdr:cNvSpPr txBox="1"/>
      </cdr:nvSpPr>
      <cdr:spPr>
        <a:xfrm xmlns:a="http://schemas.openxmlformats.org/drawingml/2006/main">
          <a:off x="8410803" y="431800"/>
          <a:ext cx="256160" cy="264560"/>
        </a:xfrm>
        <a:prstGeom xmlns:a="http://schemas.openxmlformats.org/drawingml/2006/main" prst="rect">
          <a:avLst/>
        </a:prstGeom>
      </cdr:spPr>
      <cdr:txBody>
        <a:bodyPr xmlns:a="http://schemas.openxmlformats.org/drawingml/2006/main" vertOverflow="clip" vert="horz" wrap="none" rtlCol="0">
          <a:spAutoFit/>
        </a:bodyPr>
        <a:lstStyle xmlns:a="http://schemas.openxmlformats.org/drawingml/2006/main"/>
        <a:p xmlns:a="http://schemas.openxmlformats.org/drawingml/2006/main">
          <a:r>
            <a:rPr lang="en-US" sz="1100"/>
            <a:t>3</a:t>
          </a:r>
        </a:p>
      </cdr:txBody>
    </cdr:sp>
  </cdr:relSizeAnchor>
</c:userShapes>
</file>

<file path=word/drawings/drawing13.xml><?xml version="1.0" encoding="utf-8"?>
<c:userShapes xmlns:c="http://schemas.openxmlformats.org/drawingml/2006/chart">
  <cdr:relSizeAnchor xmlns:cdr="http://schemas.openxmlformats.org/drawingml/2006/chartDrawing">
    <cdr:from>
      <cdr:x>0.16206</cdr:x>
      <cdr:y>0.1177</cdr:y>
    </cdr:from>
    <cdr:to>
      <cdr:x>0.89011</cdr:x>
      <cdr:y>0.1177</cdr:y>
    </cdr:to>
    <cdr:cxnSp macro="">
      <cdr:nvCxnSpPr>
        <cdr:cNvPr id="3" name="Straight Connector 2"/>
        <cdr:cNvCxnSpPr/>
      </cdr:nvCxnSpPr>
      <cdr:spPr>
        <a:xfrm xmlns:a="http://schemas.openxmlformats.org/drawingml/2006/main" flipV="1">
          <a:off x="551073" y="254498"/>
          <a:ext cx="2475679" cy="0"/>
        </a:xfrm>
        <a:prstGeom xmlns:a="http://schemas.openxmlformats.org/drawingml/2006/main" prst="line">
          <a:avLst/>
        </a:prstGeom>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cxnSp>
  </cdr:relSizeAnchor>
</c:userShapes>
</file>

<file path=word/drawings/drawing14.xml><?xml version="1.0" encoding="utf-8"?>
<c:userShapes xmlns:c="http://schemas.openxmlformats.org/drawingml/2006/chart">
  <cdr:relSizeAnchor xmlns:cdr="http://schemas.openxmlformats.org/drawingml/2006/chartDrawing">
    <cdr:from>
      <cdr:x>0.19098</cdr:x>
      <cdr:y>0.26908</cdr:y>
    </cdr:from>
    <cdr:to>
      <cdr:x>0.91902</cdr:x>
      <cdr:y>0.26908</cdr:y>
    </cdr:to>
    <cdr:cxnSp macro="">
      <cdr:nvCxnSpPr>
        <cdr:cNvPr id="2" name="Straight Connector 1"/>
        <cdr:cNvCxnSpPr/>
      </cdr:nvCxnSpPr>
      <cdr:spPr>
        <a:xfrm xmlns:a="http://schemas.openxmlformats.org/drawingml/2006/main" flipV="1">
          <a:off x="698513" y="579234"/>
          <a:ext cx="2662879" cy="0"/>
        </a:xfrm>
        <a:prstGeom xmlns:a="http://schemas.openxmlformats.org/drawingml/2006/main" prst="line">
          <a:avLst/>
        </a:prstGeom>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cxnSp>
  </cdr:relSizeAnchor>
</c:userShapes>
</file>

<file path=word/drawings/drawing15.xml><?xml version="1.0" encoding="utf-8"?>
<c:userShapes xmlns:c="http://schemas.openxmlformats.org/drawingml/2006/chart">
  <cdr:relSizeAnchor xmlns:cdr="http://schemas.openxmlformats.org/drawingml/2006/chartDrawing">
    <cdr:from>
      <cdr:x>0.20208</cdr:x>
      <cdr:y>0.15687</cdr:y>
    </cdr:from>
    <cdr:to>
      <cdr:x>0.93012</cdr:x>
      <cdr:y>0.15687</cdr:y>
    </cdr:to>
    <cdr:cxnSp macro="">
      <cdr:nvCxnSpPr>
        <cdr:cNvPr id="2" name="Straight Connector 1"/>
        <cdr:cNvCxnSpPr/>
      </cdr:nvCxnSpPr>
      <cdr:spPr>
        <a:xfrm xmlns:a="http://schemas.openxmlformats.org/drawingml/2006/main" flipV="1">
          <a:off x="635188" y="340681"/>
          <a:ext cx="2288412" cy="0"/>
        </a:xfrm>
        <a:prstGeom xmlns:a="http://schemas.openxmlformats.org/drawingml/2006/main" prst="line">
          <a:avLst/>
        </a:prstGeom>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cxnSp>
  </cdr:relSizeAnchor>
  <cdr:relSizeAnchor xmlns:cdr="http://schemas.openxmlformats.org/drawingml/2006/chartDrawing">
    <cdr:from>
      <cdr:x>0.05489</cdr:x>
      <cdr:y>0</cdr:y>
    </cdr:from>
    <cdr:to>
      <cdr:x>0.26895</cdr:x>
      <cdr:y>0.11917</cdr:y>
    </cdr:to>
    <cdr:sp macro="" textlink="">
      <cdr:nvSpPr>
        <cdr:cNvPr id="3" name="Text Box 2"/>
        <cdr:cNvSpPr txBox="1"/>
      </cdr:nvSpPr>
      <cdr:spPr>
        <a:xfrm xmlns:a="http://schemas.openxmlformats.org/drawingml/2006/main">
          <a:off x="172528" y="0"/>
          <a:ext cx="672860" cy="25879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en-US" sz="1100" b="1">
              <a:solidFill>
                <a:schemeClr val="tx2"/>
              </a:solidFill>
              <a:effectLst>
                <a:outerShdw blurRad="50800" dist="38100" dir="2700000" algn="tl" rotWithShape="0">
                  <a:prstClr val="black">
                    <a:alpha val="40000"/>
                  </a:prstClr>
                </a:outerShdw>
              </a:effectLst>
            </a:rPr>
            <a:t>A. FY13</a:t>
          </a:r>
        </a:p>
      </cdr:txBody>
    </cdr:sp>
  </cdr:relSizeAnchor>
</c:userShapes>
</file>

<file path=word/drawings/drawing16.xml><?xml version="1.0" encoding="utf-8"?>
<c:userShapes xmlns:c="http://schemas.openxmlformats.org/drawingml/2006/chart">
  <cdr:relSizeAnchor xmlns:cdr="http://schemas.openxmlformats.org/drawingml/2006/chartDrawing">
    <cdr:from>
      <cdr:x>0.19423</cdr:x>
      <cdr:y>0.11174</cdr:y>
    </cdr:from>
    <cdr:to>
      <cdr:x>0.92227</cdr:x>
      <cdr:y>0.11174</cdr:y>
    </cdr:to>
    <cdr:cxnSp macro="">
      <cdr:nvCxnSpPr>
        <cdr:cNvPr id="2" name="Straight Connector 1"/>
        <cdr:cNvCxnSpPr/>
      </cdr:nvCxnSpPr>
      <cdr:spPr>
        <a:xfrm xmlns:a="http://schemas.openxmlformats.org/drawingml/2006/main" flipV="1">
          <a:off x="634937" y="242875"/>
          <a:ext cx="2379948" cy="0"/>
        </a:xfrm>
        <a:prstGeom xmlns:a="http://schemas.openxmlformats.org/drawingml/2006/main" prst="line">
          <a:avLst/>
        </a:prstGeom>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cxnSp>
  </cdr:relSizeAnchor>
  <cdr:relSizeAnchor xmlns:cdr="http://schemas.openxmlformats.org/drawingml/2006/chartDrawing">
    <cdr:from>
      <cdr:x>0.3797</cdr:x>
      <cdr:y>0.02337</cdr:y>
    </cdr:from>
    <cdr:to>
      <cdr:x>0.60665</cdr:x>
      <cdr:y>0.14243</cdr:y>
    </cdr:to>
    <cdr:sp macro="" textlink="">
      <cdr:nvSpPr>
        <cdr:cNvPr id="3" name="Text Box 1"/>
        <cdr:cNvSpPr txBox="1"/>
      </cdr:nvSpPr>
      <cdr:spPr>
        <a:xfrm xmlns:a="http://schemas.openxmlformats.org/drawingml/2006/main">
          <a:off x="1241245" y="50801"/>
          <a:ext cx="741872" cy="258792"/>
        </a:xfrm>
        <a:prstGeom xmlns:a="http://schemas.openxmlformats.org/drawingml/2006/main" prst="rect">
          <a:avLst/>
        </a:prstGeom>
      </cdr:spPr>
    </cdr:sp>
  </cdr:relSizeAnchor>
  <cdr:relSizeAnchor xmlns:cdr="http://schemas.openxmlformats.org/drawingml/2006/chartDrawing">
    <cdr:from>
      <cdr:x>0.08181</cdr:x>
      <cdr:y>0</cdr:y>
    </cdr:from>
    <cdr:to>
      <cdr:x>0.29555</cdr:x>
      <cdr:y>0.10716</cdr:y>
    </cdr:to>
    <cdr:sp macro="" textlink="">
      <cdr:nvSpPr>
        <cdr:cNvPr id="5" name="Text Box 4"/>
        <cdr:cNvSpPr txBox="1"/>
      </cdr:nvSpPr>
      <cdr:spPr>
        <a:xfrm xmlns:a="http://schemas.openxmlformats.org/drawingml/2006/main">
          <a:off x="267420" y="0"/>
          <a:ext cx="698739" cy="23291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en-US" sz="1100" b="1">
              <a:solidFill>
                <a:schemeClr val="tx2"/>
              </a:solidFill>
              <a:effectLst>
                <a:outerShdw blurRad="50800" dist="38100" dir="2700000" algn="tl" rotWithShape="0">
                  <a:prstClr val="black">
                    <a:alpha val="40000"/>
                  </a:prstClr>
                </a:outerShdw>
              </a:effectLst>
            </a:rPr>
            <a:t>B. FY14</a:t>
          </a:r>
        </a:p>
      </cdr:txBody>
    </cdr:sp>
  </cdr:relSizeAnchor>
</c:userShapes>
</file>

<file path=word/drawings/drawing17.xml><?xml version="1.0" encoding="utf-8"?>
<c:userShapes xmlns:c="http://schemas.openxmlformats.org/drawingml/2006/chart">
  <cdr:relSizeAnchor xmlns:cdr="http://schemas.openxmlformats.org/drawingml/2006/chartDrawing">
    <cdr:from>
      <cdr:x>0.31316</cdr:x>
      <cdr:y>0.04792</cdr:y>
    </cdr:from>
    <cdr:to>
      <cdr:x>0.71256</cdr:x>
      <cdr:y>0.23252</cdr:y>
    </cdr:to>
    <cdr:sp macro="" textlink="">
      <cdr:nvSpPr>
        <cdr:cNvPr id="29698" name="Text Box 2"/>
        <cdr:cNvSpPr txBox="1">
          <a:spLocks xmlns:a="http://schemas.openxmlformats.org/drawingml/2006/main" noChangeArrowheads="1"/>
        </cdr:cNvSpPr>
      </cdr:nvSpPr>
      <cdr:spPr bwMode="auto">
        <a:xfrm xmlns:a="http://schemas.openxmlformats.org/drawingml/2006/main">
          <a:off x="2023366" y="129780"/>
          <a:ext cx="2580573" cy="499947"/>
        </a:xfrm>
        <a:prstGeom xmlns:a="http://schemas.openxmlformats.org/drawingml/2006/main" prst="rect">
          <a:avLst/>
        </a:prstGeom>
        <a:noFill xmlns:a="http://schemas.openxmlformats.org/drawingml/2006/main"/>
        <a:ln xmlns:a="http://schemas.openxmlformats.org/drawingml/2006/main">
          <a:headEnd/>
          <a:tailEnd/>
        </a:ln>
      </cdr:spPr>
      <cdr:style>
        <a:lnRef xmlns:a="http://schemas.openxmlformats.org/drawingml/2006/main" idx="0">
          <a:schemeClr val="accent2"/>
        </a:lnRef>
        <a:fillRef xmlns:a="http://schemas.openxmlformats.org/drawingml/2006/main" idx="3">
          <a:schemeClr val="accent2"/>
        </a:fillRef>
        <a:effectRef xmlns:a="http://schemas.openxmlformats.org/drawingml/2006/main" idx="3">
          <a:schemeClr val="accent2"/>
        </a:effectRef>
        <a:fontRef xmlns:a="http://schemas.openxmlformats.org/drawingml/2006/main" idx="minor">
          <a:schemeClr val="lt1"/>
        </a:fontRef>
      </cdr:style>
      <cdr:txBody>
        <a:bodyPr xmlns:a="http://schemas.openxmlformats.org/drawingml/2006/main" vertOverflow="clip" wrap="square" lIns="27432" tIns="22860" rIns="0" bIns="0" anchor="t" upright="1"/>
        <a:lstStyle xmlns:a="http://schemas.openxmlformats.org/drawingml/2006/main"/>
        <a:p xmlns:a="http://schemas.openxmlformats.org/drawingml/2006/main">
          <a:pPr algn="ctr" rtl="0">
            <a:defRPr sz="1000"/>
          </a:pPr>
          <a:r>
            <a:rPr lang="en-US" sz="1100" b="1" i="1" u="sng" strike="noStrike" baseline="0">
              <a:solidFill>
                <a:srgbClr val="C00000"/>
              </a:solidFill>
              <a:latin typeface="+mn-lt"/>
              <a:cs typeface="Arial"/>
            </a:rPr>
            <a:t>n= 278</a:t>
          </a:r>
        </a:p>
        <a:p xmlns:a="http://schemas.openxmlformats.org/drawingml/2006/main">
          <a:pPr algn="ctr" rtl="0">
            <a:defRPr sz="1000"/>
          </a:pPr>
          <a:r>
            <a:rPr lang="en-US" sz="1100" b="1" i="1" u="none" strike="noStrike" baseline="0">
              <a:solidFill>
                <a:srgbClr val="C00000"/>
              </a:solidFill>
              <a:latin typeface="+mn-lt"/>
              <a:cs typeface="Arial"/>
            </a:rPr>
            <a:t>&gt;=1 Diagnosis on Axis-III: 241 (87%)</a:t>
          </a:r>
        </a:p>
      </cdr:txBody>
    </cdr:sp>
  </cdr:relSizeAnchor>
</c:userShapes>
</file>

<file path=word/drawings/drawing18.xml><?xml version="1.0" encoding="utf-8"?>
<c:userShapes xmlns:c="http://schemas.openxmlformats.org/drawingml/2006/chart">
  <cdr:relSizeAnchor xmlns:cdr="http://schemas.openxmlformats.org/drawingml/2006/chartDrawing">
    <cdr:from>
      <cdr:x>0.41966</cdr:x>
      <cdr:y>0.49008</cdr:y>
    </cdr:from>
    <cdr:to>
      <cdr:x>0.67938</cdr:x>
      <cdr:y>0.55898</cdr:y>
    </cdr:to>
    <cdr:cxnSp macro="">
      <cdr:nvCxnSpPr>
        <cdr:cNvPr id="3" name="Straight Arrow Connector 2"/>
        <cdr:cNvCxnSpPr/>
      </cdr:nvCxnSpPr>
      <cdr:spPr>
        <a:xfrm xmlns:a="http://schemas.openxmlformats.org/drawingml/2006/main" flipV="1">
          <a:off x="1590892" y="1624464"/>
          <a:ext cx="984585" cy="228382"/>
        </a:xfrm>
        <a:prstGeom xmlns:a="http://schemas.openxmlformats.org/drawingml/2006/main" prst="straightConnector1">
          <a:avLst/>
        </a:prstGeom>
        <a:ln xmlns:a="http://schemas.openxmlformats.org/drawingml/2006/main">
          <a:tailEnd type="arrow"/>
        </a:ln>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cxnSp>
  </cdr:relSizeAnchor>
  <cdr:relSizeAnchor xmlns:cdr="http://schemas.openxmlformats.org/drawingml/2006/chartDrawing">
    <cdr:from>
      <cdr:x>0.85427</cdr:x>
      <cdr:y>0.52959</cdr:y>
    </cdr:from>
    <cdr:to>
      <cdr:x>0.98744</cdr:x>
      <cdr:y>0.91471</cdr:y>
    </cdr:to>
    <cdr:sp macro="" textlink="">
      <cdr:nvSpPr>
        <cdr:cNvPr id="6" name="Down Arrow 5"/>
        <cdr:cNvSpPr/>
      </cdr:nvSpPr>
      <cdr:spPr>
        <a:xfrm xmlns:a="http://schemas.openxmlformats.org/drawingml/2006/main">
          <a:off x="3238500" y="1715082"/>
          <a:ext cx="504825" cy="1247194"/>
        </a:xfrm>
        <a:prstGeom xmlns:a="http://schemas.openxmlformats.org/drawingml/2006/main" prst="downArrow">
          <a:avLst/>
        </a:prstGeom>
        <a:gradFill xmlns:a="http://schemas.openxmlformats.org/drawingml/2006/main">
          <a:gsLst>
            <a:gs pos="0">
              <a:schemeClr val="accent2"/>
            </a:gs>
            <a:gs pos="35000">
              <a:schemeClr val="accent2">
                <a:tint val="37000"/>
                <a:satMod val="300000"/>
              </a:schemeClr>
            </a:gs>
            <a:gs pos="100000">
              <a:schemeClr val="accent2">
                <a:tint val="15000"/>
                <a:satMod val="350000"/>
              </a:schemeClr>
            </a:gs>
          </a:gsLst>
        </a:gradFill>
      </cdr:spPr>
      <cdr:style>
        <a:lnRef xmlns:a="http://schemas.openxmlformats.org/drawingml/2006/main" idx="1">
          <a:schemeClr val="accent2"/>
        </a:lnRef>
        <a:fillRef xmlns:a="http://schemas.openxmlformats.org/drawingml/2006/main" idx="2">
          <a:schemeClr val="accent2"/>
        </a:fillRef>
        <a:effectRef xmlns:a="http://schemas.openxmlformats.org/drawingml/2006/main" idx="1">
          <a:schemeClr val="accent2"/>
        </a:effectRef>
        <a:fontRef xmlns:a="http://schemas.openxmlformats.org/drawingml/2006/main" idx="minor">
          <a:schemeClr val="dk1"/>
        </a:fontRef>
      </cdr:style>
      <cdr:txBody>
        <a:bodyPr xmlns:a="http://schemas.openxmlformats.org/drawingml/2006/main" vertOverflow="clip" vert="vert" anchor="ctr"/>
        <a:lstStyle xmlns:a="http://schemas.openxmlformats.org/drawingml/2006/main"/>
        <a:p xmlns:a="http://schemas.openxmlformats.org/drawingml/2006/main">
          <a:pPr algn="ctr"/>
          <a:r>
            <a:rPr lang="en-US" sz="900" b="1">
              <a:solidFill>
                <a:schemeClr val="accent2">
                  <a:lumMod val="50000"/>
                </a:schemeClr>
              </a:solidFill>
            </a:rPr>
            <a:t>Lower Functioning</a:t>
          </a:r>
        </a:p>
      </cdr:txBody>
    </cdr:sp>
  </cdr:relSizeAnchor>
  <cdr:relSizeAnchor xmlns:cdr="http://schemas.openxmlformats.org/drawingml/2006/chartDrawing">
    <cdr:from>
      <cdr:x>0.85678</cdr:x>
      <cdr:y>0.10021</cdr:y>
    </cdr:from>
    <cdr:to>
      <cdr:x>0.98744</cdr:x>
      <cdr:y>0.47647</cdr:y>
    </cdr:to>
    <cdr:sp macro="" textlink="">
      <cdr:nvSpPr>
        <cdr:cNvPr id="9" name="Down Arrow 8"/>
        <cdr:cNvSpPr/>
      </cdr:nvSpPr>
      <cdr:spPr>
        <a:xfrm xmlns:a="http://schemas.openxmlformats.org/drawingml/2006/main" rot="10800000">
          <a:off x="3248023" y="324526"/>
          <a:ext cx="495301" cy="1218521"/>
        </a:xfrm>
        <a:prstGeom xmlns:a="http://schemas.openxmlformats.org/drawingml/2006/main" prst="downArrow">
          <a:avLst/>
        </a:prstGeom>
        <a:gradFill xmlns:a="http://schemas.openxmlformats.org/drawingml/2006/main">
          <a:gsLst>
            <a:gs pos="0">
              <a:schemeClr val="accent3"/>
            </a:gs>
            <a:gs pos="35000">
              <a:schemeClr val="accent3">
                <a:lumMod val="40000"/>
                <a:lumOff val="60000"/>
              </a:schemeClr>
            </a:gs>
            <a:gs pos="100000">
              <a:schemeClr val="accent3">
                <a:lumMod val="20000"/>
                <a:lumOff val="80000"/>
              </a:schemeClr>
            </a:gs>
          </a:gsLst>
        </a:gradFill>
        <a:ln xmlns:a="http://schemas.openxmlformats.org/drawingml/2006/main">
          <a:solidFill>
            <a:schemeClr val="accent3">
              <a:lumMod val="50000"/>
            </a:schemeClr>
          </a:solidFill>
        </a:ln>
      </cdr:spPr>
      <cdr:style>
        <a:lnRef xmlns:a="http://schemas.openxmlformats.org/drawingml/2006/main" idx="1">
          <a:schemeClr val="accent2"/>
        </a:lnRef>
        <a:fillRef xmlns:a="http://schemas.openxmlformats.org/drawingml/2006/main" idx="2">
          <a:schemeClr val="accent2"/>
        </a:fillRef>
        <a:effectRef xmlns:a="http://schemas.openxmlformats.org/drawingml/2006/main" idx="1">
          <a:schemeClr val="accent2"/>
        </a:effectRef>
        <a:fontRef xmlns:a="http://schemas.openxmlformats.org/drawingml/2006/main" idx="minor">
          <a:schemeClr val="dk1"/>
        </a:fontRef>
      </cdr:style>
      <cdr:txBody>
        <a:bodyPr xmlns:a="http://schemas.openxmlformats.org/drawingml/2006/main" vert="vert"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n-US" sz="900" b="1">
              <a:solidFill>
                <a:schemeClr val="accent3">
                  <a:lumMod val="50000"/>
                </a:schemeClr>
              </a:solidFill>
            </a:rPr>
            <a:t>Higher Functioning</a:t>
          </a:r>
        </a:p>
      </cdr:txBody>
    </cdr:sp>
  </cdr:relSizeAnchor>
  <cdr:relSizeAnchor xmlns:cdr="http://schemas.openxmlformats.org/drawingml/2006/chartDrawing">
    <cdr:from>
      <cdr:x>0.72544</cdr:x>
      <cdr:y>0.01706</cdr:y>
    </cdr:from>
    <cdr:to>
      <cdr:x>0.96725</cdr:x>
      <cdr:y>0.1194</cdr:y>
    </cdr:to>
    <cdr:sp macro="" textlink="">
      <cdr:nvSpPr>
        <cdr:cNvPr id="11" name="TextBox 10"/>
        <cdr:cNvSpPr txBox="1"/>
      </cdr:nvSpPr>
      <cdr:spPr>
        <a:xfrm xmlns:a="http://schemas.openxmlformats.org/drawingml/2006/main">
          <a:off x="2743200" y="76201"/>
          <a:ext cx="914400" cy="4572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100" b="1"/>
            <a:t>GAF</a:t>
          </a:r>
          <a:r>
            <a:rPr lang="en-US" sz="1100" b="1" baseline="0"/>
            <a:t> Score Range</a:t>
          </a:r>
          <a:endParaRPr lang="en-US" sz="1100" b="1"/>
        </a:p>
      </cdr:txBody>
    </cdr:sp>
  </cdr:relSizeAnchor>
</c:userShapes>
</file>

<file path=word/drawings/drawing19.xml><?xml version="1.0" encoding="utf-8"?>
<c:userShapes xmlns:c="http://schemas.openxmlformats.org/drawingml/2006/chart">
  <cdr:relSizeAnchor xmlns:cdr="http://schemas.openxmlformats.org/drawingml/2006/chartDrawing">
    <cdr:from>
      <cdr:x>0.74074</cdr:x>
      <cdr:y>0.10133</cdr:y>
    </cdr:from>
    <cdr:to>
      <cdr:x>1</cdr:x>
      <cdr:y>0.17556</cdr:y>
    </cdr:to>
    <cdr:sp macro="" textlink="">
      <cdr:nvSpPr>
        <cdr:cNvPr id="2" name="TextBox 1"/>
        <cdr:cNvSpPr txBox="1"/>
      </cdr:nvSpPr>
      <cdr:spPr>
        <a:xfrm xmlns:a="http://schemas.openxmlformats.org/drawingml/2006/main">
          <a:off x="3132662" y="371573"/>
          <a:ext cx="1096438" cy="27223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100" b="1" u="sng"/>
            <a:t>BMI</a:t>
          </a:r>
        </a:p>
      </cdr:txBody>
    </cdr:sp>
  </cdr:relSizeAnchor>
  <cdr:relSizeAnchor xmlns:cdr="http://schemas.openxmlformats.org/drawingml/2006/chartDrawing">
    <cdr:from>
      <cdr:x>0.43484</cdr:x>
      <cdr:y>0.54465</cdr:y>
    </cdr:from>
    <cdr:to>
      <cdr:x>0.69377</cdr:x>
      <cdr:y>0.59375</cdr:y>
    </cdr:to>
    <cdr:cxnSp macro="">
      <cdr:nvCxnSpPr>
        <cdr:cNvPr id="4" name="Straight Arrow Connector 3"/>
        <cdr:cNvCxnSpPr/>
      </cdr:nvCxnSpPr>
      <cdr:spPr>
        <a:xfrm xmlns:a="http://schemas.openxmlformats.org/drawingml/2006/main">
          <a:off x="1897811" y="2104845"/>
          <a:ext cx="1130060" cy="189781"/>
        </a:xfrm>
        <a:prstGeom xmlns:a="http://schemas.openxmlformats.org/drawingml/2006/main" prst="straightConnector1">
          <a:avLst/>
        </a:prstGeom>
        <a:ln xmlns:a="http://schemas.openxmlformats.org/drawingml/2006/main">
          <a:solidFill>
            <a:srgbClr val="C00000"/>
          </a:solidFill>
          <a:tailEnd type="arrow"/>
        </a:ln>
      </cdr:spPr>
      <cdr:style>
        <a:lnRef xmlns:a="http://schemas.openxmlformats.org/drawingml/2006/main" idx="2">
          <a:schemeClr val="accent2"/>
        </a:lnRef>
        <a:fillRef xmlns:a="http://schemas.openxmlformats.org/drawingml/2006/main" idx="0">
          <a:schemeClr val="accent2"/>
        </a:fillRef>
        <a:effectRef xmlns:a="http://schemas.openxmlformats.org/drawingml/2006/main" idx="1">
          <a:schemeClr val="accent2"/>
        </a:effectRef>
        <a:fontRef xmlns:a="http://schemas.openxmlformats.org/drawingml/2006/main" idx="minor">
          <a:schemeClr val="tx1"/>
        </a:fontRef>
      </cdr:style>
    </cdr:cxnSp>
  </cdr:relSizeAnchor>
  <cdr:relSizeAnchor xmlns:cdr="http://schemas.openxmlformats.org/drawingml/2006/chartDrawing">
    <cdr:from>
      <cdr:x>0.09234</cdr:x>
      <cdr:y>0.60938</cdr:y>
    </cdr:from>
    <cdr:to>
      <cdr:x>0.14429</cdr:x>
      <cdr:y>0.91169</cdr:y>
    </cdr:to>
    <cdr:sp macro="" textlink="">
      <cdr:nvSpPr>
        <cdr:cNvPr id="6" name="Left Brace 5"/>
        <cdr:cNvSpPr/>
      </cdr:nvSpPr>
      <cdr:spPr>
        <a:xfrm xmlns:a="http://schemas.openxmlformats.org/drawingml/2006/main">
          <a:off x="403005" y="2355011"/>
          <a:ext cx="226723" cy="1168315"/>
        </a:xfrm>
        <a:prstGeom xmlns:a="http://schemas.openxmlformats.org/drawingml/2006/main" prst="leftBrace">
          <a:avLst/>
        </a:prstGeom>
        <a:ln xmlns:a="http://schemas.openxmlformats.org/drawingml/2006/main">
          <a:solidFill>
            <a:srgbClr val="C00000"/>
          </a:solidFill>
        </a:ln>
      </cdr:spPr>
      <cdr:style>
        <a:lnRef xmlns:a="http://schemas.openxmlformats.org/drawingml/2006/main" idx="2">
          <a:schemeClr val="accent2"/>
        </a:lnRef>
        <a:fillRef xmlns:a="http://schemas.openxmlformats.org/drawingml/2006/main" idx="0">
          <a:schemeClr val="accent2"/>
        </a:fillRef>
        <a:effectRef xmlns:a="http://schemas.openxmlformats.org/drawingml/2006/main" idx="1">
          <a:schemeClr val="accent2"/>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cdr:x>
      <cdr:y>0.73507</cdr:y>
    </cdr:from>
    <cdr:to>
      <cdr:x>0.11937</cdr:x>
      <cdr:y>0.81039</cdr:y>
    </cdr:to>
    <cdr:sp macro="" textlink="">
      <cdr:nvSpPr>
        <cdr:cNvPr id="9" name="TextBox 8"/>
        <cdr:cNvSpPr txBox="1"/>
      </cdr:nvSpPr>
      <cdr:spPr>
        <a:xfrm xmlns:a="http://schemas.openxmlformats.org/drawingml/2006/main">
          <a:off x="0" y="2695576"/>
          <a:ext cx="504825" cy="2762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solidFill>
                <a:srgbClr val="C00000"/>
              </a:solidFill>
              <a:effectLst>
                <a:glow rad="76200">
                  <a:schemeClr val="accent2">
                    <a:lumMod val="40000"/>
                    <a:lumOff val="60000"/>
                  </a:schemeClr>
                </a:glow>
              </a:effectLst>
            </a:rPr>
            <a:t>35%</a:t>
          </a:r>
        </a:p>
      </cdr:txBody>
    </cdr:sp>
  </cdr:relSizeAnchor>
  <cdr:relSizeAnchor xmlns:cdr="http://schemas.openxmlformats.org/drawingml/2006/chartDrawing">
    <cdr:from>
      <cdr:x>0.72935</cdr:x>
      <cdr:y>0.59822</cdr:y>
    </cdr:from>
    <cdr:to>
      <cdr:x>0.78904</cdr:x>
      <cdr:y>0.90909</cdr:y>
    </cdr:to>
    <cdr:sp macro="" textlink="">
      <cdr:nvSpPr>
        <cdr:cNvPr id="10" name="Left Brace 9"/>
        <cdr:cNvSpPr/>
      </cdr:nvSpPr>
      <cdr:spPr>
        <a:xfrm xmlns:a="http://schemas.openxmlformats.org/drawingml/2006/main" flipH="1">
          <a:off x="3183147" y="2311879"/>
          <a:ext cx="260504" cy="1201399"/>
        </a:xfrm>
        <a:prstGeom xmlns:a="http://schemas.openxmlformats.org/drawingml/2006/main" prst="leftBrace">
          <a:avLst>
            <a:gd name="adj1" fmla="val 8333"/>
            <a:gd name="adj2" fmla="val 19511"/>
          </a:avLst>
        </a:prstGeom>
        <a:ln xmlns:a="http://schemas.openxmlformats.org/drawingml/2006/main">
          <a:solidFill>
            <a:srgbClr val="C00000"/>
          </a:solidFill>
        </a:ln>
      </cdr:spPr>
      <cdr:style>
        <a:lnRef xmlns:a="http://schemas.openxmlformats.org/drawingml/2006/main" idx="2">
          <a:schemeClr val="accent2"/>
        </a:lnRef>
        <a:fillRef xmlns:a="http://schemas.openxmlformats.org/drawingml/2006/main" idx="0">
          <a:schemeClr val="accent2"/>
        </a:fillRef>
        <a:effectRef xmlns:a="http://schemas.openxmlformats.org/drawingml/2006/main" idx="1">
          <a:schemeClr val="accent2"/>
        </a:effectRef>
        <a:fontRef xmlns:a="http://schemas.openxmlformats.org/drawingml/2006/main" idx="minor">
          <a:schemeClr val="tx1"/>
        </a:fontRef>
      </cdr:style>
      <cdr:txBody>
        <a:bodyPr xmlns:a="http://schemas.openxmlformats.org/drawingml/2006/main" wrap="square">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0.78469</cdr:x>
      <cdr:y>0.62185</cdr:y>
    </cdr:from>
    <cdr:to>
      <cdr:x>1</cdr:x>
      <cdr:y>0.69867</cdr:y>
    </cdr:to>
    <cdr:sp macro="" textlink="">
      <cdr:nvSpPr>
        <cdr:cNvPr id="12" name="TextBox 1"/>
        <cdr:cNvSpPr txBox="1"/>
      </cdr:nvSpPr>
      <cdr:spPr>
        <a:xfrm xmlns:a="http://schemas.openxmlformats.org/drawingml/2006/main">
          <a:off x="3424685" y="2403191"/>
          <a:ext cx="939669" cy="29687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b="1" u="sng">
              <a:solidFill>
                <a:srgbClr val="C00000"/>
              </a:solidFill>
              <a:effectLst>
                <a:glow rad="76200">
                  <a:schemeClr val="accent2">
                    <a:lumMod val="40000"/>
                    <a:lumOff val="60000"/>
                  </a:schemeClr>
                </a:glow>
              </a:effectLst>
            </a:rPr>
            <a:t>37%</a:t>
          </a:r>
          <a:r>
            <a:rPr lang="en-US" sz="1200" b="1" u="sng" baseline="0">
              <a:solidFill>
                <a:srgbClr val="C00000"/>
              </a:solidFill>
              <a:effectLst>
                <a:glow rad="76200">
                  <a:schemeClr val="accent2">
                    <a:lumMod val="40000"/>
                    <a:lumOff val="60000"/>
                  </a:schemeClr>
                </a:glow>
              </a:effectLst>
            </a:rPr>
            <a:t> </a:t>
          </a:r>
          <a:r>
            <a:rPr lang="en-US" sz="1200" b="1" u="sng">
              <a:solidFill>
                <a:srgbClr val="C00000"/>
              </a:solidFill>
              <a:effectLst>
                <a:glow rad="76200">
                  <a:schemeClr val="accent2">
                    <a:lumMod val="40000"/>
                    <a:lumOff val="60000"/>
                  </a:schemeClr>
                </a:glow>
              </a:effectLst>
            </a:rPr>
            <a:t>Obese</a:t>
          </a:r>
        </a:p>
      </cdr:txBody>
    </cdr:sp>
  </cdr:relSizeAnchor>
</c:userShapes>
</file>

<file path=word/drawings/drawing2.xml><?xml version="1.0" encoding="utf-8"?>
<c:userShapes xmlns:c="http://schemas.openxmlformats.org/drawingml/2006/chart">
  <cdr:relSizeAnchor xmlns:cdr="http://schemas.openxmlformats.org/drawingml/2006/chartDrawing">
    <cdr:from>
      <cdr:x>0.92552</cdr:x>
      <cdr:y>0.06857</cdr:y>
    </cdr:from>
    <cdr:to>
      <cdr:x>1</cdr:x>
      <cdr:y>0.11058</cdr:y>
    </cdr:to>
    <cdr:sp macro="" textlink="">
      <cdr:nvSpPr>
        <cdr:cNvPr id="2" name="Line1" hidden="1"/>
        <cdr:cNvSpPr txBox="1"/>
      </cdr:nvSpPr>
      <cdr:spPr>
        <a:xfrm xmlns:a="http://schemas.openxmlformats.org/drawingml/2006/main">
          <a:off x="8021465" y="431800"/>
          <a:ext cx="645498" cy="264560"/>
        </a:xfrm>
        <a:prstGeom xmlns:a="http://schemas.openxmlformats.org/drawingml/2006/main" prst="rect">
          <a:avLst/>
        </a:prstGeom>
      </cdr:spPr>
      <cdr:txBody>
        <a:bodyPr xmlns:a="http://schemas.openxmlformats.org/drawingml/2006/main" vertOverflow="clip" vert="horz" wrap="none" rtlCol="0">
          <a:spAutoFit/>
        </a:bodyPr>
        <a:lstStyle xmlns:a="http://schemas.openxmlformats.org/drawingml/2006/main"/>
        <a:p xmlns:a="http://schemas.openxmlformats.org/drawingml/2006/main">
          <a:r>
            <a:rPr lang="en-US" sz="1100"/>
            <a:t>32768 3</a:t>
          </a:r>
        </a:p>
      </cdr:txBody>
    </cdr:sp>
  </cdr:relSizeAnchor>
  <cdr:relSizeAnchor xmlns:cdr="http://schemas.openxmlformats.org/drawingml/2006/chartDrawing">
    <cdr:from>
      <cdr:x>0.90969</cdr:x>
      <cdr:y>0.06857</cdr:y>
    </cdr:from>
    <cdr:to>
      <cdr:x>1</cdr:x>
      <cdr:y>0.24435</cdr:y>
    </cdr:to>
    <cdr:sp macro="" textlink="">
      <cdr:nvSpPr>
        <cdr:cNvPr id="3" name="data location" hidden="1"/>
        <cdr:cNvSpPr txBox="1"/>
      </cdr:nvSpPr>
      <cdr:spPr>
        <a:xfrm xmlns:a="http://schemas.openxmlformats.org/drawingml/2006/main">
          <a:off x="5959410" y="212122"/>
          <a:ext cx="576568" cy="543803"/>
        </a:xfrm>
        <a:prstGeom xmlns:a="http://schemas.openxmlformats.org/drawingml/2006/main" prst="rect">
          <a:avLst/>
        </a:prstGeom>
      </cdr:spPr>
      <cdr:txBody>
        <a:bodyPr xmlns:a="http://schemas.openxmlformats.org/drawingml/2006/main" vertOverflow="clip" vert="horz" wrap="none" rtlCol="0">
          <a:spAutoFit/>
        </a:bodyPr>
        <a:lstStyle xmlns:a="http://schemas.openxmlformats.org/drawingml/2006/main"/>
        <a:p xmlns:a="http://schemas.openxmlformats.org/drawingml/2006/main">
          <a:fld id="{5B2208B9-BD24-48AD-B98E-8BB7530A7BF3}" type="TxLink">
            <a:rPr lang="en-US" sz="1000" b="0" i="0" u="none" strike="noStrike">
              <a:solidFill>
                <a:srgbClr val="000000"/>
              </a:solidFill>
              <a:latin typeface="Arial"/>
              <a:cs typeface="Arial"/>
            </a:rPr>
            <a:pPr/>
            <a:t>X Axis
labels
(down)</a:t>
          </a:fld>
          <a:endParaRPr lang="en-US" sz="1100"/>
        </a:p>
      </cdr:txBody>
    </cdr:sp>
  </cdr:relSizeAnchor>
  <cdr:relSizeAnchor xmlns:cdr="http://schemas.openxmlformats.org/drawingml/2006/chartDrawing">
    <cdr:from>
      <cdr:x>0.97044</cdr:x>
      <cdr:y>0.06857</cdr:y>
    </cdr:from>
    <cdr:to>
      <cdr:x>1</cdr:x>
      <cdr:y>0.11058</cdr:y>
    </cdr:to>
    <cdr:sp macro="" textlink="">
      <cdr:nvSpPr>
        <cdr:cNvPr id="4" name="ShowOnBottom" hidden="1"/>
        <cdr:cNvSpPr txBox="1"/>
      </cdr:nvSpPr>
      <cdr:spPr>
        <a:xfrm xmlns:a="http://schemas.openxmlformats.org/drawingml/2006/main">
          <a:off x="8410803" y="431800"/>
          <a:ext cx="256160" cy="264560"/>
        </a:xfrm>
        <a:prstGeom xmlns:a="http://schemas.openxmlformats.org/drawingml/2006/main" prst="rect">
          <a:avLst/>
        </a:prstGeom>
      </cdr:spPr>
      <cdr:txBody>
        <a:bodyPr xmlns:a="http://schemas.openxmlformats.org/drawingml/2006/main" vertOverflow="clip" vert="horz" wrap="none" rtlCol="0">
          <a:spAutoFit/>
        </a:bodyPr>
        <a:lstStyle xmlns:a="http://schemas.openxmlformats.org/drawingml/2006/main"/>
        <a:p xmlns:a="http://schemas.openxmlformats.org/drawingml/2006/main">
          <a:r>
            <a:rPr lang="en-US" sz="1100"/>
            <a:t>1</a:t>
          </a:r>
        </a:p>
      </cdr:txBody>
    </cdr:sp>
  </cdr:relSizeAnchor>
  <cdr:relSizeAnchor xmlns:cdr="http://schemas.openxmlformats.org/drawingml/2006/chartDrawing">
    <cdr:from>
      <cdr:x>0.97044</cdr:x>
      <cdr:y>0.06857</cdr:y>
    </cdr:from>
    <cdr:to>
      <cdr:x>1</cdr:x>
      <cdr:y>0.11058</cdr:y>
    </cdr:to>
    <cdr:sp macro="" textlink="">
      <cdr:nvSpPr>
        <cdr:cNvPr id="5" name="showonTop" hidden="1"/>
        <cdr:cNvSpPr txBox="1"/>
      </cdr:nvSpPr>
      <cdr:spPr>
        <a:xfrm xmlns:a="http://schemas.openxmlformats.org/drawingml/2006/main">
          <a:off x="8410803" y="431800"/>
          <a:ext cx="256160" cy="264560"/>
        </a:xfrm>
        <a:prstGeom xmlns:a="http://schemas.openxmlformats.org/drawingml/2006/main" prst="rect">
          <a:avLst/>
        </a:prstGeom>
      </cdr:spPr>
      <cdr:txBody>
        <a:bodyPr xmlns:a="http://schemas.openxmlformats.org/drawingml/2006/main" vertOverflow="clip" vert="horz" wrap="none" rtlCol="0">
          <a:spAutoFit/>
        </a:bodyPr>
        <a:lstStyle xmlns:a="http://schemas.openxmlformats.org/drawingml/2006/main"/>
        <a:p xmlns:a="http://schemas.openxmlformats.org/drawingml/2006/main">
          <a:r>
            <a:rPr lang="en-US" sz="1100"/>
            <a:t>0</a:t>
          </a:r>
        </a:p>
      </cdr:txBody>
    </cdr:sp>
  </cdr:relSizeAnchor>
  <cdr:relSizeAnchor xmlns:cdr="http://schemas.openxmlformats.org/drawingml/2006/chartDrawing">
    <cdr:from>
      <cdr:x>0.97044</cdr:x>
      <cdr:y>0.06857</cdr:y>
    </cdr:from>
    <cdr:to>
      <cdr:x>1</cdr:x>
      <cdr:y>0.11058</cdr:y>
    </cdr:to>
    <cdr:sp macro="" textlink="">
      <cdr:nvSpPr>
        <cdr:cNvPr id="6" name="AxisLabels" hidden="1"/>
        <cdr:cNvSpPr txBox="1"/>
      </cdr:nvSpPr>
      <cdr:spPr>
        <a:xfrm xmlns:a="http://schemas.openxmlformats.org/drawingml/2006/main">
          <a:off x="8410803" y="431800"/>
          <a:ext cx="256160" cy="264560"/>
        </a:xfrm>
        <a:prstGeom xmlns:a="http://schemas.openxmlformats.org/drawingml/2006/main" prst="rect">
          <a:avLst/>
        </a:prstGeom>
      </cdr:spPr>
      <cdr:txBody>
        <a:bodyPr xmlns:a="http://schemas.openxmlformats.org/drawingml/2006/main" vertOverflow="clip" vert="horz" wrap="none" rtlCol="0">
          <a:spAutoFit/>
        </a:bodyPr>
        <a:lstStyle xmlns:a="http://schemas.openxmlformats.org/drawingml/2006/main"/>
        <a:p xmlns:a="http://schemas.openxmlformats.org/drawingml/2006/main">
          <a:r>
            <a:rPr lang="en-US" sz="1100"/>
            <a:t>1</a:t>
          </a:r>
        </a:p>
      </cdr:txBody>
    </cdr:sp>
  </cdr:relSizeAnchor>
  <cdr:relSizeAnchor xmlns:cdr="http://schemas.openxmlformats.org/drawingml/2006/chartDrawing">
    <cdr:from>
      <cdr:x>0.97044</cdr:x>
      <cdr:y>0.06857</cdr:y>
    </cdr:from>
    <cdr:to>
      <cdr:x>1</cdr:x>
      <cdr:y>0.11058</cdr:y>
    </cdr:to>
    <cdr:sp macro="" textlink="">
      <cdr:nvSpPr>
        <cdr:cNvPr id="7" name="LineCount" hidden="1"/>
        <cdr:cNvSpPr txBox="1"/>
      </cdr:nvSpPr>
      <cdr:spPr>
        <a:xfrm xmlns:a="http://schemas.openxmlformats.org/drawingml/2006/main">
          <a:off x="8410803" y="431800"/>
          <a:ext cx="256160" cy="264560"/>
        </a:xfrm>
        <a:prstGeom xmlns:a="http://schemas.openxmlformats.org/drawingml/2006/main" prst="rect">
          <a:avLst/>
        </a:prstGeom>
      </cdr:spPr>
      <cdr:txBody>
        <a:bodyPr xmlns:a="http://schemas.openxmlformats.org/drawingml/2006/main" vertOverflow="clip" vert="horz" wrap="none" rtlCol="0">
          <a:spAutoFit/>
        </a:bodyPr>
        <a:lstStyle xmlns:a="http://schemas.openxmlformats.org/drawingml/2006/main"/>
        <a:p xmlns:a="http://schemas.openxmlformats.org/drawingml/2006/main">
          <a:r>
            <a:rPr lang="en-US" sz="1100"/>
            <a:t>2</a:t>
          </a:r>
        </a:p>
      </cdr:txBody>
    </cdr:sp>
  </cdr:relSizeAnchor>
  <cdr:relSizeAnchor xmlns:cdr="http://schemas.openxmlformats.org/drawingml/2006/chartDrawing">
    <cdr:from>
      <cdr:x>0.97044</cdr:x>
      <cdr:y>0.06857</cdr:y>
    </cdr:from>
    <cdr:to>
      <cdr:x>1</cdr:x>
      <cdr:y>0.11058</cdr:y>
    </cdr:to>
    <cdr:sp macro="" textlink="">
      <cdr:nvSpPr>
        <cdr:cNvPr id="8" name="LineWeight" hidden="1"/>
        <cdr:cNvSpPr txBox="1"/>
      </cdr:nvSpPr>
      <cdr:spPr>
        <a:xfrm xmlns:a="http://schemas.openxmlformats.org/drawingml/2006/main">
          <a:off x="8410803" y="431800"/>
          <a:ext cx="256160" cy="264560"/>
        </a:xfrm>
        <a:prstGeom xmlns:a="http://schemas.openxmlformats.org/drawingml/2006/main" prst="rect">
          <a:avLst/>
        </a:prstGeom>
      </cdr:spPr>
      <cdr:txBody>
        <a:bodyPr xmlns:a="http://schemas.openxmlformats.org/drawingml/2006/main" vertOverflow="clip" vert="horz" wrap="none" rtlCol="0">
          <a:spAutoFit/>
        </a:bodyPr>
        <a:lstStyle xmlns:a="http://schemas.openxmlformats.org/drawingml/2006/main"/>
        <a:p xmlns:a="http://schemas.openxmlformats.org/drawingml/2006/main">
          <a:r>
            <a:rPr lang="en-US" sz="1100"/>
            <a:t>1</a:t>
          </a:r>
        </a:p>
      </cdr:txBody>
    </cdr:sp>
  </cdr:relSizeAnchor>
</c:userShapes>
</file>

<file path=word/drawings/drawing20.xml><?xml version="1.0" encoding="utf-8"?>
<c:userShapes xmlns:c="http://schemas.openxmlformats.org/drawingml/2006/chart">
  <cdr:relSizeAnchor xmlns:cdr="http://schemas.openxmlformats.org/drawingml/2006/chartDrawing">
    <cdr:from>
      <cdr:x>0.86252</cdr:x>
      <cdr:y>0.14915</cdr:y>
    </cdr:from>
    <cdr:to>
      <cdr:x>0.97829</cdr:x>
      <cdr:y>0.29492</cdr:y>
    </cdr:to>
    <cdr:sp macro="" textlink="">
      <cdr:nvSpPr>
        <cdr:cNvPr id="2" name="TextBox 1"/>
        <cdr:cNvSpPr txBox="1"/>
      </cdr:nvSpPr>
      <cdr:spPr>
        <a:xfrm xmlns:a="http://schemas.openxmlformats.org/drawingml/2006/main">
          <a:off x="5676901" y="419101"/>
          <a:ext cx="762000" cy="4095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0.85402</cdr:x>
      <cdr:y>0.05277</cdr:y>
    </cdr:from>
    <cdr:to>
      <cdr:x>0.99711</cdr:x>
      <cdr:y>0.34506</cdr:y>
    </cdr:to>
    <cdr:sp macro="" textlink="">
      <cdr:nvSpPr>
        <cdr:cNvPr id="3" name="TextBox 2"/>
        <cdr:cNvSpPr txBox="1"/>
      </cdr:nvSpPr>
      <cdr:spPr>
        <a:xfrm xmlns:a="http://schemas.openxmlformats.org/drawingml/2006/main">
          <a:off x="5657850" y="123825"/>
          <a:ext cx="947958" cy="685800"/>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en-US" sz="1050" b="1"/>
            <a:t>Weight</a:t>
          </a:r>
          <a:r>
            <a:rPr lang="en-US" sz="1050" b="1" baseline="0"/>
            <a:t> Gain or Loss from Admission</a:t>
          </a:r>
          <a:endParaRPr lang="en-US" sz="1050" b="1"/>
        </a:p>
      </cdr:txBody>
    </cdr:sp>
  </cdr:relSizeAnchor>
</c:userShapes>
</file>

<file path=word/drawings/drawing21.xml><?xml version="1.0" encoding="utf-8"?>
<c:userShapes xmlns:c="http://schemas.openxmlformats.org/drawingml/2006/chart">
  <cdr:relSizeAnchor xmlns:cdr="http://schemas.openxmlformats.org/drawingml/2006/chartDrawing">
    <cdr:from>
      <cdr:x>0.01162</cdr:x>
      <cdr:y>0.79514</cdr:y>
    </cdr:from>
    <cdr:to>
      <cdr:x>0.99961</cdr:x>
      <cdr:y>0.99903</cdr:y>
    </cdr:to>
    <cdr:sp macro="" textlink="">
      <cdr:nvSpPr>
        <cdr:cNvPr id="2" name="Text Box 1"/>
        <cdr:cNvSpPr txBox="1"/>
      </cdr:nvSpPr>
      <cdr:spPr>
        <a:xfrm xmlns:a="http://schemas.openxmlformats.org/drawingml/2006/main">
          <a:off x="76148" y="2181224"/>
          <a:ext cx="6474496" cy="5593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i="1"/>
            <a:t>* Data measured</a:t>
          </a:r>
          <a:r>
            <a:rPr lang="en-US" sz="1000" i="1" baseline="0"/>
            <a:t> for</a:t>
          </a:r>
          <a:r>
            <a:rPr lang="en-US" sz="1000" i="1"/>
            <a:t> </a:t>
          </a:r>
          <a:r>
            <a:rPr lang="en-US" sz="1000" i="1" baseline="0"/>
            <a:t>FY13 admissions did not include those who stayed in care for shorter than 90 days and thus the total applicable number (n)  for FY13 is much smaller than that for FY14, which included all admissions regardless of LOS. Also, data herein includes only those who had their weigh data at admission available in the system.</a:t>
          </a:r>
          <a:endParaRPr lang="en-US" sz="1000" i="1"/>
        </a:p>
      </cdr:txBody>
    </cdr:sp>
  </cdr:relSizeAnchor>
</c:userShapes>
</file>

<file path=word/drawings/drawing22.xml><?xml version="1.0" encoding="utf-8"?>
<c:userShapes xmlns:c="http://schemas.openxmlformats.org/drawingml/2006/chart">
  <cdr:relSizeAnchor xmlns:cdr="http://schemas.openxmlformats.org/drawingml/2006/chartDrawing">
    <cdr:from>
      <cdr:x>0.01762</cdr:x>
      <cdr:y>0.89252</cdr:y>
    </cdr:from>
    <cdr:to>
      <cdr:x>0.99266</cdr:x>
      <cdr:y>0.97719</cdr:y>
    </cdr:to>
    <cdr:sp macro="" textlink="">
      <cdr:nvSpPr>
        <cdr:cNvPr id="3" name="Text Box 2"/>
        <cdr:cNvSpPr txBox="1"/>
      </cdr:nvSpPr>
      <cdr:spPr>
        <a:xfrm xmlns:a="http://schemas.openxmlformats.org/drawingml/2006/main">
          <a:off x="114301" y="2409825"/>
          <a:ext cx="63246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i="1"/>
            <a:t>* Data herein includs only those who had their weight</a:t>
          </a:r>
          <a:r>
            <a:rPr lang="en-US" sz="900" i="1" baseline="0"/>
            <a:t> and height data at admission availabel in the system to calculate BMI.</a:t>
          </a:r>
          <a:endParaRPr lang="en-US" sz="900" i="1"/>
        </a:p>
      </cdr:txBody>
    </cdr:sp>
  </cdr:relSizeAnchor>
</c:userShapes>
</file>

<file path=word/drawings/drawing23.xml><?xml version="1.0" encoding="utf-8"?>
<c:userShapes xmlns:c="http://schemas.openxmlformats.org/drawingml/2006/chart">
  <cdr:relSizeAnchor xmlns:cdr="http://schemas.openxmlformats.org/drawingml/2006/chartDrawing">
    <cdr:from>
      <cdr:x>0.45995</cdr:x>
      <cdr:y>0.36202</cdr:y>
    </cdr:from>
    <cdr:to>
      <cdr:x>0.54005</cdr:x>
      <cdr:y>0.44807</cdr:y>
    </cdr:to>
    <cdr:sp macro="" textlink="">
      <cdr:nvSpPr>
        <cdr:cNvPr id="3" name="TextBox 2"/>
        <cdr:cNvSpPr txBox="1"/>
      </cdr:nvSpPr>
      <cdr:spPr>
        <a:xfrm xmlns:a="http://schemas.openxmlformats.org/drawingml/2006/main">
          <a:off x="1436820" y="984787"/>
          <a:ext cx="250233" cy="23408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userShapes>
</file>

<file path=word/drawings/drawing24.xml><?xml version="1.0" encoding="utf-8"?>
<c:userShapes xmlns:c="http://schemas.openxmlformats.org/drawingml/2006/chart">
  <cdr:relSizeAnchor xmlns:cdr="http://schemas.openxmlformats.org/drawingml/2006/chartDrawing">
    <cdr:from>
      <cdr:x>0.02332</cdr:x>
      <cdr:y>0.27914</cdr:y>
    </cdr:from>
    <cdr:to>
      <cdr:x>0.98241</cdr:x>
      <cdr:y>0.27914</cdr:y>
    </cdr:to>
    <cdr:cxnSp macro="">
      <cdr:nvCxnSpPr>
        <cdr:cNvPr id="7" name="Straight Connector 6"/>
        <cdr:cNvCxnSpPr/>
      </cdr:nvCxnSpPr>
      <cdr:spPr>
        <a:xfrm xmlns:a="http://schemas.openxmlformats.org/drawingml/2006/main">
          <a:off x="146395" y="643429"/>
          <a:ext cx="6020184" cy="0"/>
        </a:xfrm>
        <a:prstGeom xmlns:a="http://schemas.openxmlformats.org/drawingml/2006/main" prst="line">
          <a:avLst/>
        </a:prstGeom>
        <a:ln xmlns:a="http://schemas.openxmlformats.org/drawingml/2006/main">
          <a:solidFill>
            <a:schemeClr val="accent4">
              <a:alpha val="60000"/>
            </a:schemeClr>
          </a:solidFill>
        </a:ln>
      </cdr:spPr>
      <cdr:style>
        <a:lnRef xmlns:a="http://schemas.openxmlformats.org/drawingml/2006/main" idx="2">
          <a:schemeClr val="accent4"/>
        </a:lnRef>
        <a:fillRef xmlns:a="http://schemas.openxmlformats.org/drawingml/2006/main" idx="0">
          <a:schemeClr val="accent4"/>
        </a:fillRef>
        <a:effectRef xmlns:a="http://schemas.openxmlformats.org/drawingml/2006/main" idx="1">
          <a:schemeClr val="accent4"/>
        </a:effectRef>
        <a:fontRef xmlns:a="http://schemas.openxmlformats.org/drawingml/2006/main" idx="minor">
          <a:schemeClr val="tx1"/>
        </a:fontRef>
      </cdr:style>
    </cdr:cxnSp>
  </cdr:relSizeAnchor>
  <cdr:relSizeAnchor xmlns:cdr="http://schemas.openxmlformats.org/drawingml/2006/chartDrawing">
    <cdr:from>
      <cdr:x>0.04095</cdr:x>
      <cdr:y>0.08083</cdr:y>
    </cdr:from>
    <cdr:to>
      <cdr:x>0.10921</cdr:x>
      <cdr:y>0.18191</cdr:y>
    </cdr:to>
    <cdr:sp macro="" textlink="">
      <cdr:nvSpPr>
        <cdr:cNvPr id="8" name="TextBox 7"/>
        <cdr:cNvSpPr txBox="1"/>
      </cdr:nvSpPr>
      <cdr:spPr>
        <a:xfrm xmlns:a="http://schemas.openxmlformats.org/drawingml/2006/main">
          <a:off x="257072" y="186325"/>
          <a:ext cx="428466" cy="23299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u="none">
              <a:solidFill>
                <a:schemeClr val="accent4">
                  <a:lumMod val="75000"/>
                </a:schemeClr>
              </a:solidFill>
              <a:effectLst>
                <a:glow rad="76200">
                  <a:schemeClr val="accent4">
                    <a:lumMod val="40000"/>
                    <a:lumOff val="60000"/>
                  </a:schemeClr>
                </a:glow>
              </a:effectLst>
            </a:rPr>
            <a:t>200</a:t>
          </a:r>
        </a:p>
      </cdr:txBody>
    </cdr:sp>
  </cdr:relSizeAnchor>
  <cdr:relSizeAnchor xmlns:cdr="http://schemas.openxmlformats.org/drawingml/2006/chartDrawing">
    <cdr:from>
      <cdr:x>0.08646</cdr:x>
      <cdr:y>0.16241</cdr:y>
    </cdr:from>
    <cdr:to>
      <cdr:x>0.08798</cdr:x>
      <cdr:y>0.26605</cdr:y>
    </cdr:to>
    <cdr:cxnSp macro="">
      <cdr:nvCxnSpPr>
        <cdr:cNvPr id="10" name="Straight Arrow Connector 9"/>
        <cdr:cNvCxnSpPr/>
      </cdr:nvCxnSpPr>
      <cdr:spPr>
        <a:xfrm xmlns:a="http://schemas.openxmlformats.org/drawingml/2006/main">
          <a:off x="542722" y="374373"/>
          <a:ext cx="9541" cy="238896"/>
        </a:xfrm>
        <a:prstGeom xmlns:a="http://schemas.openxmlformats.org/drawingml/2006/main" prst="straightConnector1">
          <a:avLst/>
        </a:prstGeom>
        <a:ln xmlns:a="http://schemas.openxmlformats.org/drawingml/2006/main">
          <a:tailEnd type="arrow"/>
        </a:ln>
      </cdr:spPr>
      <cdr:style>
        <a:lnRef xmlns:a="http://schemas.openxmlformats.org/drawingml/2006/main" idx="2">
          <a:schemeClr val="accent4"/>
        </a:lnRef>
        <a:fillRef xmlns:a="http://schemas.openxmlformats.org/drawingml/2006/main" idx="0">
          <a:schemeClr val="accent4"/>
        </a:fillRef>
        <a:effectRef xmlns:a="http://schemas.openxmlformats.org/drawingml/2006/main" idx="1">
          <a:schemeClr val="accent4"/>
        </a:effectRef>
        <a:fontRef xmlns:a="http://schemas.openxmlformats.org/drawingml/2006/main" idx="minor">
          <a:schemeClr val="tx1"/>
        </a:fontRef>
      </cdr:style>
    </cdr:cxnSp>
  </cdr:relSizeAnchor>
</c:userShapes>
</file>

<file path=word/drawings/drawing25.xml><?xml version="1.0" encoding="utf-8"?>
<c:userShapes xmlns:c="http://schemas.openxmlformats.org/drawingml/2006/chart">
  <cdr:relSizeAnchor xmlns:cdr="http://schemas.openxmlformats.org/drawingml/2006/chartDrawing">
    <cdr:from>
      <cdr:x>0.37289</cdr:x>
      <cdr:y>0.12313</cdr:y>
    </cdr:from>
    <cdr:to>
      <cdr:x>0.37289</cdr:x>
      <cdr:y>0.79363</cdr:y>
    </cdr:to>
    <cdr:sp macro="" textlink="">
      <cdr:nvSpPr>
        <cdr:cNvPr id="3073" name="Line 1"/>
        <cdr:cNvSpPr>
          <a:spLocks xmlns:a="http://schemas.openxmlformats.org/drawingml/2006/main" noChangeShapeType="1"/>
        </cdr:cNvSpPr>
      </cdr:nvSpPr>
      <cdr:spPr bwMode="auto">
        <a:xfrm xmlns:a="http://schemas.openxmlformats.org/drawingml/2006/main" flipV="1">
          <a:off x="2347698" y="381162"/>
          <a:ext cx="0" cy="2075616"/>
        </a:xfrm>
        <a:prstGeom xmlns:a="http://schemas.openxmlformats.org/drawingml/2006/main" prst="line">
          <a:avLst/>
        </a:prstGeom>
        <a:ln xmlns:a="http://schemas.openxmlformats.org/drawingml/2006/main">
          <a:headEnd/>
          <a:tailEnd/>
        </a:ln>
      </cdr:spPr>
      <cdr:style>
        <a:lnRef xmlns:a="http://schemas.openxmlformats.org/drawingml/2006/main" idx="2">
          <a:schemeClr val="accent4"/>
        </a:lnRef>
        <a:fillRef xmlns:a="http://schemas.openxmlformats.org/drawingml/2006/main" idx="0">
          <a:schemeClr val="accent4"/>
        </a:fillRef>
        <a:effectRef xmlns:a="http://schemas.openxmlformats.org/drawingml/2006/main" idx="1">
          <a:schemeClr val="accent4"/>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cdr:x>
      <cdr:y>0</cdr:y>
    </cdr:from>
    <cdr:to>
      <cdr:x>0</cdr:x>
      <cdr:y>0</cdr:y>
    </cdr:to>
    <cdr:sp macro="" textlink="">
      <cdr:nvSpPr>
        <cdr:cNvPr id="3074" name="Line 2"/>
        <cdr:cNvSpPr>
          <a:spLocks xmlns:a="http://schemas.openxmlformats.org/drawingml/2006/main" noChangeShapeType="1"/>
        </cdr:cNvSpPr>
      </cdr:nvSpPr>
      <cdr:spPr bwMode="auto">
        <a:xfrm xmlns:a="http://schemas.openxmlformats.org/drawingml/2006/main" flipV="1">
          <a:off x="0" y="0"/>
          <a:ext cx="0" cy="0"/>
        </a:xfrm>
        <a:prstGeom xmlns:a="http://schemas.openxmlformats.org/drawingml/2006/main" prst="line">
          <a:avLst/>
        </a:prstGeom>
        <a:ln xmlns:a="http://schemas.openxmlformats.org/drawingml/2006/main">
          <a:headEnd/>
          <a:tailEnd/>
        </a:ln>
      </cdr:spPr>
      <cdr:style>
        <a:lnRef xmlns:a="http://schemas.openxmlformats.org/drawingml/2006/main" idx="2">
          <a:schemeClr val="accent5"/>
        </a:lnRef>
        <a:fillRef xmlns:a="http://schemas.openxmlformats.org/drawingml/2006/main" idx="0">
          <a:schemeClr val="accent5"/>
        </a:fillRef>
        <a:effectRef xmlns:a="http://schemas.openxmlformats.org/drawingml/2006/main" idx="1">
          <a:schemeClr val="accent5"/>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pPr marL="0" indent="0"/>
          <a:endParaRPr lang="en-US" sz="1100">
            <a:solidFill>
              <a:schemeClr val="tx1"/>
            </a:solidFill>
            <a:latin typeface="+mn-lt"/>
            <a:ea typeface="+mn-ea"/>
            <a:cs typeface="+mn-cs"/>
          </a:endParaRPr>
        </a:p>
      </cdr:txBody>
    </cdr:sp>
  </cdr:relSizeAnchor>
  <cdr:relSizeAnchor xmlns:cdr="http://schemas.openxmlformats.org/drawingml/2006/chartDrawing">
    <cdr:from>
      <cdr:x>0.0653</cdr:x>
      <cdr:y>0.41545</cdr:y>
    </cdr:from>
    <cdr:to>
      <cdr:x>0.29805</cdr:x>
      <cdr:y>0.48308</cdr:y>
    </cdr:to>
    <cdr:sp macro="" textlink="">
      <cdr:nvSpPr>
        <cdr:cNvPr id="3075" name="Text Box 3"/>
        <cdr:cNvSpPr txBox="1">
          <a:spLocks xmlns:a="http://schemas.openxmlformats.org/drawingml/2006/main" noChangeArrowheads="1"/>
        </cdr:cNvSpPr>
      </cdr:nvSpPr>
      <cdr:spPr bwMode="auto">
        <a:xfrm xmlns:a="http://schemas.openxmlformats.org/drawingml/2006/main">
          <a:off x="411130" y="1286062"/>
          <a:ext cx="1465400" cy="20936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sz="1000" b="1" i="0" u="sng" strike="noStrike">
              <a:solidFill>
                <a:sysClr val="windowText" lastClr="000000"/>
              </a:solidFill>
              <a:latin typeface="Arial"/>
              <a:cs typeface="Arial"/>
            </a:rPr>
            <a:t>11:00PM ~ 7:00AM</a:t>
          </a:r>
        </a:p>
      </cdr:txBody>
    </cdr:sp>
  </cdr:relSizeAnchor>
  <cdr:relSizeAnchor xmlns:cdr="http://schemas.openxmlformats.org/drawingml/2006/chartDrawing">
    <cdr:from>
      <cdr:x>0.41906</cdr:x>
      <cdr:y>0.04</cdr:y>
    </cdr:from>
    <cdr:to>
      <cdr:x>0.65626</cdr:x>
      <cdr:y>0.10462</cdr:y>
    </cdr:to>
    <cdr:sp macro="" textlink="">
      <cdr:nvSpPr>
        <cdr:cNvPr id="3076" name="Text Box 4"/>
        <cdr:cNvSpPr txBox="1">
          <a:spLocks xmlns:a="http://schemas.openxmlformats.org/drawingml/2006/main" noChangeArrowheads="1"/>
        </cdr:cNvSpPr>
      </cdr:nvSpPr>
      <cdr:spPr bwMode="auto">
        <a:xfrm xmlns:a="http://schemas.openxmlformats.org/drawingml/2006/main">
          <a:off x="2638421" y="123811"/>
          <a:ext cx="1493417" cy="20003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marL="0" indent="0" algn="ctr" rtl="0">
            <a:defRPr sz="1000"/>
          </a:pPr>
          <a:r>
            <a:rPr lang="en-US" sz="1000" b="1" i="0" u="sng" strike="noStrike">
              <a:solidFill>
                <a:sysClr val="windowText" lastClr="000000"/>
              </a:solidFill>
              <a:latin typeface="Arial"/>
              <a:ea typeface="+mn-ea"/>
              <a:cs typeface="Arial"/>
            </a:rPr>
            <a:t>7:00AM ~ 3:00PM</a:t>
          </a:r>
        </a:p>
      </cdr:txBody>
    </cdr:sp>
  </cdr:relSizeAnchor>
  <cdr:relSizeAnchor xmlns:cdr="http://schemas.openxmlformats.org/drawingml/2006/chartDrawing">
    <cdr:from>
      <cdr:x>0.73827</cdr:x>
      <cdr:y>0.16622</cdr:y>
    </cdr:from>
    <cdr:to>
      <cdr:x>0.97102</cdr:x>
      <cdr:y>0.23692</cdr:y>
    </cdr:to>
    <cdr:sp macro="" textlink="">
      <cdr:nvSpPr>
        <cdr:cNvPr id="3077" name="Text Box 5"/>
        <cdr:cNvSpPr txBox="1">
          <a:spLocks xmlns:a="http://schemas.openxmlformats.org/drawingml/2006/main" noChangeArrowheads="1"/>
        </cdr:cNvSpPr>
      </cdr:nvSpPr>
      <cdr:spPr bwMode="auto">
        <a:xfrm xmlns:a="http://schemas.openxmlformats.org/drawingml/2006/main">
          <a:off x="4648148" y="514550"/>
          <a:ext cx="1465400" cy="21886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marL="0" indent="0" algn="ctr" rtl="0">
            <a:defRPr sz="1000"/>
          </a:pPr>
          <a:r>
            <a:rPr lang="en-US" sz="1000" b="1" i="0" u="sng" strike="noStrike">
              <a:solidFill>
                <a:sysClr val="windowText" lastClr="000000"/>
              </a:solidFill>
              <a:latin typeface="Arial"/>
              <a:ea typeface="+mn-ea"/>
              <a:cs typeface="Arial"/>
            </a:rPr>
            <a:t>3:00PM ~ 11:00PM</a:t>
          </a:r>
        </a:p>
        <a:p xmlns:a="http://schemas.openxmlformats.org/drawingml/2006/main">
          <a:pPr marL="0" indent="0" algn="ctr" rtl="0">
            <a:defRPr sz="1000"/>
          </a:pPr>
          <a:r>
            <a:rPr lang="en-US" sz="1000" b="1" i="0" u="none" strike="noStrike">
              <a:solidFill>
                <a:schemeClr val="accent5">
                  <a:lumMod val="75000"/>
                </a:schemeClr>
              </a:solidFill>
              <a:latin typeface="Arial"/>
              <a:ea typeface="+mn-ea"/>
              <a:cs typeface="Arial"/>
            </a:rPr>
            <a:t>      </a:t>
          </a:r>
        </a:p>
      </cdr:txBody>
    </cdr:sp>
  </cdr:relSizeAnchor>
  <cdr:relSizeAnchor xmlns:cdr="http://schemas.openxmlformats.org/drawingml/2006/chartDrawing">
    <cdr:from>
      <cdr:x>0.68605</cdr:x>
      <cdr:y>0.12313</cdr:y>
    </cdr:from>
    <cdr:to>
      <cdr:x>0.68605</cdr:x>
      <cdr:y>0.79363</cdr:y>
    </cdr:to>
    <cdr:sp macro="" textlink="">
      <cdr:nvSpPr>
        <cdr:cNvPr id="7" name="Line 1"/>
        <cdr:cNvSpPr>
          <a:spLocks xmlns:a="http://schemas.openxmlformats.org/drawingml/2006/main" noChangeShapeType="1"/>
        </cdr:cNvSpPr>
      </cdr:nvSpPr>
      <cdr:spPr bwMode="auto">
        <a:xfrm xmlns:a="http://schemas.openxmlformats.org/drawingml/2006/main" flipV="1">
          <a:off x="4319361" y="381171"/>
          <a:ext cx="0" cy="2075617"/>
        </a:xfrm>
        <a:prstGeom xmlns:a="http://schemas.openxmlformats.org/drawingml/2006/main" prst="line">
          <a:avLst/>
        </a:prstGeom>
        <a:ln xmlns:a="http://schemas.openxmlformats.org/drawingml/2006/main">
          <a:headEnd/>
          <a:tailEnd/>
        </a:ln>
      </cdr:spPr>
      <cdr:style>
        <a:lnRef xmlns:a="http://schemas.openxmlformats.org/drawingml/2006/main" idx="2">
          <a:schemeClr val="accent4"/>
        </a:lnRef>
        <a:fillRef xmlns:a="http://schemas.openxmlformats.org/drawingml/2006/main" idx="0">
          <a:schemeClr val="accent4"/>
        </a:fillRef>
        <a:effectRef xmlns:a="http://schemas.openxmlformats.org/drawingml/2006/main" idx="1">
          <a:schemeClr val="accent4"/>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en-US"/>
        </a:p>
      </cdr:txBody>
    </cdr:sp>
  </cdr:relSizeAnchor>
</c:userShapes>
</file>

<file path=word/drawings/drawing26.xml><?xml version="1.0" encoding="utf-8"?>
<c:userShapes xmlns:c="http://schemas.openxmlformats.org/drawingml/2006/chart">
  <cdr:relSizeAnchor xmlns:cdr="http://schemas.openxmlformats.org/drawingml/2006/chartDrawing">
    <cdr:from>
      <cdr:x>0.01196</cdr:x>
      <cdr:y>0.00901</cdr:y>
    </cdr:from>
    <cdr:to>
      <cdr:x>0.64115</cdr:x>
      <cdr:y>0.10511</cdr:y>
    </cdr:to>
    <cdr:sp macro="" textlink="">
      <cdr:nvSpPr>
        <cdr:cNvPr id="2" name="TextBox 1"/>
        <cdr:cNvSpPr txBox="1"/>
      </cdr:nvSpPr>
      <cdr:spPr>
        <a:xfrm xmlns:a="http://schemas.openxmlformats.org/drawingml/2006/main">
          <a:off x="47625" y="28576"/>
          <a:ext cx="2505075"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u="sng"/>
            <a:t>n=636</a:t>
          </a:r>
          <a:r>
            <a:rPr lang="en-US" sz="1100" b="1" u="sng" baseline="0"/>
            <a:t> (All Served in FY14)</a:t>
          </a:r>
          <a:endParaRPr lang="en-US" sz="1100" b="1" u="sng"/>
        </a:p>
      </cdr:txBody>
    </cdr:sp>
  </cdr:relSizeAnchor>
</c:userShapes>
</file>

<file path=word/drawings/drawing27.xml><?xml version="1.0" encoding="utf-8"?>
<c:userShapes xmlns:c="http://schemas.openxmlformats.org/drawingml/2006/chart">
  <cdr:relSizeAnchor xmlns:cdr="http://schemas.openxmlformats.org/drawingml/2006/chartDrawing">
    <cdr:from>
      <cdr:x>0.02493</cdr:x>
      <cdr:y>0.13845</cdr:y>
    </cdr:from>
    <cdr:to>
      <cdr:x>0.95792</cdr:x>
      <cdr:y>0.22899</cdr:y>
    </cdr:to>
    <cdr:sp macro="" textlink="">
      <cdr:nvSpPr>
        <cdr:cNvPr id="2" name="TextBox 1"/>
        <cdr:cNvSpPr txBox="1"/>
      </cdr:nvSpPr>
      <cdr:spPr>
        <a:xfrm xmlns:a="http://schemas.openxmlformats.org/drawingml/2006/main">
          <a:off x="95915" y="454957"/>
          <a:ext cx="3590259" cy="297518"/>
        </a:xfrm>
        <a:prstGeom xmlns:a="http://schemas.openxmlformats.org/drawingml/2006/main" prst="rect">
          <a:avLst/>
        </a:prstGeom>
        <a:noFill xmlns:a="http://schemas.openxmlformats.org/drawingml/2006/main"/>
      </cdr:spPr>
      <cdr:txBody>
        <a:bodyPr xmlns:a="http://schemas.openxmlformats.org/drawingml/2006/main" vertOverflow="clip" wrap="square" rtlCol="0"/>
        <a:lstStyle xmlns:a="http://schemas.openxmlformats.org/drawingml/2006/main"/>
        <a:p xmlns:a="http://schemas.openxmlformats.org/drawingml/2006/main">
          <a:pPr marL="91440" indent="-182880" algn="l"/>
          <a:r>
            <a:rPr lang="en-US" sz="1100" b="1" i="1">
              <a:solidFill>
                <a:sysClr val="windowText" lastClr="000000"/>
              </a:solidFill>
            </a:rPr>
            <a:t>* Total unique individuals  served  in FY14</a:t>
          </a:r>
          <a:r>
            <a:rPr lang="en-US" sz="1100" b="1" i="1" baseline="0">
              <a:solidFill>
                <a:sysClr val="windowText" lastClr="000000"/>
              </a:solidFill>
            </a:rPr>
            <a:t>: 636</a:t>
          </a:r>
          <a:endParaRPr lang="en-US" sz="1100" b="1" i="1">
            <a:solidFill>
              <a:sysClr val="windowText" lastClr="000000"/>
            </a:solidFill>
          </a:endParaRPr>
        </a:p>
      </cdr:txBody>
    </cdr:sp>
  </cdr:relSizeAnchor>
</c:userShapes>
</file>

<file path=word/drawings/drawing28.xml><?xml version="1.0" encoding="utf-8"?>
<c:userShapes xmlns:c="http://schemas.openxmlformats.org/drawingml/2006/chart">
  <cdr:relSizeAnchor xmlns:cdr="http://schemas.openxmlformats.org/drawingml/2006/chartDrawing">
    <cdr:from>
      <cdr:x>0.00822</cdr:x>
      <cdr:y>0.90789</cdr:y>
    </cdr:from>
    <cdr:to>
      <cdr:x>0.99013</cdr:x>
      <cdr:y>0.98904</cdr:y>
    </cdr:to>
    <cdr:sp macro="" textlink="">
      <cdr:nvSpPr>
        <cdr:cNvPr id="2" name="TextBox 1"/>
        <cdr:cNvSpPr txBox="1"/>
      </cdr:nvSpPr>
      <cdr:spPr>
        <a:xfrm xmlns:a="http://schemas.openxmlformats.org/drawingml/2006/main">
          <a:off x="47625" y="4202782"/>
          <a:ext cx="5686425" cy="37561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marL="91440" indent="-91440"/>
          <a:endParaRPr lang="en-US" sz="900" i="1"/>
        </a:p>
      </cdr:txBody>
    </cdr:sp>
  </cdr:relSizeAnchor>
  <cdr:relSizeAnchor xmlns:cdr="http://schemas.openxmlformats.org/drawingml/2006/chartDrawing">
    <cdr:from>
      <cdr:x>0.56145</cdr:x>
      <cdr:y>0.05458</cdr:y>
    </cdr:from>
    <cdr:to>
      <cdr:x>0.82961</cdr:x>
      <cdr:y>0.18965</cdr:y>
    </cdr:to>
    <cdr:sp macro="" textlink="">
      <cdr:nvSpPr>
        <cdr:cNvPr id="3" name="TextBox 1"/>
        <cdr:cNvSpPr txBox="1"/>
      </cdr:nvSpPr>
      <cdr:spPr>
        <a:xfrm xmlns:a="http://schemas.openxmlformats.org/drawingml/2006/main">
          <a:off x="1914525" y="120614"/>
          <a:ext cx="914400" cy="2984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US" sz="1100" b="1" u="sng"/>
            <a:t>n=1146*</a:t>
          </a:r>
        </a:p>
      </cdr:txBody>
    </cdr:sp>
  </cdr:relSizeAnchor>
  <cdr:relSizeAnchor xmlns:cdr="http://schemas.openxmlformats.org/drawingml/2006/chartDrawing">
    <cdr:from>
      <cdr:x>0.05028</cdr:x>
      <cdr:y>0.836</cdr:y>
    </cdr:from>
    <cdr:to>
      <cdr:x>0.98045</cdr:x>
      <cdr:y>1</cdr:y>
    </cdr:to>
    <cdr:sp macro="" textlink="">
      <cdr:nvSpPr>
        <cdr:cNvPr id="4" name="Text Box 3"/>
        <cdr:cNvSpPr txBox="1"/>
      </cdr:nvSpPr>
      <cdr:spPr>
        <a:xfrm xmlns:a="http://schemas.openxmlformats.org/drawingml/2006/main">
          <a:off x="171450" y="1990725"/>
          <a:ext cx="3171825" cy="3905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i="1"/>
            <a:t>* This is the total number of aggressor</a:t>
          </a:r>
          <a:r>
            <a:rPr lang="en-US" sz="900" i="1" baseline="0"/>
            <a:t> records for  the 1,106 incidents, some of which may have more than one aggressor.</a:t>
          </a:r>
          <a:endParaRPr lang="en-US" sz="900" i="1"/>
        </a:p>
      </cdr:txBody>
    </cdr:sp>
  </cdr:relSizeAnchor>
</c:userShapes>
</file>

<file path=word/drawings/drawing29.xml><?xml version="1.0" encoding="utf-8"?>
<c:userShapes xmlns:c="http://schemas.openxmlformats.org/drawingml/2006/chart">
  <cdr:relSizeAnchor xmlns:cdr="http://schemas.openxmlformats.org/drawingml/2006/chartDrawing">
    <cdr:from>
      <cdr:x>0</cdr:x>
      <cdr:y>0</cdr:y>
    </cdr:from>
    <cdr:to>
      <cdr:x>0</cdr:x>
      <cdr:y>0</cdr:y>
    </cdr:to>
    <cdr:sp macro="" textlink="">
      <cdr:nvSpPr>
        <cdr:cNvPr id="5" name="Straight Connector 4"/>
        <cdr:cNvSpPr/>
      </cdr:nvSpPr>
      <cdr:spPr>
        <a:xfrm xmlns:a="http://schemas.openxmlformats.org/drawingml/2006/main" flipV="1">
          <a:off x="0" y="0"/>
          <a:ext cx="0" cy="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0.21196</cdr:x>
      <cdr:y>0.0066</cdr:y>
    </cdr:from>
    <cdr:to>
      <cdr:x>0.8125</cdr:x>
      <cdr:y>0.09901</cdr:y>
    </cdr:to>
    <cdr:sp macro="" textlink="">
      <cdr:nvSpPr>
        <cdr:cNvPr id="8" name="TextBox 7"/>
        <cdr:cNvSpPr txBox="1"/>
      </cdr:nvSpPr>
      <cdr:spPr>
        <a:xfrm xmlns:a="http://schemas.openxmlformats.org/drawingml/2006/main">
          <a:off x="1350818" y="17319"/>
          <a:ext cx="3827318" cy="24245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000" b="1" u="sng">
              <a:solidFill>
                <a:schemeClr val="accent1"/>
              </a:solidFill>
            </a:rPr>
            <a:t>Monthly Average</a:t>
          </a:r>
          <a:r>
            <a:rPr lang="en-US" sz="1000" b="1" u="sng" baseline="0">
              <a:solidFill>
                <a:schemeClr val="accent1"/>
              </a:solidFill>
            </a:rPr>
            <a:t> Number of </a:t>
          </a:r>
          <a:r>
            <a:rPr lang="en-US" sz="1000" b="1" u="sng">
              <a:solidFill>
                <a:schemeClr val="accent1"/>
              </a:solidFill>
            </a:rPr>
            <a:t>Medical Emergency</a:t>
          </a:r>
          <a:r>
            <a:rPr lang="en-US" sz="1000" b="1" u="sng" baseline="0">
              <a:solidFill>
                <a:schemeClr val="accent1"/>
              </a:solidFill>
            </a:rPr>
            <a:t> Incidents</a:t>
          </a:r>
          <a:endParaRPr lang="en-US" sz="1000" b="1" u="sng">
            <a:solidFill>
              <a:schemeClr val="accent1"/>
            </a:solidFill>
          </a:endParaRPr>
        </a:p>
      </cdr:txBody>
    </cdr:sp>
  </cdr:relSizeAnchor>
  <cdr:relSizeAnchor xmlns:cdr="http://schemas.openxmlformats.org/drawingml/2006/chartDrawing">
    <cdr:from>
      <cdr:x>0.00903</cdr:x>
      <cdr:y>0.10046</cdr:y>
    </cdr:from>
    <cdr:to>
      <cdr:x>0.32968</cdr:x>
      <cdr:y>0.18957</cdr:y>
    </cdr:to>
    <cdr:sp macro="" textlink="">
      <cdr:nvSpPr>
        <cdr:cNvPr id="2" name="Left Brace 1"/>
        <cdr:cNvSpPr/>
      </cdr:nvSpPr>
      <cdr:spPr>
        <a:xfrm xmlns:a="http://schemas.openxmlformats.org/drawingml/2006/main" rot="5400000">
          <a:off x="965057" y="-666111"/>
          <a:ext cx="214457" cy="2030223"/>
        </a:xfrm>
        <a:prstGeom xmlns:a="http://schemas.openxmlformats.org/drawingml/2006/main" prst="leftBrace">
          <a:avLst>
            <a:gd name="adj1" fmla="val 18010"/>
            <a:gd name="adj2" fmla="val 50207"/>
          </a:avLst>
        </a:prstGeom>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txBody>
        <a:bodyPr xmlns:a="http://schemas.openxmlformats.org/drawingml/2006/main" vertOverflow="clip" wrap="square">
          <a:noAutofit/>
        </a:bodyPr>
        <a:lstStyle xmlns:a="http://schemas.openxmlformats.org/drawingml/2006/main"/>
        <a:p xmlns:a="http://schemas.openxmlformats.org/drawingml/2006/main">
          <a:endParaRPr lang="en-US"/>
        </a:p>
      </cdr:txBody>
    </cdr:sp>
  </cdr:relSizeAnchor>
  <cdr:relSizeAnchor xmlns:cdr="http://schemas.openxmlformats.org/drawingml/2006/chartDrawing">
    <cdr:from>
      <cdr:x>0.01382</cdr:x>
      <cdr:y>0.05118</cdr:y>
    </cdr:from>
    <cdr:to>
      <cdr:x>0.26627</cdr:x>
      <cdr:y>0.14248</cdr:y>
    </cdr:to>
    <cdr:sp macro="" textlink="">
      <cdr:nvSpPr>
        <cdr:cNvPr id="3" name="TextBox 2"/>
        <cdr:cNvSpPr txBox="1"/>
      </cdr:nvSpPr>
      <cdr:spPr>
        <a:xfrm xmlns:a="http://schemas.openxmlformats.org/drawingml/2006/main">
          <a:off x="87503" y="123183"/>
          <a:ext cx="1598421" cy="21971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1">
              <a:solidFill>
                <a:schemeClr val="accent1"/>
              </a:solidFill>
            </a:rPr>
            <a:t>FY12: 27 per month</a:t>
          </a:r>
        </a:p>
      </cdr:txBody>
    </cdr:sp>
  </cdr:relSizeAnchor>
  <cdr:relSizeAnchor xmlns:cdr="http://schemas.openxmlformats.org/drawingml/2006/chartDrawing">
    <cdr:from>
      <cdr:x>0.38963</cdr:x>
      <cdr:y>0.14355</cdr:y>
    </cdr:from>
    <cdr:to>
      <cdr:x>0.60927</cdr:x>
      <cdr:y>0.2533</cdr:y>
    </cdr:to>
    <cdr:sp macro="" textlink="">
      <cdr:nvSpPr>
        <cdr:cNvPr id="6" name="TextBox 1"/>
        <cdr:cNvSpPr txBox="1"/>
      </cdr:nvSpPr>
      <cdr:spPr>
        <a:xfrm xmlns:a="http://schemas.openxmlformats.org/drawingml/2006/main">
          <a:off x="2466975" y="345474"/>
          <a:ext cx="1390650" cy="2641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1">
              <a:solidFill>
                <a:schemeClr val="accent1"/>
              </a:solidFill>
            </a:rPr>
            <a:t>FY13: 15 per month</a:t>
          </a:r>
        </a:p>
      </cdr:txBody>
    </cdr:sp>
  </cdr:relSizeAnchor>
  <cdr:relSizeAnchor xmlns:cdr="http://schemas.openxmlformats.org/drawingml/2006/chartDrawing">
    <cdr:from>
      <cdr:x>0.7463</cdr:x>
      <cdr:y>0.14177</cdr:y>
    </cdr:from>
    <cdr:to>
      <cdr:x>0.98385</cdr:x>
      <cdr:y>0.22955</cdr:y>
    </cdr:to>
    <cdr:sp macro="" textlink="">
      <cdr:nvSpPr>
        <cdr:cNvPr id="7" name="TextBox 1"/>
        <cdr:cNvSpPr txBox="1"/>
      </cdr:nvSpPr>
      <cdr:spPr>
        <a:xfrm xmlns:a="http://schemas.openxmlformats.org/drawingml/2006/main">
          <a:off x="4725236" y="341199"/>
          <a:ext cx="1504114" cy="21125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1">
              <a:solidFill>
                <a:schemeClr val="accent1"/>
              </a:solidFill>
            </a:rPr>
            <a:t>FY14: 21 per month</a:t>
          </a:r>
        </a:p>
      </cdr:txBody>
    </cdr:sp>
  </cdr:relSizeAnchor>
  <cdr:relSizeAnchor xmlns:cdr="http://schemas.openxmlformats.org/drawingml/2006/chartDrawing">
    <cdr:from>
      <cdr:x>0.66791</cdr:x>
      <cdr:y>0.09872</cdr:y>
    </cdr:from>
    <cdr:to>
      <cdr:x>0.98856</cdr:x>
      <cdr:y>0.18783</cdr:y>
    </cdr:to>
    <cdr:sp macro="" textlink="">
      <cdr:nvSpPr>
        <cdr:cNvPr id="9" name="Left Brace 8"/>
        <cdr:cNvSpPr/>
      </cdr:nvSpPr>
      <cdr:spPr>
        <a:xfrm xmlns:a="http://schemas.openxmlformats.org/drawingml/2006/main" rot="5400000">
          <a:off x="5136809" y="-670308"/>
          <a:ext cx="214456" cy="2030223"/>
        </a:xfrm>
        <a:prstGeom xmlns:a="http://schemas.openxmlformats.org/drawingml/2006/main" prst="leftBrace">
          <a:avLst>
            <a:gd name="adj1" fmla="val 18010"/>
            <a:gd name="adj2" fmla="val 44181"/>
          </a:avLst>
        </a:prstGeom>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txBody>
        <a:bodyPr xmlns:a="http://schemas.openxmlformats.org/drawingml/2006/main" wrap="square">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0.33901</cdr:x>
      <cdr:y>0.10102</cdr:y>
    </cdr:from>
    <cdr:to>
      <cdr:x>0.65967</cdr:x>
      <cdr:y>0.19013</cdr:y>
    </cdr:to>
    <cdr:sp macro="" textlink="">
      <cdr:nvSpPr>
        <cdr:cNvPr id="10" name="Left Brace 9"/>
        <cdr:cNvSpPr/>
      </cdr:nvSpPr>
      <cdr:spPr>
        <a:xfrm xmlns:a="http://schemas.openxmlformats.org/drawingml/2006/main" rot="5400000">
          <a:off x="3054356" y="-664799"/>
          <a:ext cx="214456" cy="2030286"/>
        </a:xfrm>
        <a:prstGeom xmlns:a="http://schemas.openxmlformats.org/drawingml/2006/main" prst="leftBrace">
          <a:avLst>
            <a:gd name="adj1" fmla="val 18010"/>
            <a:gd name="adj2" fmla="val 50151"/>
          </a:avLst>
        </a:prstGeom>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txBody>
        <a:bodyPr xmlns:a="http://schemas.openxmlformats.org/drawingml/2006/main" wrap="square">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en-US"/>
        </a:p>
      </cdr:txBody>
    </cdr:sp>
  </cdr:relSizeAnchor>
</c:userShapes>
</file>

<file path=word/drawings/drawing3.xml><?xml version="1.0" encoding="utf-8"?>
<c:userShapes xmlns:c="http://schemas.openxmlformats.org/drawingml/2006/chart">
  <cdr:relSizeAnchor xmlns:cdr="http://schemas.openxmlformats.org/drawingml/2006/chartDrawing">
    <cdr:from>
      <cdr:x>0.33783</cdr:x>
      <cdr:y>0.72617</cdr:y>
    </cdr:from>
    <cdr:to>
      <cdr:x>0.72827</cdr:x>
      <cdr:y>0.96831</cdr:y>
    </cdr:to>
    <cdr:sp macro="" textlink="">
      <cdr:nvSpPr>
        <cdr:cNvPr id="2" name="Down Arrow 1"/>
        <cdr:cNvSpPr/>
      </cdr:nvSpPr>
      <cdr:spPr>
        <a:xfrm xmlns:a="http://schemas.openxmlformats.org/drawingml/2006/main">
          <a:off x="1541572" y="1973114"/>
          <a:ext cx="1781621" cy="657942"/>
        </a:xfrm>
        <a:prstGeom xmlns:a="http://schemas.openxmlformats.org/drawingml/2006/main" prst="downArrow">
          <a:avLst>
            <a:gd name="adj1" fmla="val 56191"/>
            <a:gd name="adj2" fmla="val 49187"/>
          </a:avLst>
        </a:prstGeom>
        <a:solidFill xmlns:a="http://schemas.openxmlformats.org/drawingml/2006/main">
          <a:schemeClr val="lt1">
            <a:alpha val="0"/>
          </a:schemeClr>
        </a:solidFill>
        <a:ln xmlns:a="http://schemas.openxmlformats.org/drawingml/2006/main">
          <a:solidFill>
            <a:schemeClr val="bg1">
              <a:lumMod val="50000"/>
            </a:schemeClr>
          </a:solid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pPr algn="ctr"/>
          <a:r>
            <a:rPr lang="en-US" b="1">
              <a:solidFill>
                <a:schemeClr val="tx1"/>
              </a:solidFill>
            </a:rPr>
            <a:t>More Discharges</a:t>
          </a:r>
        </a:p>
      </cdr:txBody>
    </cdr:sp>
  </cdr:relSizeAnchor>
  <cdr:relSizeAnchor xmlns:cdr="http://schemas.openxmlformats.org/drawingml/2006/chartDrawing">
    <cdr:from>
      <cdr:x>0.4003</cdr:x>
      <cdr:y>0.17036</cdr:y>
    </cdr:from>
    <cdr:to>
      <cdr:x>0.78675</cdr:x>
      <cdr:y>0.4129</cdr:y>
    </cdr:to>
    <cdr:sp macro="" textlink="">
      <cdr:nvSpPr>
        <cdr:cNvPr id="4" name="Up Arrow 3"/>
        <cdr:cNvSpPr/>
      </cdr:nvSpPr>
      <cdr:spPr>
        <a:xfrm xmlns:a="http://schemas.openxmlformats.org/drawingml/2006/main">
          <a:off x="1826616" y="462905"/>
          <a:ext cx="1763414" cy="659021"/>
        </a:xfrm>
        <a:prstGeom xmlns:a="http://schemas.openxmlformats.org/drawingml/2006/main" prst="upArrow">
          <a:avLst/>
        </a:prstGeom>
        <a:noFill xmlns:a="http://schemas.openxmlformats.org/drawingml/2006/main"/>
        <a:ln xmlns:a="http://schemas.openxmlformats.org/drawingml/2006/main">
          <a:solidFill>
            <a:schemeClr val="accent4">
              <a:lumMod val="60000"/>
              <a:lumOff val="4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en-US" b="1">
              <a:solidFill>
                <a:schemeClr val="accent4">
                  <a:lumMod val="50000"/>
                </a:schemeClr>
              </a:solidFill>
            </a:rPr>
            <a:t>More</a:t>
          </a:r>
        </a:p>
        <a:p xmlns:a="http://schemas.openxmlformats.org/drawingml/2006/main">
          <a:pPr algn="ctr"/>
          <a:r>
            <a:rPr lang="en-US" b="1">
              <a:solidFill>
                <a:schemeClr val="accent4">
                  <a:lumMod val="50000"/>
                </a:schemeClr>
              </a:solidFill>
            </a:rPr>
            <a:t>Admissions</a:t>
          </a:r>
        </a:p>
      </cdr:txBody>
    </cdr:sp>
  </cdr:relSizeAnchor>
</c:userShapes>
</file>

<file path=word/drawings/drawing30.xml><?xml version="1.0" encoding="utf-8"?>
<c:userShapes xmlns:c="http://schemas.openxmlformats.org/drawingml/2006/chart">
  <cdr:relSizeAnchor xmlns:cdr="http://schemas.openxmlformats.org/drawingml/2006/chartDrawing">
    <cdr:from>
      <cdr:x>0.15387</cdr:x>
      <cdr:y>0.07833</cdr:y>
    </cdr:from>
    <cdr:to>
      <cdr:x>0.30617</cdr:x>
      <cdr:y>0.20301</cdr:y>
    </cdr:to>
    <cdr:sp macro="" textlink="">
      <cdr:nvSpPr>
        <cdr:cNvPr id="2" name="Left Brace 1"/>
        <cdr:cNvSpPr/>
      </cdr:nvSpPr>
      <cdr:spPr>
        <a:xfrm xmlns:a="http://schemas.openxmlformats.org/drawingml/2006/main" rot="5400000">
          <a:off x="1381522" y="-134973"/>
          <a:ext cx="334897" cy="1025615"/>
        </a:xfrm>
        <a:prstGeom xmlns:a="http://schemas.openxmlformats.org/drawingml/2006/main" prst="leftBrace">
          <a:avLst>
            <a:gd name="adj1" fmla="val 18010"/>
            <a:gd name="adj2" fmla="val 50064"/>
          </a:avLst>
        </a:prstGeom>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0.14916</cdr:x>
      <cdr:y>0</cdr:y>
    </cdr:from>
    <cdr:to>
      <cdr:x>0.31683</cdr:x>
      <cdr:y>0.1631</cdr:y>
    </cdr:to>
    <cdr:sp macro="" textlink="">
      <cdr:nvSpPr>
        <cdr:cNvPr id="3" name="TextBox 1"/>
        <cdr:cNvSpPr txBox="1"/>
      </cdr:nvSpPr>
      <cdr:spPr>
        <a:xfrm xmlns:a="http://schemas.openxmlformats.org/drawingml/2006/main">
          <a:off x="1004500" y="0"/>
          <a:ext cx="1129099" cy="43809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50" b="1" u="sng">
              <a:solidFill>
                <a:schemeClr val="tx2"/>
              </a:solidFill>
            </a:rPr>
            <a:t>Geriatric Units</a:t>
          </a:r>
        </a:p>
      </cdr:txBody>
    </cdr:sp>
  </cdr:relSizeAnchor>
  <cdr:relSizeAnchor xmlns:cdr="http://schemas.openxmlformats.org/drawingml/2006/chartDrawing">
    <cdr:from>
      <cdr:x>0.39605</cdr:x>
      <cdr:y>0.37976</cdr:y>
    </cdr:from>
    <cdr:to>
      <cdr:x>0.68317</cdr:x>
      <cdr:y>0.49645</cdr:y>
    </cdr:to>
    <cdr:sp macro="" textlink="">
      <cdr:nvSpPr>
        <cdr:cNvPr id="4" name="Left Brace 3"/>
        <cdr:cNvSpPr/>
      </cdr:nvSpPr>
      <cdr:spPr>
        <a:xfrm xmlns:a="http://schemas.openxmlformats.org/drawingml/2006/main" rot="5400000">
          <a:off x="3477104" y="210031"/>
          <a:ext cx="313446" cy="1933494"/>
        </a:xfrm>
        <a:prstGeom xmlns:a="http://schemas.openxmlformats.org/drawingml/2006/main" prst="leftBrace">
          <a:avLst>
            <a:gd name="adj1" fmla="val 18010"/>
            <a:gd name="adj2" fmla="val 50064"/>
          </a:avLst>
        </a:prstGeom>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0.45707</cdr:x>
      <cdr:y>0.30573</cdr:y>
    </cdr:from>
    <cdr:to>
      <cdr:x>0.62942</cdr:x>
      <cdr:y>0.46883</cdr:y>
    </cdr:to>
    <cdr:sp macro="" textlink="">
      <cdr:nvSpPr>
        <cdr:cNvPr id="5" name="TextBox 1"/>
        <cdr:cNvSpPr txBox="1"/>
      </cdr:nvSpPr>
      <cdr:spPr>
        <a:xfrm xmlns:a="http://schemas.openxmlformats.org/drawingml/2006/main">
          <a:off x="3077989" y="821218"/>
          <a:ext cx="1160636" cy="43809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50" b="1" u="sng">
              <a:solidFill>
                <a:schemeClr val="tx2"/>
              </a:solidFill>
            </a:rPr>
            <a:t>Admission Units</a:t>
          </a:r>
        </a:p>
      </cdr:txBody>
    </cdr:sp>
  </cdr:relSizeAnchor>
</c:userShapes>
</file>

<file path=word/drawings/drawing31.xml><?xml version="1.0" encoding="utf-8"?>
<c:userShapes xmlns:c="http://schemas.openxmlformats.org/drawingml/2006/chart">
  <cdr:relSizeAnchor xmlns:cdr="http://schemas.openxmlformats.org/drawingml/2006/chartDrawing">
    <cdr:from>
      <cdr:x>0.50133</cdr:x>
      <cdr:y>0.01042</cdr:y>
    </cdr:from>
    <cdr:to>
      <cdr:x>0.99204</cdr:x>
      <cdr:y>0.10764</cdr:y>
    </cdr:to>
    <cdr:sp macro="" textlink="">
      <cdr:nvSpPr>
        <cdr:cNvPr id="2" name="TextBox 1"/>
        <cdr:cNvSpPr txBox="1"/>
      </cdr:nvSpPr>
      <cdr:spPr>
        <a:xfrm xmlns:a="http://schemas.openxmlformats.org/drawingml/2006/main">
          <a:off x="1800229" y="28572"/>
          <a:ext cx="1762103" cy="26669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100" b="1" u="sng">
              <a:solidFill>
                <a:schemeClr val="tx2"/>
              </a:solidFill>
            </a:rPr>
            <a:t>n=287 Patients Injured</a:t>
          </a:r>
        </a:p>
      </cdr:txBody>
    </cdr:sp>
  </cdr:relSizeAnchor>
</c:userShapes>
</file>

<file path=word/drawings/drawing32.xml><?xml version="1.0" encoding="utf-8"?>
<c:userShapes xmlns:c="http://schemas.openxmlformats.org/drawingml/2006/chart">
  <cdr:relSizeAnchor xmlns:cdr="http://schemas.openxmlformats.org/drawingml/2006/chartDrawing">
    <cdr:from>
      <cdr:x>0.55438</cdr:x>
      <cdr:y>0.06944</cdr:y>
    </cdr:from>
    <cdr:to>
      <cdr:x>0.97082</cdr:x>
      <cdr:y>0.16666</cdr:y>
    </cdr:to>
    <cdr:sp macro="" textlink="">
      <cdr:nvSpPr>
        <cdr:cNvPr id="2" name="TextBox 1"/>
        <cdr:cNvSpPr txBox="1"/>
      </cdr:nvSpPr>
      <cdr:spPr>
        <a:xfrm xmlns:a="http://schemas.openxmlformats.org/drawingml/2006/main">
          <a:off x="1990728" y="190497"/>
          <a:ext cx="1495405" cy="26669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100" b="1" u="sng">
              <a:solidFill>
                <a:schemeClr val="tx2"/>
              </a:solidFill>
            </a:rPr>
            <a:t>n=206 Staff Injured</a:t>
          </a:r>
        </a:p>
      </cdr:txBody>
    </cdr:sp>
  </cdr:relSizeAnchor>
</c:userShapes>
</file>

<file path=word/drawings/drawing4.xml><?xml version="1.0" encoding="utf-8"?>
<c:userShapes xmlns:c="http://schemas.openxmlformats.org/drawingml/2006/chart">
  <cdr:relSizeAnchor xmlns:cdr="http://schemas.openxmlformats.org/drawingml/2006/chartDrawing">
    <cdr:from>
      <cdr:x>0.02795</cdr:x>
      <cdr:y>0.02469</cdr:y>
    </cdr:from>
    <cdr:to>
      <cdr:x>0.29814</cdr:x>
      <cdr:y>0.12675</cdr:y>
    </cdr:to>
    <cdr:sp macro="" textlink="">
      <cdr:nvSpPr>
        <cdr:cNvPr id="2" name="TextBox 1"/>
        <cdr:cNvSpPr txBox="1"/>
      </cdr:nvSpPr>
      <cdr:spPr>
        <a:xfrm xmlns:a="http://schemas.openxmlformats.org/drawingml/2006/main">
          <a:off x="85724" y="71433"/>
          <a:ext cx="828675" cy="2952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u="sng"/>
            <a:t>n=190</a:t>
          </a:r>
        </a:p>
      </cdr:txBody>
    </cdr:sp>
  </cdr:relSizeAnchor>
</c:userShapes>
</file>

<file path=word/drawings/drawing5.xml><?xml version="1.0" encoding="utf-8"?>
<c:userShapes xmlns:c="http://schemas.openxmlformats.org/drawingml/2006/chart">
  <cdr:relSizeAnchor xmlns:cdr="http://schemas.openxmlformats.org/drawingml/2006/chartDrawing">
    <cdr:from>
      <cdr:x>0.09671</cdr:x>
      <cdr:y>0.57491</cdr:y>
    </cdr:from>
    <cdr:to>
      <cdr:x>0.75897</cdr:x>
      <cdr:y>0.67024</cdr:y>
    </cdr:to>
    <cdr:cxnSp macro="">
      <cdr:nvCxnSpPr>
        <cdr:cNvPr id="3" name="Straight Arrow Connector 2"/>
        <cdr:cNvCxnSpPr/>
      </cdr:nvCxnSpPr>
      <cdr:spPr>
        <a:xfrm xmlns:a="http://schemas.openxmlformats.org/drawingml/2006/main" flipV="1">
          <a:off x="460643" y="2041451"/>
          <a:ext cx="3154426" cy="338519"/>
        </a:xfrm>
        <a:prstGeom xmlns:a="http://schemas.openxmlformats.org/drawingml/2006/main" prst="straightConnector1">
          <a:avLst/>
        </a:prstGeom>
        <a:ln xmlns:a="http://schemas.openxmlformats.org/drawingml/2006/main">
          <a:solidFill>
            <a:srgbClr val="C00000"/>
          </a:solidFill>
          <a:tailEnd type="arrow"/>
        </a:ln>
      </cdr:spPr>
      <cdr:style>
        <a:lnRef xmlns:a="http://schemas.openxmlformats.org/drawingml/2006/main" idx="2">
          <a:schemeClr val="accent2"/>
        </a:lnRef>
        <a:fillRef xmlns:a="http://schemas.openxmlformats.org/drawingml/2006/main" idx="0">
          <a:schemeClr val="accent2"/>
        </a:fillRef>
        <a:effectRef xmlns:a="http://schemas.openxmlformats.org/drawingml/2006/main" idx="1">
          <a:schemeClr val="accent2"/>
        </a:effectRef>
        <a:fontRef xmlns:a="http://schemas.openxmlformats.org/drawingml/2006/main" idx="minor">
          <a:schemeClr val="tx1"/>
        </a:fontRef>
      </cdr:style>
    </cdr:cxnSp>
  </cdr:relSizeAnchor>
  <cdr:relSizeAnchor xmlns:cdr="http://schemas.openxmlformats.org/drawingml/2006/chartDrawing">
    <cdr:from>
      <cdr:x>0.33686</cdr:x>
      <cdr:y>0.15548</cdr:y>
    </cdr:from>
    <cdr:to>
      <cdr:x>0.7612</cdr:x>
      <cdr:y>0.22158</cdr:y>
    </cdr:to>
    <cdr:cxnSp macro="">
      <cdr:nvCxnSpPr>
        <cdr:cNvPr id="8" name="Straight Arrow Connector 7"/>
        <cdr:cNvCxnSpPr/>
      </cdr:nvCxnSpPr>
      <cdr:spPr>
        <a:xfrm xmlns:a="http://schemas.openxmlformats.org/drawingml/2006/main">
          <a:off x="1604513" y="552090"/>
          <a:ext cx="2021185" cy="234723"/>
        </a:xfrm>
        <a:prstGeom xmlns:a="http://schemas.openxmlformats.org/drawingml/2006/main" prst="straightConnector1">
          <a:avLst/>
        </a:prstGeom>
        <a:ln xmlns:a="http://schemas.openxmlformats.org/drawingml/2006/main">
          <a:solidFill>
            <a:schemeClr val="tx2"/>
          </a:solidFill>
          <a:tailEnd type="arrow"/>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userShapes>
</file>

<file path=word/drawings/drawing6.xml><?xml version="1.0" encoding="utf-8"?>
<c:userShapes xmlns:c="http://schemas.openxmlformats.org/drawingml/2006/chart">
  <cdr:relSizeAnchor xmlns:cdr="http://schemas.openxmlformats.org/drawingml/2006/chartDrawing">
    <cdr:from>
      <cdr:x>0.20125</cdr:x>
      <cdr:y>0.6866</cdr:y>
    </cdr:from>
    <cdr:to>
      <cdr:x>0.73334</cdr:x>
      <cdr:y>0.72298</cdr:y>
    </cdr:to>
    <cdr:cxnSp macro="">
      <cdr:nvCxnSpPr>
        <cdr:cNvPr id="3" name="Straight Arrow Connector 2"/>
        <cdr:cNvCxnSpPr/>
      </cdr:nvCxnSpPr>
      <cdr:spPr>
        <a:xfrm xmlns:a="http://schemas.openxmlformats.org/drawingml/2006/main" flipV="1">
          <a:off x="622618" y="2656936"/>
          <a:ext cx="1646129" cy="140786"/>
        </a:xfrm>
        <a:prstGeom xmlns:a="http://schemas.openxmlformats.org/drawingml/2006/main" prst="straightConnector1">
          <a:avLst/>
        </a:prstGeom>
        <a:ln xmlns:a="http://schemas.openxmlformats.org/drawingml/2006/main">
          <a:solidFill>
            <a:srgbClr val="C00000"/>
          </a:solidFill>
          <a:tailEnd type="arrow"/>
        </a:ln>
      </cdr:spPr>
      <cdr:style>
        <a:lnRef xmlns:a="http://schemas.openxmlformats.org/drawingml/2006/main" idx="2">
          <a:schemeClr val="accent2"/>
        </a:lnRef>
        <a:fillRef xmlns:a="http://schemas.openxmlformats.org/drawingml/2006/main" idx="0">
          <a:schemeClr val="accent2"/>
        </a:fillRef>
        <a:effectRef xmlns:a="http://schemas.openxmlformats.org/drawingml/2006/main" idx="1">
          <a:schemeClr val="accent2"/>
        </a:effectRef>
        <a:fontRef xmlns:a="http://schemas.openxmlformats.org/drawingml/2006/main" idx="minor">
          <a:schemeClr val="tx1"/>
        </a:fontRef>
      </cdr:style>
    </cdr:cxnSp>
  </cdr:relSizeAnchor>
  <cdr:relSizeAnchor xmlns:cdr="http://schemas.openxmlformats.org/drawingml/2006/chartDrawing">
    <cdr:from>
      <cdr:x>0.20634</cdr:x>
      <cdr:y>0.17611</cdr:y>
    </cdr:from>
    <cdr:to>
      <cdr:x>0.7194</cdr:x>
      <cdr:y>0.19171</cdr:y>
    </cdr:to>
    <cdr:cxnSp macro="">
      <cdr:nvCxnSpPr>
        <cdr:cNvPr id="8" name="Straight Arrow Connector 7"/>
        <cdr:cNvCxnSpPr/>
      </cdr:nvCxnSpPr>
      <cdr:spPr>
        <a:xfrm xmlns:a="http://schemas.openxmlformats.org/drawingml/2006/main" flipV="1">
          <a:off x="638356" y="681487"/>
          <a:ext cx="1587259" cy="60384"/>
        </a:xfrm>
        <a:prstGeom xmlns:a="http://schemas.openxmlformats.org/drawingml/2006/main" prst="straightConnector1">
          <a:avLst/>
        </a:prstGeom>
        <a:ln xmlns:a="http://schemas.openxmlformats.org/drawingml/2006/main">
          <a:tailEnd type="arrow"/>
        </a:ln>
        <a:effectLst xmlns:a="http://schemas.openxmlformats.org/drawingml/2006/main">
          <a:glow rad="63500">
            <a:schemeClr val="tx2">
              <a:lumMod val="50000"/>
              <a:alpha val="41000"/>
            </a:schemeClr>
          </a:glow>
          <a:outerShdw blurRad="40000" dist="20000" dir="5400000" rotWithShape="0">
            <a:srgbClr val="000000">
              <a:alpha val="38000"/>
            </a:srgbClr>
          </a:outerShdw>
        </a:effectLst>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0.02462</cdr:x>
      <cdr:y>0.92321</cdr:y>
    </cdr:from>
    <cdr:to>
      <cdr:x>0.14778</cdr:x>
      <cdr:y>1</cdr:y>
    </cdr:to>
    <cdr:sp macro="" textlink="">
      <cdr:nvSpPr>
        <cdr:cNvPr id="4" name="TextBox 3"/>
        <cdr:cNvSpPr txBox="1"/>
      </cdr:nvSpPr>
      <cdr:spPr>
        <a:xfrm xmlns:a="http://schemas.openxmlformats.org/drawingml/2006/main">
          <a:off x="76166" y="3572540"/>
          <a:ext cx="381034" cy="297150"/>
        </a:xfrm>
        <a:prstGeom xmlns:a="http://schemas.openxmlformats.org/drawingml/2006/main" prst="rect">
          <a:avLst/>
        </a:prstGeom>
      </cdr:spPr>
      <cdr:txBody>
        <a:bodyPr xmlns:a="http://schemas.openxmlformats.org/drawingml/2006/main" vertOverflow="clip" wrap="square" lIns="0" rIns="0" rtlCol="0"/>
        <a:lstStyle xmlns:a="http://schemas.openxmlformats.org/drawingml/2006/main"/>
        <a:p xmlns:a="http://schemas.openxmlformats.org/drawingml/2006/main">
          <a:r>
            <a:rPr lang="en-US" sz="800" b="1"/>
            <a:t>Median:</a:t>
          </a:r>
        </a:p>
      </cdr:txBody>
    </cdr:sp>
  </cdr:relSizeAnchor>
</c:userShapes>
</file>

<file path=word/drawings/drawing7.xml><?xml version="1.0" encoding="utf-8"?>
<c:userShapes xmlns:c="http://schemas.openxmlformats.org/drawingml/2006/chart">
  <cdr:relSizeAnchor xmlns:cdr="http://schemas.openxmlformats.org/drawingml/2006/chartDrawing">
    <cdr:from>
      <cdr:x>0.22028</cdr:x>
      <cdr:y>0.66493</cdr:y>
    </cdr:from>
    <cdr:to>
      <cdr:x>0.73548</cdr:x>
      <cdr:y>0.71112</cdr:y>
    </cdr:to>
    <cdr:cxnSp macro="">
      <cdr:nvCxnSpPr>
        <cdr:cNvPr id="3" name="Straight Arrow Connector 2"/>
        <cdr:cNvCxnSpPr/>
      </cdr:nvCxnSpPr>
      <cdr:spPr>
        <a:xfrm xmlns:a="http://schemas.openxmlformats.org/drawingml/2006/main" flipV="1">
          <a:off x="681487" y="2573074"/>
          <a:ext cx="1593882" cy="178752"/>
        </a:xfrm>
        <a:prstGeom xmlns:a="http://schemas.openxmlformats.org/drawingml/2006/main" prst="straightConnector1">
          <a:avLst/>
        </a:prstGeom>
        <a:ln xmlns:a="http://schemas.openxmlformats.org/drawingml/2006/main">
          <a:solidFill>
            <a:srgbClr val="C00000"/>
          </a:solidFill>
          <a:tailEnd type="arrow"/>
        </a:ln>
      </cdr:spPr>
      <cdr:style>
        <a:lnRef xmlns:a="http://schemas.openxmlformats.org/drawingml/2006/main" idx="2">
          <a:schemeClr val="accent2"/>
        </a:lnRef>
        <a:fillRef xmlns:a="http://schemas.openxmlformats.org/drawingml/2006/main" idx="0">
          <a:schemeClr val="accent2"/>
        </a:fillRef>
        <a:effectRef xmlns:a="http://schemas.openxmlformats.org/drawingml/2006/main" idx="1">
          <a:schemeClr val="accent2"/>
        </a:effectRef>
        <a:fontRef xmlns:a="http://schemas.openxmlformats.org/drawingml/2006/main" idx="minor">
          <a:schemeClr val="tx1"/>
        </a:fontRef>
      </cdr:style>
    </cdr:cxnSp>
  </cdr:relSizeAnchor>
  <cdr:relSizeAnchor xmlns:cdr="http://schemas.openxmlformats.org/drawingml/2006/chartDrawing">
    <cdr:from>
      <cdr:x>0.22028</cdr:x>
      <cdr:y>0.1689</cdr:y>
    </cdr:from>
    <cdr:to>
      <cdr:x>0.75077</cdr:x>
      <cdr:y>0.18503</cdr:y>
    </cdr:to>
    <cdr:cxnSp macro="">
      <cdr:nvCxnSpPr>
        <cdr:cNvPr id="4" name="Straight Arrow Connector 3"/>
        <cdr:cNvCxnSpPr/>
      </cdr:nvCxnSpPr>
      <cdr:spPr>
        <a:xfrm xmlns:a="http://schemas.openxmlformats.org/drawingml/2006/main" flipV="1">
          <a:off x="681487" y="653591"/>
          <a:ext cx="1641185" cy="62401"/>
        </a:xfrm>
        <a:prstGeom xmlns:a="http://schemas.openxmlformats.org/drawingml/2006/main" prst="straightConnector1">
          <a:avLst/>
        </a:prstGeom>
        <a:ln xmlns:a="http://schemas.openxmlformats.org/drawingml/2006/main">
          <a:tailEnd type="arrow"/>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0.01231</cdr:x>
      <cdr:y>0.91772</cdr:y>
    </cdr:from>
    <cdr:to>
      <cdr:x>0.1306</cdr:x>
      <cdr:y>0.98749</cdr:y>
    </cdr:to>
    <cdr:sp macro="" textlink="">
      <cdr:nvSpPr>
        <cdr:cNvPr id="6" name="TextBox 1"/>
        <cdr:cNvSpPr txBox="1"/>
      </cdr:nvSpPr>
      <cdr:spPr>
        <a:xfrm xmlns:a="http://schemas.openxmlformats.org/drawingml/2006/main">
          <a:off x="38084" y="3551275"/>
          <a:ext cx="365953" cy="270005"/>
        </a:xfrm>
        <a:prstGeom xmlns:a="http://schemas.openxmlformats.org/drawingml/2006/main" prst="rect">
          <a:avLst/>
        </a:prstGeom>
      </cdr:spPr>
      <cdr:txBody>
        <a:bodyPr xmlns:a="http://schemas.openxmlformats.org/drawingml/2006/main" wrap="square" lIns="0" r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b="1"/>
            <a:t>Median:</a:t>
          </a:r>
        </a:p>
      </cdr:txBody>
    </cdr:sp>
  </cdr:relSizeAnchor>
</c:userShapes>
</file>

<file path=word/drawings/drawing8.xml><?xml version="1.0" encoding="utf-8"?>
<c:userShapes xmlns:c="http://schemas.openxmlformats.org/drawingml/2006/chart">
  <cdr:relSizeAnchor xmlns:cdr="http://schemas.openxmlformats.org/drawingml/2006/chartDrawing">
    <cdr:from>
      <cdr:x>0.78591</cdr:x>
      <cdr:y>0.67214</cdr:y>
    </cdr:from>
    <cdr:to>
      <cdr:x>0.96901</cdr:x>
      <cdr:y>0.817</cdr:y>
    </cdr:to>
    <cdr:sp macro="" textlink="">
      <cdr:nvSpPr>
        <cdr:cNvPr id="137217" name="Text Box 1"/>
        <cdr:cNvSpPr txBox="1">
          <a:spLocks xmlns:a="http://schemas.openxmlformats.org/drawingml/2006/main" noChangeArrowheads="1"/>
        </cdr:cNvSpPr>
      </cdr:nvSpPr>
      <cdr:spPr bwMode="auto">
        <a:xfrm xmlns:a="http://schemas.openxmlformats.org/drawingml/2006/main">
          <a:off x="5314943" y="1959042"/>
          <a:ext cx="1238260" cy="422216"/>
        </a:xfrm>
        <a:prstGeom xmlns:a="http://schemas.openxmlformats.org/drawingml/2006/main" prst="rect">
          <a:avLst/>
        </a:prstGeom>
        <a:ln xmlns:a="http://schemas.openxmlformats.org/drawingml/2006/main">
          <a:headEnd/>
          <a:tailEnd/>
        </a:ln>
      </cdr:spPr>
      <cdr:style>
        <a:lnRef xmlns:a="http://schemas.openxmlformats.org/drawingml/2006/main" idx="0">
          <a:schemeClr val="dk1"/>
        </a:lnRef>
        <a:fillRef xmlns:a="http://schemas.openxmlformats.org/drawingml/2006/main" idx="3">
          <a:schemeClr val="dk1"/>
        </a:fillRef>
        <a:effectRef xmlns:a="http://schemas.openxmlformats.org/drawingml/2006/main" idx="3">
          <a:schemeClr val="dk1"/>
        </a:effectRef>
        <a:fontRef xmlns:a="http://schemas.openxmlformats.org/drawingml/2006/main" idx="minor">
          <a:schemeClr val="lt1"/>
        </a:fontRef>
      </cdr:style>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US" sz="1100" b="1" i="0" u="none" strike="noStrike" baseline="0">
              <a:solidFill>
                <a:schemeClr val="bg1"/>
              </a:solidFill>
              <a:latin typeface="+mn-lt"/>
            </a:rPr>
            <a:t>n=278 Individuals Served on 9/30/14</a:t>
          </a:r>
        </a:p>
      </cdr:txBody>
    </cdr:sp>
  </cdr:relSizeAnchor>
  <cdr:relSizeAnchor xmlns:cdr="http://schemas.openxmlformats.org/drawingml/2006/chartDrawing">
    <cdr:from>
      <cdr:x>0.02107</cdr:x>
      <cdr:y>0.03095</cdr:y>
    </cdr:from>
    <cdr:to>
      <cdr:x>0.10282</cdr:x>
      <cdr:y>0.10458</cdr:y>
    </cdr:to>
    <cdr:sp macro="" textlink="">
      <cdr:nvSpPr>
        <cdr:cNvPr id="137218" name="Text Box 2"/>
        <cdr:cNvSpPr txBox="1">
          <a:spLocks xmlns:a="http://schemas.openxmlformats.org/drawingml/2006/main" noChangeArrowheads="1"/>
        </cdr:cNvSpPr>
      </cdr:nvSpPr>
      <cdr:spPr bwMode="auto">
        <a:xfrm xmlns:a="http://schemas.openxmlformats.org/drawingml/2006/main">
          <a:off x="142518" y="90195"/>
          <a:ext cx="552807" cy="21460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32004" rIns="0" bIns="0" anchor="t" upright="1"/>
        <a:lstStyle xmlns:a="http://schemas.openxmlformats.org/drawingml/2006/main"/>
        <a:p xmlns:a="http://schemas.openxmlformats.org/drawingml/2006/main">
          <a:pPr algn="l" rtl="0">
            <a:defRPr sz="1000"/>
          </a:pPr>
          <a:r>
            <a:rPr lang="en-US" sz="1100" b="1" i="0" u="none" strike="noStrike" baseline="0">
              <a:solidFill>
                <a:srgbClr val="000000"/>
              </a:solidFill>
              <a:latin typeface="+mn-lt"/>
            </a:rPr>
            <a:t>Age</a:t>
          </a:r>
        </a:p>
      </cdr:txBody>
    </cdr:sp>
  </cdr:relSizeAnchor>
</c:userShapes>
</file>

<file path=word/drawings/drawing9.xml><?xml version="1.0" encoding="utf-8"?>
<c:userShapes xmlns:c="http://schemas.openxmlformats.org/drawingml/2006/chart">
  <cdr:relSizeAnchor xmlns:cdr="http://schemas.openxmlformats.org/drawingml/2006/chartDrawing">
    <cdr:from>
      <cdr:x>0.02503</cdr:x>
      <cdr:y>0.06458</cdr:y>
    </cdr:from>
    <cdr:to>
      <cdr:x>0.19344</cdr:x>
      <cdr:y>0.14542</cdr:y>
    </cdr:to>
    <cdr:sp macro="" textlink="">
      <cdr:nvSpPr>
        <cdr:cNvPr id="2" name="TextBox 1"/>
        <cdr:cNvSpPr txBox="1"/>
      </cdr:nvSpPr>
      <cdr:spPr>
        <a:xfrm xmlns:a="http://schemas.openxmlformats.org/drawingml/2006/main">
          <a:off x="158877" y="135910"/>
          <a:ext cx="1069190" cy="170118"/>
        </a:xfrm>
        <a:prstGeom xmlns:a="http://schemas.openxmlformats.org/drawingml/2006/main" prst="rect">
          <a:avLst/>
        </a:prstGeom>
      </cdr:spPr>
      <cdr:txBody>
        <a:bodyPr xmlns:a="http://schemas.openxmlformats.org/drawingml/2006/main" vert="horz" wrap="square" tIns="0" bIns="0" rtlCol="0" anchor="ctr" anchorCtr="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b="1" u="none">
              <a:solidFill>
                <a:schemeClr val="tx2"/>
              </a:solidFill>
              <a:effectLst>
                <a:glow rad="127000">
                  <a:schemeClr val="tx2">
                    <a:lumMod val="20000"/>
                    <a:lumOff val="80000"/>
                  </a:schemeClr>
                </a:glow>
              </a:effectLst>
            </a:rPr>
            <a:t>Average LOS</a:t>
          </a:r>
        </a:p>
      </cdr:txBody>
    </cdr:sp>
  </cdr:relSizeAnchor>
  <cdr:relSizeAnchor xmlns:cdr="http://schemas.openxmlformats.org/drawingml/2006/chartDrawing">
    <cdr:from>
      <cdr:x>0.67297</cdr:x>
      <cdr:y>0.42913</cdr:y>
    </cdr:from>
    <cdr:to>
      <cdr:x>0.84138</cdr:x>
      <cdr:y>0.50997</cdr:y>
    </cdr:to>
    <cdr:sp macro="" textlink="">
      <cdr:nvSpPr>
        <cdr:cNvPr id="3" name="TextBox 1"/>
        <cdr:cNvSpPr txBox="1"/>
      </cdr:nvSpPr>
      <cdr:spPr>
        <a:xfrm xmlns:a="http://schemas.openxmlformats.org/drawingml/2006/main">
          <a:off x="4272516" y="903061"/>
          <a:ext cx="1069189" cy="170119"/>
        </a:xfrm>
        <a:prstGeom xmlns:a="http://schemas.openxmlformats.org/drawingml/2006/main" prst="rect">
          <a:avLst/>
        </a:prstGeom>
      </cdr:spPr>
      <cdr:txBody>
        <a:bodyPr xmlns:a="http://schemas.openxmlformats.org/drawingml/2006/main" vert="horz" wrap="square" tIns="0" bIns="0" rtlCol="0" anchor="ctr" anchorCtr="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200" b="1" u="none">
              <a:solidFill>
                <a:schemeClr val="accent2"/>
              </a:solidFill>
              <a:effectLst>
                <a:glow rad="127000">
                  <a:schemeClr val="accent2">
                    <a:lumMod val="20000"/>
                    <a:lumOff val="80000"/>
                  </a:schemeClr>
                </a:glow>
              </a:effectLst>
            </a:rPr>
            <a:t>Median LOS</a:t>
          </a:r>
        </a:p>
      </cdr:txBody>
    </cdr:sp>
  </cdr:relSizeAnchor>
  <cdr:relSizeAnchor xmlns:cdr="http://schemas.openxmlformats.org/drawingml/2006/chartDrawing">
    <cdr:from>
      <cdr:x>0.12365</cdr:x>
      <cdr:y>0.16509</cdr:y>
    </cdr:from>
    <cdr:to>
      <cdr:x>0.12402</cdr:x>
      <cdr:y>0.35663</cdr:y>
    </cdr:to>
    <cdr:cxnSp macro="">
      <cdr:nvCxnSpPr>
        <cdr:cNvPr id="5" name="Straight Arrow Connector 4"/>
        <cdr:cNvCxnSpPr/>
      </cdr:nvCxnSpPr>
      <cdr:spPr>
        <a:xfrm xmlns:a="http://schemas.openxmlformats.org/drawingml/2006/main" flipH="1">
          <a:off x="785004" y="347418"/>
          <a:ext cx="2359" cy="403080"/>
        </a:xfrm>
        <a:prstGeom xmlns:a="http://schemas.openxmlformats.org/drawingml/2006/main" prst="straightConnector1">
          <a:avLst/>
        </a:prstGeom>
        <a:ln xmlns:a="http://schemas.openxmlformats.org/drawingml/2006/main">
          <a:solidFill>
            <a:schemeClr val="tx2"/>
          </a:solidFill>
          <a:tailEnd type="arrow"/>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0.73824</cdr:x>
      <cdr:y>0.51595</cdr:y>
    </cdr:from>
    <cdr:to>
      <cdr:x>0.74053</cdr:x>
      <cdr:y>0.68048</cdr:y>
    </cdr:to>
    <cdr:cxnSp macro="">
      <cdr:nvCxnSpPr>
        <cdr:cNvPr id="13" name="Straight Arrow Connector 12"/>
        <cdr:cNvCxnSpPr/>
      </cdr:nvCxnSpPr>
      <cdr:spPr>
        <a:xfrm xmlns:a="http://schemas.openxmlformats.org/drawingml/2006/main">
          <a:off x="4686888" y="1085764"/>
          <a:ext cx="14508" cy="346221"/>
        </a:xfrm>
        <a:prstGeom xmlns:a="http://schemas.openxmlformats.org/drawingml/2006/main" prst="straightConnector1">
          <a:avLst/>
        </a:prstGeom>
        <a:ln xmlns:a="http://schemas.openxmlformats.org/drawingml/2006/main">
          <a:tailEnd type="arrow"/>
        </a:ln>
      </cdr:spPr>
      <cdr:style>
        <a:lnRef xmlns:a="http://schemas.openxmlformats.org/drawingml/2006/main" idx="2">
          <a:schemeClr val="accent2"/>
        </a:lnRef>
        <a:fillRef xmlns:a="http://schemas.openxmlformats.org/drawingml/2006/main" idx="0">
          <a:schemeClr val="accent2"/>
        </a:fillRef>
        <a:effectRef xmlns:a="http://schemas.openxmlformats.org/drawingml/2006/main" idx="1">
          <a:schemeClr val="accent2"/>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B29FAB-8B30-46B0-90E9-DF8A10D7A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16775</Words>
  <Characters>95619</Characters>
  <Application>Microsoft Office Word</Application>
  <DocSecurity>4</DocSecurity>
  <Lines>796</Lines>
  <Paragraphs>224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112170</CharactersWithSpaces>
  <SharedDoc>false</SharedDoc>
  <HLinks>
    <vt:vector size="618" baseType="variant">
      <vt:variant>
        <vt:i4>6357056</vt:i4>
      </vt:variant>
      <vt:variant>
        <vt:i4>621</vt:i4>
      </vt:variant>
      <vt:variant>
        <vt:i4>0</vt:i4>
      </vt:variant>
      <vt:variant>
        <vt:i4>5</vt:i4>
      </vt:variant>
      <vt:variant>
        <vt:lpwstr>mailto:Won-ok.Kim@dc.gov</vt:lpwstr>
      </vt:variant>
      <vt:variant>
        <vt:lpwstr/>
      </vt:variant>
      <vt:variant>
        <vt:i4>1703995</vt:i4>
      </vt:variant>
      <vt:variant>
        <vt:i4>614</vt:i4>
      </vt:variant>
      <vt:variant>
        <vt:i4>0</vt:i4>
      </vt:variant>
      <vt:variant>
        <vt:i4>5</vt:i4>
      </vt:variant>
      <vt:variant>
        <vt:lpwstr/>
      </vt:variant>
      <vt:variant>
        <vt:lpwstr>_Toc278209118</vt:lpwstr>
      </vt:variant>
      <vt:variant>
        <vt:i4>1703995</vt:i4>
      </vt:variant>
      <vt:variant>
        <vt:i4>608</vt:i4>
      </vt:variant>
      <vt:variant>
        <vt:i4>0</vt:i4>
      </vt:variant>
      <vt:variant>
        <vt:i4>5</vt:i4>
      </vt:variant>
      <vt:variant>
        <vt:lpwstr/>
      </vt:variant>
      <vt:variant>
        <vt:lpwstr>_Toc278209117</vt:lpwstr>
      </vt:variant>
      <vt:variant>
        <vt:i4>1703995</vt:i4>
      </vt:variant>
      <vt:variant>
        <vt:i4>602</vt:i4>
      </vt:variant>
      <vt:variant>
        <vt:i4>0</vt:i4>
      </vt:variant>
      <vt:variant>
        <vt:i4>5</vt:i4>
      </vt:variant>
      <vt:variant>
        <vt:lpwstr/>
      </vt:variant>
      <vt:variant>
        <vt:lpwstr>_Toc278209116</vt:lpwstr>
      </vt:variant>
      <vt:variant>
        <vt:i4>1703995</vt:i4>
      </vt:variant>
      <vt:variant>
        <vt:i4>596</vt:i4>
      </vt:variant>
      <vt:variant>
        <vt:i4>0</vt:i4>
      </vt:variant>
      <vt:variant>
        <vt:i4>5</vt:i4>
      </vt:variant>
      <vt:variant>
        <vt:lpwstr/>
      </vt:variant>
      <vt:variant>
        <vt:lpwstr>_Toc278209115</vt:lpwstr>
      </vt:variant>
      <vt:variant>
        <vt:i4>1703995</vt:i4>
      </vt:variant>
      <vt:variant>
        <vt:i4>590</vt:i4>
      </vt:variant>
      <vt:variant>
        <vt:i4>0</vt:i4>
      </vt:variant>
      <vt:variant>
        <vt:i4>5</vt:i4>
      </vt:variant>
      <vt:variant>
        <vt:lpwstr/>
      </vt:variant>
      <vt:variant>
        <vt:lpwstr>_Toc278209114</vt:lpwstr>
      </vt:variant>
      <vt:variant>
        <vt:i4>1703995</vt:i4>
      </vt:variant>
      <vt:variant>
        <vt:i4>584</vt:i4>
      </vt:variant>
      <vt:variant>
        <vt:i4>0</vt:i4>
      </vt:variant>
      <vt:variant>
        <vt:i4>5</vt:i4>
      </vt:variant>
      <vt:variant>
        <vt:lpwstr/>
      </vt:variant>
      <vt:variant>
        <vt:lpwstr>_Toc278209113</vt:lpwstr>
      </vt:variant>
      <vt:variant>
        <vt:i4>1703995</vt:i4>
      </vt:variant>
      <vt:variant>
        <vt:i4>578</vt:i4>
      </vt:variant>
      <vt:variant>
        <vt:i4>0</vt:i4>
      </vt:variant>
      <vt:variant>
        <vt:i4>5</vt:i4>
      </vt:variant>
      <vt:variant>
        <vt:lpwstr/>
      </vt:variant>
      <vt:variant>
        <vt:lpwstr>_Toc278209112</vt:lpwstr>
      </vt:variant>
      <vt:variant>
        <vt:i4>1703995</vt:i4>
      </vt:variant>
      <vt:variant>
        <vt:i4>572</vt:i4>
      </vt:variant>
      <vt:variant>
        <vt:i4>0</vt:i4>
      </vt:variant>
      <vt:variant>
        <vt:i4>5</vt:i4>
      </vt:variant>
      <vt:variant>
        <vt:lpwstr/>
      </vt:variant>
      <vt:variant>
        <vt:lpwstr>_Toc278209111</vt:lpwstr>
      </vt:variant>
      <vt:variant>
        <vt:i4>1703995</vt:i4>
      </vt:variant>
      <vt:variant>
        <vt:i4>566</vt:i4>
      </vt:variant>
      <vt:variant>
        <vt:i4>0</vt:i4>
      </vt:variant>
      <vt:variant>
        <vt:i4>5</vt:i4>
      </vt:variant>
      <vt:variant>
        <vt:lpwstr/>
      </vt:variant>
      <vt:variant>
        <vt:lpwstr>_Toc278209110</vt:lpwstr>
      </vt:variant>
      <vt:variant>
        <vt:i4>1769531</vt:i4>
      </vt:variant>
      <vt:variant>
        <vt:i4>560</vt:i4>
      </vt:variant>
      <vt:variant>
        <vt:i4>0</vt:i4>
      </vt:variant>
      <vt:variant>
        <vt:i4>5</vt:i4>
      </vt:variant>
      <vt:variant>
        <vt:lpwstr/>
      </vt:variant>
      <vt:variant>
        <vt:lpwstr>_Toc278209109</vt:lpwstr>
      </vt:variant>
      <vt:variant>
        <vt:i4>1769531</vt:i4>
      </vt:variant>
      <vt:variant>
        <vt:i4>554</vt:i4>
      </vt:variant>
      <vt:variant>
        <vt:i4>0</vt:i4>
      </vt:variant>
      <vt:variant>
        <vt:i4>5</vt:i4>
      </vt:variant>
      <vt:variant>
        <vt:lpwstr/>
      </vt:variant>
      <vt:variant>
        <vt:lpwstr>_Toc278209108</vt:lpwstr>
      </vt:variant>
      <vt:variant>
        <vt:i4>1769531</vt:i4>
      </vt:variant>
      <vt:variant>
        <vt:i4>548</vt:i4>
      </vt:variant>
      <vt:variant>
        <vt:i4>0</vt:i4>
      </vt:variant>
      <vt:variant>
        <vt:i4>5</vt:i4>
      </vt:variant>
      <vt:variant>
        <vt:lpwstr/>
      </vt:variant>
      <vt:variant>
        <vt:lpwstr>_Toc278209107</vt:lpwstr>
      </vt:variant>
      <vt:variant>
        <vt:i4>1769531</vt:i4>
      </vt:variant>
      <vt:variant>
        <vt:i4>542</vt:i4>
      </vt:variant>
      <vt:variant>
        <vt:i4>0</vt:i4>
      </vt:variant>
      <vt:variant>
        <vt:i4>5</vt:i4>
      </vt:variant>
      <vt:variant>
        <vt:lpwstr/>
      </vt:variant>
      <vt:variant>
        <vt:lpwstr>_Toc278209106</vt:lpwstr>
      </vt:variant>
      <vt:variant>
        <vt:i4>1769531</vt:i4>
      </vt:variant>
      <vt:variant>
        <vt:i4>536</vt:i4>
      </vt:variant>
      <vt:variant>
        <vt:i4>0</vt:i4>
      </vt:variant>
      <vt:variant>
        <vt:i4>5</vt:i4>
      </vt:variant>
      <vt:variant>
        <vt:lpwstr/>
      </vt:variant>
      <vt:variant>
        <vt:lpwstr>_Toc278209105</vt:lpwstr>
      </vt:variant>
      <vt:variant>
        <vt:i4>1769531</vt:i4>
      </vt:variant>
      <vt:variant>
        <vt:i4>530</vt:i4>
      </vt:variant>
      <vt:variant>
        <vt:i4>0</vt:i4>
      </vt:variant>
      <vt:variant>
        <vt:i4>5</vt:i4>
      </vt:variant>
      <vt:variant>
        <vt:lpwstr/>
      </vt:variant>
      <vt:variant>
        <vt:lpwstr>_Toc278209104</vt:lpwstr>
      </vt:variant>
      <vt:variant>
        <vt:i4>1769531</vt:i4>
      </vt:variant>
      <vt:variant>
        <vt:i4>524</vt:i4>
      </vt:variant>
      <vt:variant>
        <vt:i4>0</vt:i4>
      </vt:variant>
      <vt:variant>
        <vt:i4>5</vt:i4>
      </vt:variant>
      <vt:variant>
        <vt:lpwstr/>
      </vt:variant>
      <vt:variant>
        <vt:lpwstr>_Toc278209103</vt:lpwstr>
      </vt:variant>
      <vt:variant>
        <vt:i4>1769531</vt:i4>
      </vt:variant>
      <vt:variant>
        <vt:i4>515</vt:i4>
      </vt:variant>
      <vt:variant>
        <vt:i4>0</vt:i4>
      </vt:variant>
      <vt:variant>
        <vt:i4>5</vt:i4>
      </vt:variant>
      <vt:variant>
        <vt:lpwstr/>
      </vt:variant>
      <vt:variant>
        <vt:lpwstr>_Toc278209102</vt:lpwstr>
      </vt:variant>
      <vt:variant>
        <vt:i4>1769531</vt:i4>
      </vt:variant>
      <vt:variant>
        <vt:i4>509</vt:i4>
      </vt:variant>
      <vt:variant>
        <vt:i4>0</vt:i4>
      </vt:variant>
      <vt:variant>
        <vt:i4>5</vt:i4>
      </vt:variant>
      <vt:variant>
        <vt:lpwstr/>
      </vt:variant>
      <vt:variant>
        <vt:lpwstr>_Toc278209101</vt:lpwstr>
      </vt:variant>
      <vt:variant>
        <vt:i4>1769531</vt:i4>
      </vt:variant>
      <vt:variant>
        <vt:i4>503</vt:i4>
      </vt:variant>
      <vt:variant>
        <vt:i4>0</vt:i4>
      </vt:variant>
      <vt:variant>
        <vt:i4>5</vt:i4>
      </vt:variant>
      <vt:variant>
        <vt:lpwstr/>
      </vt:variant>
      <vt:variant>
        <vt:lpwstr>_Toc278209100</vt:lpwstr>
      </vt:variant>
      <vt:variant>
        <vt:i4>1179706</vt:i4>
      </vt:variant>
      <vt:variant>
        <vt:i4>497</vt:i4>
      </vt:variant>
      <vt:variant>
        <vt:i4>0</vt:i4>
      </vt:variant>
      <vt:variant>
        <vt:i4>5</vt:i4>
      </vt:variant>
      <vt:variant>
        <vt:lpwstr/>
      </vt:variant>
      <vt:variant>
        <vt:lpwstr>_Toc278209099</vt:lpwstr>
      </vt:variant>
      <vt:variant>
        <vt:i4>1179706</vt:i4>
      </vt:variant>
      <vt:variant>
        <vt:i4>491</vt:i4>
      </vt:variant>
      <vt:variant>
        <vt:i4>0</vt:i4>
      </vt:variant>
      <vt:variant>
        <vt:i4>5</vt:i4>
      </vt:variant>
      <vt:variant>
        <vt:lpwstr/>
      </vt:variant>
      <vt:variant>
        <vt:lpwstr>_Toc278209098</vt:lpwstr>
      </vt:variant>
      <vt:variant>
        <vt:i4>1179706</vt:i4>
      </vt:variant>
      <vt:variant>
        <vt:i4>485</vt:i4>
      </vt:variant>
      <vt:variant>
        <vt:i4>0</vt:i4>
      </vt:variant>
      <vt:variant>
        <vt:i4>5</vt:i4>
      </vt:variant>
      <vt:variant>
        <vt:lpwstr/>
      </vt:variant>
      <vt:variant>
        <vt:lpwstr>_Toc278209097</vt:lpwstr>
      </vt:variant>
      <vt:variant>
        <vt:i4>1179706</vt:i4>
      </vt:variant>
      <vt:variant>
        <vt:i4>479</vt:i4>
      </vt:variant>
      <vt:variant>
        <vt:i4>0</vt:i4>
      </vt:variant>
      <vt:variant>
        <vt:i4>5</vt:i4>
      </vt:variant>
      <vt:variant>
        <vt:lpwstr/>
      </vt:variant>
      <vt:variant>
        <vt:lpwstr>_Toc278209096</vt:lpwstr>
      </vt:variant>
      <vt:variant>
        <vt:i4>1179706</vt:i4>
      </vt:variant>
      <vt:variant>
        <vt:i4>473</vt:i4>
      </vt:variant>
      <vt:variant>
        <vt:i4>0</vt:i4>
      </vt:variant>
      <vt:variant>
        <vt:i4>5</vt:i4>
      </vt:variant>
      <vt:variant>
        <vt:lpwstr/>
      </vt:variant>
      <vt:variant>
        <vt:lpwstr>_Toc278209095</vt:lpwstr>
      </vt:variant>
      <vt:variant>
        <vt:i4>1179706</vt:i4>
      </vt:variant>
      <vt:variant>
        <vt:i4>467</vt:i4>
      </vt:variant>
      <vt:variant>
        <vt:i4>0</vt:i4>
      </vt:variant>
      <vt:variant>
        <vt:i4>5</vt:i4>
      </vt:variant>
      <vt:variant>
        <vt:lpwstr/>
      </vt:variant>
      <vt:variant>
        <vt:lpwstr>_Toc278209094</vt:lpwstr>
      </vt:variant>
      <vt:variant>
        <vt:i4>1179706</vt:i4>
      </vt:variant>
      <vt:variant>
        <vt:i4>461</vt:i4>
      </vt:variant>
      <vt:variant>
        <vt:i4>0</vt:i4>
      </vt:variant>
      <vt:variant>
        <vt:i4>5</vt:i4>
      </vt:variant>
      <vt:variant>
        <vt:lpwstr/>
      </vt:variant>
      <vt:variant>
        <vt:lpwstr>_Toc278209093</vt:lpwstr>
      </vt:variant>
      <vt:variant>
        <vt:i4>1179706</vt:i4>
      </vt:variant>
      <vt:variant>
        <vt:i4>455</vt:i4>
      </vt:variant>
      <vt:variant>
        <vt:i4>0</vt:i4>
      </vt:variant>
      <vt:variant>
        <vt:i4>5</vt:i4>
      </vt:variant>
      <vt:variant>
        <vt:lpwstr/>
      </vt:variant>
      <vt:variant>
        <vt:lpwstr>_Toc278209092</vt:lpwstr>
      </vt:variant>
      <vt:variant>
        <vt:i4>1179706</vt:i4>
      </vt:variant>
      <vt:variant>
        <vt:i4>449</vt:i4>
      </vt:variant>
      <vt:variant>
        <vt:i4>0</vt:i4>
      </vt:variant>
      <vt:variant>
        <vt:i4>5</vt:i4>
      </vt:variant>
      <vt:variant>
        <vt:lpwstr/>
      </vt:variant>
      <vt:variant>
        <vt:lpwstr>_Toc278209091</vt:lpwstr>
      </vt:variant>
      <vt:variant>
        <vt:i4>1179706</vt:i4>
      </vt:variant>
      <vt:variant>
        <vt:i4>443</vt:i4>
      </vt:variant>
      <vt:variant>
        <vt:i4>0</vt:i4>
      </vt:variant>
      <vt:variant>
        <vt:i4>5</vt:i4>
      </vt:variant>
      <vt:variant>
        <vt:lpwstr/>
      </vt:variant>
      <vt:variant>
        <vt:lpwstr>_Toc278209090</vt:lpwstr>
      </vt:variant>
      <vt:variant>
        <vt:i4>1245242</vt:i4>
      </vt:variant>
      <vt:variant>
        <vt:i4>437</vt:i4>
      </vt:variant>
      <vt:variant>
        <vt:i4>0</vt:i4>
      </vt:variant>
      <vt:variant>
        <vt:i4>5</vt:i4>
      </vt:variant>
      <vt:variant>
        <vt:lpwstr/>
      </vt:variant>
      <vt:variant>
        <vt:lpwstr>_Toc278209089</vt:lpwstr>
      </vt:variant>
      <vt:variant>
        <vt:i4>1245242</vt:i4>
      </vt:variant>
      <vt:variant>
        <vt:i4>431</vt:i4>
      </vt:variant>
      <vt:variant>
        <vt:i4>0</vt:i4>
      </vt:variant>
      <vt:variant>
        <vt:i4>5</vt:i4>
      </vt:variant>
      <vt:variant>
        <vt:lpwstr/>
      </vt:variant>
      <vt:variant>
        <vt:lpwstr>_Toc278209088</vt:lpwstr>
      </vt:variant>
      <vt:variant>
        <vt:i4>1245242</vt:i4>
      </vt:variant>
      <vt:variant>
        <vt:i4>425</vt:i4>
      </vt:variant>
      <vt:variant>
        <vt:i4>0</vt:i4>
      </vt:variant>
      <vt:variant>
        <vt:i4>5</vt:i4>
      </vt:variant>
      <vt:variant>
        <vt:lpwstr/>
      </vt:variant>
      <vt:variant>
        <vt:lpwstr>_Toc278209087</vt:lpwstr>
      </vt:variant>
      <vt:variant>
        <vt:i4>1245242</vt:i4>
      </vt:variant>
      <vt:variant>
        <vt:i4>419</vt:i4>
      </vt:variant>
      <vt:variant>
        <vt:i4>0</vt:i4>
      </vt:variant>
      <vt:variant>
        <vt:i4>5</vt:i4>
      </vt:variant>
      <vt:variant>
        <vt:lpwstr/>
      </vt:variant>
      <vt:variant>
        <vt:lpwstr>_Toc278209086</vt:lpwstr>
      </vt:variant>
      <vt:variant>
        <vt:i4>1245242</vt:i4>
      </vt:variant>
      <vt:variant>
        <vt:i4>413</vt:i4>
      </vt:variant>
      <vt:variant>
        <vt:i4>0</vt:i4>
      </vt:variant>
      <vt:variant>
        <vt:i4>5</vt:i4>
      </vt:variant>
      <vt:variant>
        <vt:lpwstr/>
      </vt:variant>
      <vt:variant>
        <vt:lpwstr>_Toc278209085</vt:lpwstr>
      </vt:variant>
      <vt:variant>
        <vt:i4>1245242</vt:i4>
      </vt:variant>
      <vt:variant>
        <vt:i4>407</vt:i4>
      </vt:variant>
      <vt:variant>
        <vt:i4>0</vt:i4>
      </vt:variant>
      <vt:variant>
        <vt:i4>5</vt:i4>
      </vt:variant>
      <vt:variant>
        <vt:lpwstr/>
      </vt:variant>
      <vt:variant>
        <vt:lpwstr>_Toc278209084</vt:lpwstr>
      </vt:variant>
      <vt:variant>
        <vt:i4>1245242</vt:i4>
      </vt:variant>
      <vt:variant>
        <vt:i4>401</vt:i4>
      </vt:variant>
      <vt:variant>
        <vt:i4>0</vt:i4>
      </vt:variant>
      <vt:variant>
        <vt:i4>5</vt:i4>
      </vt:variant>
      <vt:variant>
        <vt:lpwstr/>
      </vt:variant>
      <vt:variant>
        <vt:lpwstr>_Toc278209083</vt:lpwstr>
      </vt:variant>
      <vt:variant>
        <vt:i4>1245242</vt:i4>
      </vt:variant>
      <vt:variant>
        <vt:i4>395</vt:i4>
      </vt:variant>
      <vt:variant>
        <vt:i4>0</vt:i4>
      </vt:variant>
      <vt:variant>
        <vt:i4>5</vt:i4>
      </vt:variant>
      <vt:variant>
        <vt:lpwstr/>
      </vt:variant>
      <vt:variant>
        <vt:lpwstr>_Toc278209082</vt:lpwstr>
      </vt:variant>
      <vt:variant>
        <vt:i4>1245242</vt:i4>
      </vt:variant>
      <vt:variant>
        <vt:i4>389</vt:i4>
      </vt:variant>
      <vt:variant>
        <vt:i4>0</vt:i4>
      </vt:variant>
      <vt:variant>
        <vt:i4>5</vt:i4>
      </vt:variant>
      <vt:variant>
        <vt:lpwstr/>
      </vt:variant>
      <vt:variant>
        <vt:lpwstr>_Toc278209081</vt:lpwstr>
      </vt:variant>
      <vt:variant>
        <vt:i4>1245242</vt:i4>
      </vt:variant>
      <vt:variant>
        <vt:i4>383</vt:i4>
      </vt:variant>
      <vt:variant>
        <vt:i4>0</vt:i4>
      </vt:variant>
      <vt:variant>
        <vt:i4>5</vt:i4>
      </vt:variant>
      <vt:variant>
        <vt:lpwstr/>
      </vt:variant>
      <vt:variant>
        <vt:lpwstr>_Toc278209080</vt:lpwstr>
      </vt:variant>
      <vt:variant>
        <vt:i4>1835066</vt:i4>
      </vt:variant>
      <vt:variant>
        <vt:i4>377</vt:i4>
      </vt:variant>
      <vt:variant>
        <vt:i4>0</vt:i4>
      </vt:variant>
      <vt:variant>
        <vt:i4>5</vt:i4>
      </vt:variant>
      <vt:variant>
        <vt:lpwstr/>
      </vt:variant>
      <vt:variant>
        <vt:lpwstr>_Toc278209079</vt:lpwstr>
      </vt:variant>
      <vt:variant>
        <vt:i4>1835066</vt:i4>
      </vt:variant>
      <vt:variant>
        <vt:i4>371</vt:i4>
      </vt:variant>
      <vt:variant>
        <vt:i4>0</vt:i4>
      </vt:variant>
      <vt:variant>
        <vt:i4>5</vt:i4>
      </vt:variant>
      <vt:variant>
        <vt:lpwstr/>
      </vt:variant>
      <vt:variant>
        <vt:lpwstr>_Toc278209078</vt:lpwstr>
      </vt:variant>
      <vt:variant>
        <vt:i4>1835066</vt:i4>
      </vt:variant>
      <vt:variant>
        <vt:i4>365</vt:i4>
      </vt:variant>
      <vt:variant>
        <vt:i4>0</vt:i4>
      </vt:variant>
      <vt:variant>
        <vt:i4>5</vt:i4>
      </vt:variant>
      <vt:variant>
        <vt:lpwstr/>
      </vt:variant>
      <vt:variant>
        <vt:lpwstr>_Toc278209077</vt:lpwstr>
      </vt:variant>
      <vt:variant>
        <vt:i4>1835066</vt:i4>
      </vt:variant>
      <vt:variant>
        <vt:i4>359</vt:i4>
      </vt:variant>
      <vt:variant>
        <vt:i4>0</vt:i4>
      </vt:variant>
      <vt:variant>
        <vt:i4>5</vt:i4>
      </vt:variant>
      <vt:variant>
        <vt:lpwstr/>
      </vt:variant>
      <vt:variant>
        <vt:lpwstr>_Toc278209076</vt:lpwstr>
      </vt:variant>
      <vt:variant>
        <vt:i4>1835066</vt:i4>
      </vt:variant>
      <vt:variant>
        <vt:i4>353</vt:i4>
      </vt:variant>
      <vt:variant>
        <vt:i4>0</vt:i4>
      </vt:variant>
      <vt:variant>
        <vt:i4>5</vt:i4>
      </vt:variant>
      <vt:variant>
        <vt:lpwstr/>
      </vt:variant>
      <vt:variant>
        <vt:lpwstr>_Toc278209075</vt:lpwstr>
      </vt:variant>
      <vt:variant>
        <vt:i4>1835066</vt:i4>
      </vt:variant>
      <vt:variant>
        <vt:i4>347</vt:i4>
      </vt:variant>
      <vt:variant>
        <vt:i4>0</vt:i4>
      </vt:variant>
      <vt:variant>
        <vt:i4>5</vt:i4>
      </vt:variant>
      <vt:variant>
        <vt:lpwstr/>
      </vt:variant>
      <vt:variant>
        <vt:lpwstr>_Toc278209074</vt:lpwstr>
      </vt:variant>
      <vt:variant>
        <vt:i4>1835066</vt:i4>
      </vt:variant>
      <vt:variant>
        <vt:i4>341</vt:i4>
      </vt:variant>
      <vt:variant>
        <vt:i4>0</vt:i4>
      </vt:variant>
      <vt:variant>
        <vt:i4>5</vt:i4>
      </vt:variant>
      <vt:variant>
        <vt:lpwstr/>
      </vt:variant>
      <vt:variant>
        <vt:lpwstr>_Toc278209073</vt:lpwstr>
      </vt:variant>
      <vt:variant>
        <vt:i4>1835066</vt:i4>
      </vt:variant>
      <vt:variant>
        <vt:i4>335</vt:i4>
      </vt:variant>
      <vt:variant>
        <vt:i4>0</vt:i4>
      </vt:variant>
      <vt:variant>
        <vt:i4>5</vt:i4>
      </vt:variant>
      <vt:variant>
        <vt:lpwstr/>
      </vt:variant>
      <vt:variant>
        <vt:lpwstr>_Toc278209072</vt:lpwstr>
      </vt:variant>
      <vt:variant>
        <vt:i4>1835066</vt:i4>
      </vt:variant>
      <vt:variant>
        <vt:i4>329</vt:i4>
      </vt:variant>
      <vt:variant>
        <vt:i4>0</vt:i4>
      </vt:variant>
      <vt:variant>
        <vt:i4>5</vt:i4>
      </vt:variant>
      <vt:variant>
        <vt:lpwstr/>
      </vt:variant>
      <vt:variant>
        <vt:lpwstr>_Toc278209071</vt:lpwstr>
      </vt:variant>
      <vt:variant>
        <vt:i4>1835066</vt:i4>
      </vt:variant>
      <vt:variant>
        <vt:i4>323</vt:i4>
      </vt:variant>
      <vt:variant>
        <vt:i4>0</vt:i4>
      </vt:variant>
      <vt:variant>
        <vt:i4>5</vt:i4>
      </vt:variant>
      <vt:variant>
        <vt:lpwstr/>
      </vt:variant>
      <vt:variant>
        <vt:lpwstr>_Toc278209070</vt:lpwstr>
      </vt:variant>
      <vt:variant>
        <vt:i4>1900602</vt:i4>
      </vt:variant>
      <vt:variant>
        <vt:i4>317</vt:i4>
      </vt:variant>
      <vt:variant>
        <vt:i4>0</vt:i4>
      </vt:variant>
      <vt:variant>
        <vt:i4>5</vt:i4>
      </vt:variant>
      <vt:variant>
        <vt:lpwstr/>
      </vt:variant>
      <vt:variant>
        <vt:lpwstr>_Toc278209069</vt:lpwstr>
      </vt:variant>
      <vt:variant>
        <vt:i4>1900602</vt:i4>
      </vt:variant>
      <vt:variant>
        <vt:i4>311</vt:i4>
      </vt:variant>
      <vt:variant>
        <vt:i4>0</vt:i4>
      </vt:variant>
      <vt:variant>
        <vt:i4>5</vt:i4>
      </vt:variant>
      <vt:variant>
        <vt:lpwstr/>
      </vt:variant>
      <vt:variant>
        <vt:lpwstr>_Toc278209068</vt:lpwstr>
      </vt:variant>
      <vt:variant>
        <vt:i4>1900602</vt:i4>
      </vt:variant>
      <vt:variant>
        <vt:i4>305</vt:i4>
      </vt:variant>
      <vt:variant>
        <vt:i4>0</vt:i4>
      </vt:variant>
      <vt:variant>
        <vt:i4>5</vt:i4>
      </vt:variant>
      <vt:variant>
        <vt:lpwstr/>
      </vt:variant>
      <vt:variant>
        <vt:lpwstr>_Toc278209067</vt:lpwstr>
      </vt:variant>
      <vt:variant>
        <vt:i4>1900602</vt:i4>
      </vt:variant>
      <vt:variant>
        <vt:i4>299</vt:i4>
      </vt:variant>
      <vt:variant>
        <vt:i4>0</vt:i4>
      </vt:variant>
      <vt:variant>
        <vt:i4>5</vt:i4>
      </vt:variant>
      <vt:variant>
        <vt:lpwstr/>
      </vt:variant>
      <vt:variant>
        <vt:lpwstr>_Toc278209066</vt:lpwstr>
      </vt:variant>
      <vt:variant>
        <vt:i4>1900602</vt:i4>
      </vt:variant>
      <vt:variant>
        <vt:i4>293</vt:i4>
      </vt:variant>
      <vt:variant>
        <vt:i4>0</vt:i4>
      </vt:variant>
      <vt:variant>
        <vt:i4>5</vt:i4>
      </vt:variant>
      <vt:variant>
        <vt:lpwstr/>
      </vt:variant>
      <vt:variant>
        <vt:lpwstr>_Toc278209065</vt:lpwstr>
      </vt:variant>
      <vt:variant>
        <vt:i4>1900602</vt:i4>
      </vt:variant>
      <vt:variant>
        <vt:i4>287</vt:i4>
      </vt:variant>
      <vt:variant>
        <vt:i4>0</vt:i4>
      </vt:variant>
      <vt:variant>
        <vt:i4>5</vt:i4>
      </vt:variant>
      <vt:variant>
        <vt:lpwstr/>
      </vt:variant>
      <vt:variant>
        <vt:lpwstr>_Toc278209064</vt:lpwstr>
      </vt:variant>
      <vt:variant>
        <vt:i4>1900602</vt:i4>
      </vt:variant>
      <vt:variant>
        <vt:i4>281</vt:i4>
      </vt:variant>
      <vt:variant>
        <vt:i4>0</vt:i4>
      </vt:variant>
      <vt:variant>
        <vt:i4>5</vt:i4>
      </vt:variant>
      <vt:variant>
        <vt:lpwstr/>
      </vt:variant>
      <vt:variant>
        <vt:lpwstr>_Toc278209063</vt:lpwstr>
      </vt:variant>
      <vt:variant>
        <vt:i4>1900602</vt:i4>
      </vt:variant>
      <vt:variant>
        <vt:i4>275</vt:i4>
      </vt:variant>
      <vt:variant>
        <vt:i4>0</vt:i4>
      </vt:variant>
      <vt:variant>
        <vt:i4>5</vt:i4>
      </vt:variant>
      <vt:variant>
        <vt:lpwstr/>
      </vt:variant>
      <vt:variant>
        <vt:lpwstr>_Toc278209062</vt:lpwstr>
      </vt:variant>
      <vt:variant>
        <vt:i4>1900602</vt:i4>
      </vt:variant>
      <vt:variant>
        <vt:i4>269</vt:i4>
      </vt:variant>
      <vt:variant>
        <vt:i4>0</vt:i4>
      </vt:variant>
      <vt:variant>
        <vt:i4>5</vt:i4>
      </vt:variant>
      <vt:variant>
        <vt:lpwstr/>
      </vt:variant>
      <vt:variant>
        <vt:lpwstr>_Toc278209061</vt:lpwstr>
      </vt:variant>
      <vt:variant>
        <vt:i4>1900602</vt:i4>
      </vt:variant>
      <vt:variant>
        <vt:i4>263</vt:i4>
      </vt:variant>
      <vt:variant>
        <vt:i4>0</vt:i4>
      </vt:variant>
      <vt:variant>
        <vt:i4>5</vt:i4>
      </vt:variant>
      <vt:variant>
        <vt:lpwstr/>
      </vt:variant>
      <vt:variant>
        <vt:lpwstr>_Toc278209060</vt:lpwstr>
      </vt:variant>
      <vt:variant>
        <vt:i4>1966138</vt:i4>
      </vt:variant>
      <vt:variant>
        <vt:i4>257</vt:i4>
      </vt:variant>
      <vt:variant>
        <vt:i4>0</vt:i4>
      </vt:variant>
      <vt:variant>
        <vt:i4>5</vt:i4>
      </vt:variant>
      <vt:variant>
        <vt:lpwstr/>
      </vt:variant>
      <vt:variant>
        <vt:lpwstr>_Toc278209059</vt:lpwstr>
      </vt:variant>
      <vt:variant>
        <vt:i4>1966138</vt:i4>
      </vt:variant>
      <vt:variant>
        <vt:i4>248</vt:i4>
      </vt:variant>
      <vt:variant>
        <vt:i4>0</vt:i4>
      </vt:variant>
      <vt:variant>
        <vt:i4>5</vt:i4>
      </vt:variant>
      <vt:variant>
        <vt:lpwstr/>
      </vt:variant>
      <vt:variant>
        <vt:lpwstr>_Toc278209058</vt:lpwstr>
      </vt:variant>
      <vt:variant>
        <vt:i4>1966138</vt:i4>
      </vt:variant>
      <vt:variant>
        <vt:i4>242</vt:i4>
      </vt:variant>
      <vt:variant>
        <vt:i4>0</vt:i4>
      </vt:variant>
      <vt:variant>
        <vt:i4>5</vt:i4>
      </vt:variant>
      <vt:variant>
        <vt:lpwstr/>
      </vt:variant>
      <vt:variant>
        <vt:lpwstr>_Toc278209057</vt:lpwstr>
      </vt:variant>
      <vt:variant>
        <vt:i4>1966138</vt:i4>
      </vt:variant>
      <vt:variant>
        <vt:i4>236</vt:i4>
      </vt:variant>
      <vt:variant>
        <vt:i4>0</vt:i4>
      </vt:variant>
      <vt:variant>
        <vt:i4>5</vt:i4>
      </vt:variant>
      <vt:variant>
        <vt:lpwstr/>
      </vt:variant>
      <vt:variant>
        <vt:lpwstr>_Toc278209056</vt:lpwstr>
      </vt:variant>
      <vt:variant>
        <vt:i4>1966138</vt:i4>
      </vt:variant>
      <vt:variant>
        <vt:i4>230</vt:i4>
      </vt:variant>
      <vt:variant>
        <vt:i4>0</vt:i4>
      </vt:variant>
      <vt:variant>
        <vt:i4>5</vt:i4>
      </vt:variant>
      <vt:variant>
        <vt:lpwstr/>
      </vt:variant>
      <vt:variant>
        <vt:lpwstr>_Toc278209055</vt:lpwstr>
      </vt:variant>
      <vt:variant>
        <vt:i4>1966138</vt:i4>
      </vt:variant>
      <vt:variant>
        <vt:i4>224</vt:i4>
      </vt:variant>
      <vt:variant>
        <vt:i4>0</vt:i4>
      </vt:variant>
      <vt:variant>
        <vt:i4>5</vt:i4>
      </vt:variant>
      <vt:variant>
        <vt:lpwstr/>
      </vt:variant>
      <vt:variant>
        <vt:lpwstr>_Toc278209054</vt:lpwstr>
      </vt:variant>
      <vt:variant>
        <vt:i4>1966138</vt:i4>
      </vt:variant>
      <vt:variant>
        <vt:i4>218</vt:i4>
      </vt:variant>
      <vt:variant>
        <vt:i4>0</vt:i4>
      </vt:variant>
      <vt:variant>
        <vt:i4>5</vt:i4>
      </vt:variant>
      <vt:variant>
        <vt:lpwstr/>
      </vt:variant>
      <vt:variant>
        <vt:lpwstr>_Toc278209053</vt:lpwstr>
      </vt:variant>
      <vt:variant>
        <vt:i4>1966138</vt:i4>
      </vt:variant>
      <vt:variant>
        <vt:i4>212</vt:i4>
      </vt:variant>
      <vt:variant>
        <vt:i4>0</vt:i4>
      </vt:variant>
      <vt:variant>
        <vt:i4>5</vt:i4>
      </vt:variant>
      <vt:variant>
        <vt:lpwstr/>
      </vt:variant>
      <vt:variant>
        <vt:lpwstr>_Toc278209052</vt:lpwstr>
      </vt:variant>
      <vt:variant>
        <vt:i4>1966138</vt:i4>
      </vt:variant>
      <vt:variant>
        <vt:i4>206</vt:i4>
      </vt:variant>
      <vt:variant>
        <vt:i4>0</vt:i4>
      </vt:variant>
      <vt:variant>
        <vt:i4>5</vt:i4>
      </vt:variant>
      <vt:variant>
        <vt:lpwstr/>
      </vt:variant>
      <vt:variant>
        <vt:lpwstr>_Toc278209051</vt:lpwstr>
      </vt:variant>
      <vt:variant>
        <vt:i4>1966138</vt:i4>
      </vt:variant>
      <vt:variant>
        <vt:i4>200</vt:i4>
      </vt:variant>
      <vt:variant>
        <vt:i4>0</vt:i4>
      </vt:variant>
      <vt:variant>
        <vt:i4>5</vt:i4>
      </vt:variant>
      <vt:variant>
        <vt:lpwstr/>
      </vt:variant>
      <vt:variant>
        <vt:lpwstr>_Toc278209050</vt:lpwstr>
      </vt:variant>
      <vt:variant>
        <vt:i4>2031674</vt:i4>
      </vt:variant>
      <vt:variant>
        <vt:i4>194</vt:i4>
      </vt:variant>
      <vt:variant>
        <vt:i4>0</vt:i4>
      </vt:variant>
      <vt:variant>
        <vt:i4>5</vt:i4>
      </vt:variant>
      <vt:variant>
        <vt:lpwstr/>
      </vt:variant>
      <vt:variant>
        <vt:lpwstr>_Toc278209049</vt:lpwstr>
      </vt:variant>
      <vt:variant>
        <vt:i4>2031674</vt:i4>
      </vt:variant>
      <vt:variant>
        <vt:i4>188</vt:i4>
      </vt:variant>
      <vt:variant>
        <vt:i4>0</vt:i4>
      </vt:variant>
      <vt:variant>
        <vt:i4>5</vt:i4>
      </vt:variant>
      <vt:variant>
        <vt:lpwstr/>
      </vt:variant>
      <vt:variant>
        <vt:lpwstr>_Toc278209048</vt:lpwstr>
      </vt:variant>
      <vt:variant>
        <vt:i4>2031674</vt:i4>
      </vt:variant>
      <vt:variant>
        <vt:i4>182</vt:i4>
      </vt:variant>
      <vt:variant>
        <vt:i4>0</vt:i4>
      </vt:variant>
      <vt:variant>
        <vt:i4>5</vt:i4>
      </vt:variant>
      <vt:variant>
        <vt:lpwstr/>
      </vt:variant>
      <vt:variant>
        <vt:lpwstr>_Toc278209047</vt:lpwstr>
      </vt:variant>
      <vt:variant>
        <vt:i4>2031674</vt:i4>
      </vt:variant>
      <vt:variant>
        <vt:i4>176</vt:i4>
      </vt:variant>
      <vt:variant>
        <vt:i4>0</vt:i4>
      </vt:variant>
      <vt:variant>
        <vt:i4>5</vt:i4>
      </vt:variant>
      <vt:variant>
        <vt:lpwstr/>
      </vt:variant>
      <vt:variant>
        <vt:lpwstr>_Toc278209046</vt:lpwstr>
      </vt:variant>
      <vt:variant>
        <vt:i4>2031674</vt:i4>
      </vt:variant>
      <vt:variant>
        <vt:i4>170</vt:i4>
      </vt:variant>
      <vt:variant>
        <vt:i4>0</vt:i4>
      </vt:variant>
      <vt:variant>
        <vt:i4>5</vt:i4>
      </vt:variant>
      <vt:variant>
        <vt:lpwstr/>
      </vt:variant>
      <vt:variant>
        <vt:lpwstr>_Toc278209045</vt:lpwstr>
      </vt:variant>
      <vt:variant>
        <vt:i4>2031674</vt:i4>
      </vt:variant>
      <vt:variant>
        <vt:i4>164</vt:i4>
      </vt:variant>
      <vt:variant>
        <vt:i4>0</vt:i4>
      </vt:variant>
      <vt:variant>
        <vt:i4>5</vt:i4>
      </vt:variant>
      <vt:variant>
        <vt:lpwstr/>
      </vt:variant>
      <vt:variant>
        <vt:lpwstr>_Toc278209044</vt:lpwstr>
      </vt:variant>
      <vt:variant>
        <vt:i4>2031674</vt:i4>
      </vt:variant>
      <vt:variant>
        <vt:i4>158</vt:i4>
      </vt:variant>
      <vt:variant>
        <vt:i4>0</vt:i4>
      </vt:variant>
      <vt:variant>
        <vt:i4>5</vt:i4>
      </vt:variant>
      <vt:variant>
        <vt:lpwstr/>
      </vt:variant>
      <vt:variant>
        <vt:lpwstr>_Toc278209043</vt:lpwstr>
      </vt:variant>
      <vt:variant>
        <vt:i4>2031674</vt:i4>
      </vt:variant>
      <vt:variant>
        <vt:i4>152</vt:i4>
      </vt:variant>
      <vt:variant>
        <vt:i4>0</vt:i4>
      </vt:variant>
      <vt:variant>
        <vt:i4>5</vt:i4>
      </vt:variant>
      <vt:variant>
        <vt:lpwstr/>
      </vt:variant>
      <vt:variant>
        <vt:lpwstr>_Toc278209042</vt:lpwstr>
      </vt:variant>
      <vt:variant>
        <vt:i4>2031674</vt:i4>
      </vt:variant>
      <vt:variant>
        <vt:i4>146</vt:i4>
      </vt:variant>
      <vt:variant>
        <vt:i4>0</vt:i4>
      </vt:variant>
      <vt:variant>
        <vt:i4>5</vt:i4>
      </vt:variant>
      <vt:variant>
        <vt:lpwstr/>
      </vt:variant>
      <vt:variant>
        <vt:lpwstr>_Toc278209041</vt:lpwstr>
      </vt:variant>
      <vt:variant>
        <vt:i4>2031674</vt:i4>
      </vt:variant>
      <vt:variant>
        <vt:i4>140</vt:i4>
      </vt:variant>
      <vt:variant>
        <vt:i4>0</vt:i4>
      </vt:variant>
      <vt:variant>
        <vt:i4>5</vt:i4>
      </vt:variant>
      <vt:variant>
        <vt:lpwstr/>
      </vt:variant>
      <vt:variant>
        <vt:lpwstr>_Toc278209040</vt:lpwstr>
      </vt:variant>
      <vt:variant>
        <vt:i4>1572922</vt:i4>
      </vt:variant>
      <vt:variant>
        <vt:i4>134</vt:i4>
      </vt:variant>
      <vt:variant>
        <vt:i4>0</vt:i4>
      </vt:variant>
      <vt:variant>
        <vt:i4>5</vt:i4>
      </vt:variant>
      <vt:variant>
        <vt:lpwstr/>
      </vt:variant>
      <vt:variant>
        <vt:lpwstr>_Toc278209039</vt:lpwstr>
      </vt:variant>
      <vt:variant>
        <vt:i4>1572922</vt:i4>
      </vt:variant>
      <vt:variant>
        <vt:i4>128</vt:i4>
      </vt:variant>
      <vt:variant>
        <vt:i4>0</vt:i4>
      </vt:variant>
      <vt:variant>
        <vt:i4>5</vt:i4>
      </vt:variant>
      <vt:variant>
        <vt:lpwstr/>
      </vt:variant>
      <vt:variant>
        <vt:lpwstr>_Toc278209038</vt:lpwstr>
      </vt:variant>
      <vt:variant>
        <vt:i4>1572922</vt:i4>
      </vt:variant>
      <vt:variant>
        <vt:i4>122</vt:i4>
      </vt:variant>
      <vt:variant>
        <vt:i4>0</vt:i4>
      </vt:variant>
      <vt:variant>
        <vt:i4>5</vt:i4>
      </vt:variant>
      <vt:variant>
        <vt:lpwstr/>
      </vt:variant>
      <vt:variant>
        <vt:lpwstr>_Toc278209037</vt:lpwstr>
      </vt:variant>
      <vt:variant>
        <vt:i4>1572922</vt:i4>
      </vt:variant>
      <vt:variant>
        <vt:i4>116</vt:i4>
      </vt:variant>
      <vt:variant>
        <vt:i4>0</vt:i4>
      </vt:variant>
      <vt:variant>
        <vt:i4>5</vt:i4>
      </vt:variant>
      <vt:variant>
        <vt:lpwstr/>
      </vt:variant>
      <vt:variant>
        <vt:lpwstr>_Toc278209036</vt:lpwstr>
      </vt:variant>
      <vt:variant>
        <vt:i4>1572922</vt:i4>
      </vt:variant>
      <vt:variant>
        <vt:i4>110</vt:i4>
      </vt:variant>
      <vt:variant>
        <vt:i4>0</vt:i4>
      </vt:variant>
      <vt:variant>
        <vt:i4>5</vt:i4>
      </vt:variant>
      <vt:variant>
        <vt:lpwstr/>
      </vt:variant>
      <vt:variant>
        <vt:lpwstr>_Toc278209035</vt:lpwstr>
      </vt:variant>
      <vt:variant>
        <vt:i4>1572922</vt:i4>
      </vt:variant>
      <vt:variant>
        <vt:i4>104</vt:i4>
      </vt:variant>
      <vt:variant>
        <vt:i4>0</vt:i4>
      </vt:variant>
      <vt:variant>
        <vt:i4>5</vt:i4>
      </vt:variant>
      <vt:variant>
        <vt:lpwstr/>
      </vt:variant>
      <vt:variant>
        <vt:lpwstr>_Toc278209034</vt:lpwstr>
      </vt:variant>
      <vt:variant>
        <vt:i4>1572922</vt:i4>
      </vt:variant>
      <vt:variant>
        <vt:i4>98</vt:i4>
      </vt:variant>
      <vt:variant>
        <vt:i4>0</vt:i4>
      </vt:variant>
      <vt:variant>
        <vt:i4>5</vt:i4>
      </vt:variant>
      <vt:variant>
        <vt:lpwstr/>
      </vt:variant>
      <vt:variant>
        <vt:lpwstr>_Toc278209033</vt:lpwstr>
      </vt:variant>
      <vt:variant>
        <vt:i4>1572922</vt:i4>
      </vt:variant>
      <vt:variant>
        <vt:i4>92</vt:i4>
      </vt:variant>
      <vt:variant>
        <vt:i4>0</vt:i4>
      </vt:variant>
      <vt:variant>
        <vt:i4>5</vt:i4>
      </vt:variant>
      <vt:variant>
        <vt:lpwstr/>
      </vt:variant>
      <vt:variant>
        <vt:lpwstr>_Toc278209032</vt:lpwstr>
      </vt:variant>
      <vt:variant>
        <vt:i4>1572922</vt:i4>
      </vt:variant>
      <vt:variant>
        <vt:i4>86</vt:i4>
      </vt:variant>
      <vt:variant>
        <vt:i4>0</vt:i4>
      </vt:variant>
      <vt:variant>
        <vt:i4>5</vt:i4>
      </vt:variant>
      <vt:variant>
        <vt:lpwstr/>
      </vt:variant>
      <vt:variant>
        <vt:lpwstr>_Toc278209031</vt:lpwstr>
      </vt:variant>
      <vt:variant>
        <vt:i4>1572922</vt:i4>
      </vt:variant>
      <vt:variant>
        <vt:i4>80</vt:i4>
      </vt:variant>
      <vt:variant>
        <vt:i4>0</vt:i4>
      </vt:variant>
      <vt:variant>
        <vt:i4>5</vt:i4>
      </vt:variant>
      <vt:variant>
        <vt:lpwstr/>
      </vt:variant>
      <vt:variant>
        <vt:lpwstr>_Toc278209030</vt:lpwstr>
      </vt:variant>
      <vt:variant>
        <vt:i4>1638458</vt:i4>
      </vt:variant>
      <vt:variant>
        <vt:i4>74</vt:i4>
      </vt:variant>
      <vt:variant>
        <vt:i4>0</vt:i4>
      </vt:variant>
      <vt:variant>
        <vt:i4>5</vt:i4>
      </vt:variant>
      <vt:variant>
        <vt:lpwstr/>
      </vt:variant>
      <vt:variant>
        <vt:lpwstr>_Toc278209029</vt:lpwstr>
      </vt:variant>
      <vt:variant>
        <vt:i4>1638458</vt:i4>
      </vt:variant>
      <vt:variant>
        <vt:i4>68</vt:i4>
      </vt:variant>
      <vt:variant>
        <vt:i4>0</vt:i4>
      </vt:variant>
      <vt:variant>
        <vt:i4>5</vt:i4>
      </vt:variant>
      <vt:variant>
        <vt:lpwstr/>
      </vt:variant>
      <vt:variant>
        <vt:lpwstr>_Toc278209028</vt:lpwstr>
      </vt:variant>
      <vt:variant>
        <vt:i4>1638458</vt:i4>
      </vt:variant>
      <vt:variant>
        <vt:i4>62</vt:i4>
      </vt:variant>
      <vt:variant>
        <vt:i4>0</vt:i4>
      </vt:variant>
      <vt:variant>
        <vt:i4>5</vt:i4>
      </vt:variant>
      <vt:variant>
        <vt:lpwstr/>
      </vt:variant>
      <vt:variant>
        <vt:lpwstr>_Toc278209027</vt:lpwstr>
      </vt:variant>
      <vt:variant>
        <vt:i4>1638458</vt:i4>
      </vt:variant>
      <vt:variant>
        <vt:i4>56</vt:i4>
      </vt:variant>
      <vt:variant>
        <vt:i4>0</vt:i4>
      </vt:variant>
      <vt:variant>
        <vt:i4>5</vt:i4>
      </vt:variant>
      <vt:variant>
        <vt:lpwstr/>
      </vt:variant>
      <vt:variant>
        <vt:lpwstr>_Toc278209026</vt:lpwstr>
      </vt:variant>
      <vt:variant>
        <vt:i4>1638458</vt:i4>
      </vt:variant>
      <vt:variant>
        <vt:i4>50</vt:i4>
      </vt:variant>
      <vt:variant>
        <vt:i4>0</vt:i4>
      </vt:variant>
      <vt:variant>
        <vt:i4>5</vt:i4>
      </vt:variant>
      <vt:variant>
        <vt:lpwstr/>
      </vt:variant>
      <vt:variant>
        <vt:lpwstr>_Toc278209025</vt:lpwstr>
      </vt:variant>
      <vt:variant>
        <vt:i4>1638458</vt:i4>
      </vt:variant>
      <vt:variant>
        <vt:i4>44</vt:i4>
      </vt:variant>
      <vt:variant>
        <vt:i4>0</vt:i4>
      </vt:variant>
      <vt:variant>
        <vt:i4>5</vt:i4>
      </vt:variant>
      <vt:variant>
        <vt:lpwstr/>
      </vt:variant>
      <vt:variant>
        <vt:lpwstr>_Toc278209024</vt:lpwstr>
      </vt:variant>
      <vt:variant>
        <vt:i4>1638458</vt:i4>
      </vt:variant>
      <vt:variant>
        <vt:i4>38</vt:i4>
      </vt:variant>
      <vt:variant>
        <vt:i4>0</vt:i4>
      </vt:variant>
      <vt:variant>
        <vt:i4>5</vt:i4>
      </vt:variant>
      <vt:variant>
        <vt:lpwstr/>
      </vt:variant>
      <vt:variant>
        <vt:lpwstr>_Toc278209023</vt:lpwstr>
      </vt:variant>
      <vt:variant>
        <vt:i4>1638458</vt:i4>
      </vt:variant>
      <vt:variant>
        <vt:i4>32</vt:i4>
      </vt:variant>
      <vt:variant>
        <vt:i4>0</vt:i4>
      </vt:variant>
      <vt:variant>
        <vt:i4>5</vt:i4>
      </vt:variant>
      <vt:variant>
        <vt:lpwstr/>
      </vt:variant>
      <vt:variant>
        <vt:lpwstr>_Toc278209022</vt:lpwstr>
      </vt:variant>
      <vt:variant>
        <vt:i4>1638458</vt:i4>
      </vt:variant>
      <vt:variant>
        <vt:i4>26</vt:i4>
      </vt:variant>
      <vt:variant>
        <vt:i4>0</vt:i4>
      </vt:variant>
      <vt:variant>
        <vt:i4>5</vt:i4>
      </vt:variant>
      <vt:variant>
        <vt:lpwstr/>
      </vt:variant>
      <vt:variant>
        <vt:lpwstr>_Toc278209021</vt:lpwstr>
      </vt:variant>
      <vt:variant>
        <vt:i4>1638458</vt:i4>
      </vt:variant>
      <vt:variant>
        <vt:i4>20</vt:i4>
      </vt:variant>
      <vt:variant>
        <vt:i4>0</vt:i4>
      </vt:variant>
      <vt:variant>
        <vt:i4>5</vt:i4>
      </vt:variant>
      <vt:variant>
        <vt:lpwstr/>
      </vt:variant>
      <vt:variant>
        <vt:lpwstr>_Toc278209020</vt:lpwstr>
      </vt:variant>
      <vt:variant>
        <vt:i4>1703994</vt:i4>
      </vt:variant>
      <vt:variant>
        <vt:i4>14</vt:i4>
      </vt:variant>
      <vt:variant>
        <vt:i4>0</vt:i4>
      </vt:variant>
      <vt:variant>
        <vt:i4>5</vt:i4>
      </vt:variant>
      <vt:variant>
        <vt:lpwstr/>
      </vt:variant>
      <vt:variant>
        <vt:lpwstr>_Toc278209019</vt:lpwstr>
      </vt:variant>
      <vt:variant>
        <vt:i4>1703994</vt:i4>
      </vt:variant>
      <vt:variant>
        <vt:i4>8</vt:i4>
      </vt:variant>
      <vt:variant>
        <vt:i4>0</vt:i4>
      </vt:variant>
      <vt:variant>
        <vt:i4>5</vt:i4>
      </vt:variant>
      <vt:variant>
        <vt:lpwstr/>
      </vt:variant>
      <vt:variant>
        <vt:lpwstr>_Toc278209018</vt:lpwstr>
      </vt:variant>
      <vt:variant>
        <vt:i4>1703994</vt:i4>
      </vt:variant>
      <vt:variant>
        <vt:i4>2</vt:i4>
      </vt:variant>
      <vt:variant>
        <vt:i4>0</vt:i4>
      </vt:variant>
      <vt:variant>
        <vt:i4>5</vt:i4>
      </vt:variant>
      <vt:variant>
        <vt:lpwstr/>
      </vt:variant>
      <vt:variant>
        <vt:lpwstr>_Toc278209017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2015-04-28T19:34:00Z</dcterms:created>
  <dcterms:modified xsi:type="dcterms:W3CDTF">2015-04-28T19:34:00Z</dcterms:modified>
</cp:coreProperties>
</file>