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9211" w14:textId="77777777" w:rsidR="006C4435" w:rsidRDefault="006C4435" w:rsidP="006C4435">
      <w:pPr>
        <w:jc w:val="right"/>
        <w:rPr>
          <w:rFonts w:ascii="Tw Cen MT" w:hAnsi="Tw Cen MT"/>
          <w:b/>
        </w:rPr>
      </w:pPr>
      <w:r>
        <w:rPr>
          <w:rFonts w:ascii="Tw Cen MT" w:hAnsi="Tw Cen MT"/>
          <w:b/>
        </w:rPr>
        <w:t>Attachment A (Competition 5)</w:t>
      </w:r>
    </w:p>
    <w:p w14:paraId="02E593FC" w14:textId="45A27A3C" w:rsidR="006C4435" w:rsidRDefault="006C4435" w:rsidP="006C4435">
      <w:pPr>
        <w:jc w:val="center"/>
        <w:rPr>
          <w:rFonts w:ascii="Tw Cen MT" w:hAnsi="Tw Cen MT"/>
          <w:b/>
          <w:color w:val="0000FF"/>
        </w:rPr>
      </w:pPr>
      <w:r>
        <w:rPr>
          <w:rFonts w:ascii="Tw Cen MT" w:hAnsi="Tw Cen MT"/>
          <w:noProof/>
        </w:rPr>
        <w:drawing>
          <wp:inline distT="0" distB="0" distL="0" distR="0" wp14:anchorId="0BE4801D" wp14:editId="4FD1FB4C">
            <wp:extent cx="1164590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00FF"/>
        </w:rPr>
        <w:br/>
      </w:r>
    </w:p>
    <w:p w14:paraId="3C6ADD20" w14:textId="77777777" w:rsidR="006C4435" w:rsidRDefault="006C4435" w:rsidP="006C4435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District of Columbia Opioid Response (DCOR) Grant Opportunities</w:t>
      </w:r>
      <w:r>
        <w:rPr>
          <w:rFonts w:ascii="Tw Cen MT" w:hAnsi="Tw Cen MT"/>
          <w:b/>
        </w:rPr>
        <w:br/>
        <w:t>RFA # RM0 DOR012221</w:t>
      </w:r>
    </w:p>
    <w:p w14:paraId="6AB1DF67" w14:textId="77777777" w:rsidR="006C4435" w:rsidRDefault="006C4435" w:rsidP="006C4435">
      <w:pPr>
        <w:spacing w:after="120"/>
        <w:rPr>
          <w:rFonts w:ascii="Tw Cen MT" w:hAnsi="Tw Cen MT"/>
          <w:color w:val="000000"/>
        </w:rPr>
      </w:pPr>
    </w:p>
    <w:p w14:paraId="44D46DE6" w14:textId="77777777" w:rsidR="006C4435" w:rsidRDefault="006C4435" w:rsidP="006C4435">
      <w:pPr>
        <w:pStyle w:val="Heading2"/>
        <w:rPr>
          <w:rFonts w:ascii="Tw Cen MT" w:eastAsia="Twentieth Century" w:hAnsi="Tw Cen MT"/>
          <w:b/>
        </w:rPr>
      </w:pPr>
      <w:r>
        <w:rPr>
          <w:rFonts w:ascii="Tw Cen MT" w:eastAsia="Twentieth Century" w:hAnsi="Tw Cen MT"/>
          <w:b/>
          <w:color w:val="000000"/>
        </w:rPr>
        <w:t xml:space="preserve">Notice of Eligibility and Experience Requirements for Competition 5: </w:t>
      </w:r>
      <w:r>
        <w:rPr>
          <w:rFonts w:ascii="Tw Cen MT" w:eastAsia="Twentieth Century" w:hAnsi="Tw Cen MT"/>
          <w:b/>
        </w:rPr>
        <w:t>Comprehensive Care Management for Individuals with Opioid and Stimulant Use Disorder</w:t>
      </w:r>
    </w:p>
    <w:p w14:paraId="2488F795" w14:textId="77777777" w:rsidR="006C4435" w:rsidRDefault="006C4435" w:rsidP="006C4435">
      <w:pPr>
        <w:spacing w:after="120"/>
        <w:rPr>
          <w:rFonts w:ascii="Tw Cen MT" w:hAnsi="Tw Cen MT"/>
          <w:b/>
          <w:color w:val="000000"/>
        </w:rPr>
      </w:pPr>
    </w:p>
    <w:p w14:paraId="358EDF9A" w14:textId="77777777" w:rsidR="006C4435" w:rsidRDefault="006C4435" w:rsidP="006C4435">
      <w:pPr>
        <w:rPr>
          <w:rFonts w:ascii="Tw Cen MT" w:hAnsi="Tw Cen MT"/>
          <w:b/>
          <w:color w:val="000000"/>
        </w:rPr>
      </w:pPr>
      <w:r>
        <w:rPr>
          <w:rFonts w:ascii="Tw Cen MT" w:hAnsi="Tw Cen MT"/>
          <w:b/>
          <w:color w:val="000000"/>
        </w:rPr>
        <w:t>Eligibility Requirements</w:t>
      </w:r>
    </w:p>
    <w:p w14:paraId="4524F3EE" w14:textId="77777777" w:rsidR="006C4435" w:rsidRDefault="006C4435" w:rsidP="006C4435">
      <w:pPr>
        <w:rPr>
          <w:rFonts w:ascii="Tw Cen MT" w:hAnsi="Tw Cen MT"/>
          <w:i/>
          <w:color w:val="000000"/>
        </w:rPr>
      </w:pPr>
      <w:r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14:paraId="35AEDB43" w14:textId="77777777" w:rsidR="006C4435" w:rsidRDefault="006C4435" w:rsidP="006C4435">
      <w:pPr>
        <w:rPr>
          <w:rFonts w:ascii="Tw Cen MT" w:hAnsi="Tw Cen MT"/>
          <w:i/>
          <w:color w:val="000000"/>
        </w:rPr>
      </w:pPr>
    </w:p>
    <w:p w14:paraId="101E5F1A" w14:textId="77777777" w:rsidR="006C4435" w:rsidRDefault="006C4435" w:rsidP="006C4435">
      <w:pPr>
        <w:spacing w:after="120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1.  Eligible entities who can apply for grant funds under this RFA have/are:</w:t>
      </w:r>
    </w:p>
    <w:p w14:paraId="7833200A" w14:textId="77777777" w:rsidR="006C4435" w:rsidRDefault="006C4435" w:rsidP="006C4435">
      <w:pPr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Able to enter into an agreement with DBH requiring compliance with all governing federal and District of Columbia laws and regulations, including Substance Use Disorders and Mental Health Grants (22-A DCMR Chapter 44).</w:t>
      </w:r>
    </w:p>
    <w:p w14:paraId="5C61174B" w14:textId="77777777" w:rsidR="006C4435" w:rsidRDefault="006C4435" w:rsidP="006C4435">
      <w:pPr>
        <w:rPr>
          <w:rFonts w:ascii="Tw Cen MT" w:hAnsi="Tw Cen MT"/>
        </w:rPr>
      </w:pPr>
    </w:p>
    <w:p w14:paraId="13C7753C" w14:textId="372F960B" w:rsidR="006C4435" w:rsidRDefault="006C4435" w:rsidP="006C4435">
      <w:pPr>
        <w:spacing w:after="120"/>
        <w:rPr>
          <w:rFonts w:ascii="Tw Cen MT" w:hAnsi="Tw Cen MT"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4747DD3" wp14:editId="1CE27858">
                <wp:extent cx="6062345" cy="415925"/>
                <wp:effectExtent l="9525" t="9525" r="5080" b="1270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C3AEC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47DD3" id="Rectangle 7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l/OAIAAIYEAAAOAAAAZHJzL2Uyb0RvYy54bWysVG1v0zAQ/o7Ef7D8nSYpbbdGTaepYwhp&#10;wMTgBziOk1j4jbPbpPz6nd2uKy8CCZEPls93fu6553xZXY1akZ0AL62paDHJKRGG20aarqJfPt++&#10;uqTEB2YapqwRFd0LT6/WL1+sBleKqe2tagQQBDG+HFxF+xBcmWWe90IzP7FOGHS2FjQLaEKXNcAG&#10;RNcqm+b5IhssNA4sF97j6c3BSdcJv20FDx/b1otAVEWRW0grpLWOa7ZesbID5nrJjzTYP7DQTBpM&#10;eoK6YYGRLchfoLTkYL1tw4Rbndm2lVykGrCaIv+pmoeeOZFqQXG8O8nk/x8s/7C7ByKbil5QYpjG&#10;Fn1C0ZjplCAXUZ7B+RKjHtw9xAK9u7P8qyfGbnqMEtcAdugFa5BUEeOzHy5Ew+NVUg/vbYPobBts&#10;UmpsQUdA1ICMqSH7U0PEGAjHw0W+mL6ezSnh6JsV8+V0nlKw8um2Ax/eCqtJ3FQUkHtCZ7s7HyIb&#10;Vj6FJPZWyeZWKpUM6OqNArJj+Dhu03dE9+dhypChoss55v4zRJ6+30FoGfCVK6krenkKYmWU7Y1p&#10;SNg7VMbggNCYymtKlMBxwk16n4FJ9fc4LFWZo/5R8kPrwliPqb9JudiO2jZ7bAjYwzDg8OKmt/Ad&#10;k+MgYNpvWwZIRb0z2NRlMcPKSUjGbL5Y4kTDuac+9zDDEaqigZLDdhMO07Z1ILseMxVJRWOv8SG0&#10;MvXomdWRPj721LrjYMZpOrdT1PPvY/0IAAD//wMAUEsDBBQABgAIAAAAIQAajU1u2wAAAAQBAAAP&#10;AAAAZHJzL2Rvd25yZXYueG1sTI9BS8NAEIXvgv9hGcGb3Shu1ZhNkWJB0IvVS2+T7DQJzc6G7DaN&#10;/97Ri14GHu/x3jfFava9mmiMXWAL14sMFHEdXMeNhc+PzdU9qJiQHfaBycIXRViV52cF5i6c+J2m&#10;bWqUlHDM0UKb0pBrHeuWPMZFGIjF24fRYxI5NtqNeJJy3+ubLFtqjx3LQosDrVuqD9ujt7B+M7h7&#10;ee2aA9c7E5+nfbXJJmsvL+anR1CJ5vQXhh98QYdSmKpwZBdVb0EeSb9XvAdzeweqsrA0BnRZ6P/w&#10;5TcAAAD//wMAUEsBAi0AFAAGAAgAAAAhALaDOJL+AAAA4QEAABMAAAAAAAAAAAAAAAAAAAAAAFtD&#10;b250ZW50X1R5cGVzXS54bWxQSwECLQAUAAYACAAAACEAOP0h/9YAAACUAQAACwAAAAAAAAAAAAAA&#10;AAAvAQAAX3JlbHMvLnJlbHNQSwECLQAUAAYACAAAACEAsnmpfzgCAACGBAAADgAAAAAAAAAAAAAA&#10;AAAuAgAAZHJzL2Uyb0RvYy54bWxQSwECLQAUAAYACAAAACEAGo1NbtsAAAAE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1C3AEC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65E9423B" w14:textId="77777777" w:rsidR="006C4435" w:rsidRDefault="006C4435" w:rsidP="006C4435">
      <w:pPr>
        <w:spacing w:after="120"/>
        <w:rPr>
          <w:rFonts w:ascii="Tw Cen MT" w:hAnsi="Tw Cen MT"/>
          <w:i/>
          <w:color w:val="000000"/>
        </w:rPr>
      </w:pPr>
    </w:p>
    <w:p w14:paraId="409EBD8E" w14:textId="77777777" w:rsidR="006C4435" w:rsidRDefault="006C4435" w:rsidP="006C4435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At least two (2) years’ experience providing care management to individuals with complex physical and behavioral health needs </w:t>
      </w:r>
      <w:r>
        <w:rPr>
          <w:rFonts w:ascii="Tw Cen MT" w:hAnsi="Tw Cen MT"/>
        </w:rPr>
        <w:t>(applicants must specify in their application what model of care management they use and how the components of that model lead to improved outcomes).</w:t>
      </w:r>
    </w:p>
    <w:p w14:paraId="24DACE8C" w14:textId="77777777" w:rsidR="006C4435" w:rsidRDefault="006C4435" w:rsidP="006C4435">
      <w:pPr>
        <w:jc w:val="both"/>
        <w:rPr>
          <w:rFonts w:ascii="Tw Cen MT" w:hAnsi="Tw Cen MT"/>
          <w:color w:val="000000"/>
        </w:rPr>
      </w:pPr>
    </w:p>
    <w:p w14:paraId="7932A227" w14:textId="52605C05" w:rsidR="006C4435" w:rsidRDefault="006C4435" w:rsidP="006C4435">
      <w:pPr>
        <w:spacing w:after="120"/>
        <w:rPr>
          <w:rFonts w:ascii="Tw Cen MT" w:hAnsi="Tw Cen MT"/>
          <w:i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40BB849" wp14:editId="2BBED0E3">
                <wp:extent cx="6062345" cy="441325"/>
                <wp:effectExtent l="9525" t="9525" r="5080" b="63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D3FFB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BB849" id="Rectangle 6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vWOAIAAIYEAAAOAAAAZHJzL2Uyb0RvYy54bWysVNuO0zAQfUfiHyy/0yTdtNpGTVerLkVI&#10;C6xY+ADXcRIL3xi7TcrXM3a73XIRSIg8WB7P+MyZM54sb0atyF6Al9bUtJjklAjDbSNNV9PPnzav&#10;rinxgZmGKWtETQ/C05vVyxfLwVVianurGgEEQYyvBlfTPgRXZZnnvdDMT6wTBp2tBc0CmtBlDbAB&#10;0bXKpnk+zwYLjQPLhfd4end00lXCb1vBw4e29SIQVVPkFtIKad3GNVstWdUBc73kJxrsH1hoJg0m&#10;PUPdscDIDuQvUFpysN62YcKtzmzbSi5SDVhNkf9UzWPPnEi1oDjenWXy/w+Wv98/AJFNTeeUGKax&#10;RR9RNGY6Jcg8yjM4X2HUo3uAWKB395Z/8cTYdY9R4hbADr1gDZIqYnz2w4VoeLxKtsM72yA62wWb&#10;lBpb0BEQNSBjasjh3BAxBsLxcJ7Pp1fljBKOvrIsrqazlIJVT7cd+PBGWE3ipqaA3BM629/7ENmw&#10;6ikksbdKNhupVDKg264VkD3Dx7FJ3wndX4YpQ4aaLmaY+88Qefp+B6FlwFeupK7p9TmIVVG216Yh&#10;4eBQGYMDQmMqrylRAscJN+l9BibV3+OwVGVO+kfJj60L43ZM/S0jVmzH1jYHbAjY4zDg8OKmt/AN&#10;k+MgYNqvOwZIRb012NRFUWLlJCSjnM0XONFw6dleepjhCFXTQMlxuw7Hads5kF2PmYqkorG3+BBa&#10;mXr0zOpEHx97at1pMOM0Xdop6vn3sfoOAAD//wMAUEsDBBQABgAIAAAAIQDxsHu92wAAAAQBAAAP&#10;AAAAZHJzL2Rvd25yZXYueG1sTI9BS8NAEIXvgv9hGcGb3VRMtWk2RYoFQS+tXnqbZKdJaHY2ZLdp&#10;/PeOXvQy8HiP977J15Pr1EhDaD0bmM8SUMSVty3XBj4/tndPoEJEtth5JgNfFGBdXF/lmFl/4R2N&#10;+1grKeGQoYEmxj7TOlQNOQwz3xOLd/SDwyhyqLUd8CLlrtP3SbLQDluWhQZ72jRUnfZnZ2DznuLh&#10;9a2tT1wd0vAyHsttMhpzezM9r0BFmuJfGH7wBR0KYSr9mW1QnQF5JP5e8ZbpwyOo0sBimYIucv0f&#10;vvgGAAD//wMAUEsBAi0AFAAGAAgAAAAhALaDOJL+AAAA4QEAABMAAAAAAAAAAAAAAAAAAAAAAFtD&#10;b250ZW50X1R5cGVzXS54bWxQSwECLQAUAAYACAAAACEAOP0h/9YAAACUAQAACwAAAAAAAAAAAAAA&#10;AAAvAQAAX3JlbHMvLnJlbHNQSwECLQAUAAYACAAAACEA1VIr1jgCAACGBAAADgAAAAAAAAAAAAAA&#10;AAAuAgAAZHJzL2Uyb0RvYy54bWxQSwECLQAUAAYACAAAACEA8bB7vdsAAAAE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0D3FFB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2683B572" w14:textId="77777777" w:rsidR="006C4435" w:rsidRDefault="006C4435" w:rsidP="006C4435">
      <w:pPr>
        <w:jc w:val="both"/>
        <w:rPr>
          <w:rFonts w:ascii="Tw Cen MT" w:hAnsi="Tw Cen MT"/>
          <w:color w:val="000000"/>
        </w:rPr>
      </w:pPr>
    </w:p>
    <w:p w14:paraId="25D492E2" w14:textId="5D1C67FD" w:rsidR="006C4435" w:rsidRDefault="006C4435" w:rsidP="006C4435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Demonstrated knowledge of the District’s </w:t>
      </w:r>
      <w:r w:rsidR="00A8019F">
        <w:rPr>
          <w:rFonts w:ascii="Tw Cen MT" w:hAnsi="Tw Cen MT"/>
          <w:color w:val="000000"/>
        </w:rPr>
        <w:t>publicly funded</w:t>
      </w:r>
      <w:r>
        <w:rPr>
          <w:rFonts w:ascii="Tw Cen MT" w:hAnsi="Tw Cen MT"/>
          <w:color w:val="000000"/>
        </w:rPr>
        <w:t xml:space="preserve"> behavioral health system.</w:t>
      </w:r>
    </w:p>
    <w:p w14:paraId="6713B1FB" w14:textId="77777777" w:rsidR="006C4435" w:rsidRDefault="006C4435" w:rsidP="006C4435">
      <w:pPr>
        <w:jc w:val="both"/>
        <w:rPr>
          <w:rFonts w:ascii="Tw Cen MT" w:hAnsi="Tw Cen MT"/>
          <w:color w:val="000000"/>
        </w:rPr>
      </w:pPr>
    </w:p>
    <w:p w14:paraId="799FC7C4" w14:textId="17863955" w:rsidR="006C4435" w:rsidRDefault="006C4435" w:rsidP="006C4435">
      <w:pPr>
        <w:spacing w:after="120"/>
        <w:rPr>
          <w:rFonts w:ascii="Tw Cen MT" w:hAnsi="Tw Cen MT"/>
          <w:i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0A97793" wp14:editId="620C9392">
                <wp:extent cx="6062345" cy="441325"/>
                <wp:effectExtent l="9525" t="9525" r="5080" b="635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5C6EA1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97793" id="Rectangle 5" o:spid="_x0000_s1028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0HOAIAAIYEAAAOAAAAZHJzL2Uyb0RvYy54bWysVNuO0zAQfUfiHyy/s0l60zZqulp1KUJa&#10;YMXCBziOk1j4xthtUr6esdvtlotAQuTB8njGZ86c8WR1M2pF9gK8tKaixVVOiTDcNtJ0Ff38afvq&#10;mhIfmGmYskZU9CA8vVm/fLEaXCkmtreqEUAQxPhycBXtQ3BllnneC838lXXCoLO1oFlAE7qsATYg&#10;ulbZJM8X2WChcWC58B5P745Ouk74bSt4+NC2XgSiKorcQlohrXVcs/WKlR0w10t+osH+gYVm0mDS&#10;M9QdC4zsQP4CpSUH620brrjVmW1byUWqAasp8p+qeeyZE6kWFMe7s0z+/8Hy9/sHILKp6JwSwzS2&#10;6COKxkynBJlHeQbnS4x6dA8QC/Tu3vIvnhi76TFK3ALYoResQVJFjM9+uBANj1dJPbyzDaKzXbBJ&#10;qbEFHQFRAzKmhhzODRFjIBwPF/liMp0hM46+2ayYThKljJVPtx348EZYTeKmooDcEzrb3/sQ2bDy&#10;KSSxt0o2W6lUMqCrNwrInuHj2KYvFYBFXoYpQ4aKLueY+88Qefp+B6FlwFeupK7o9TmIlVG216Yh&#10;4eBQGYMDQmMqrylRAscJN+l9BibV3+OwVGVO+kfJj60LYz2m/k4jVmxHbZsDNgTscRhweHHTW/iG&#10;yXEQMO3XHQOkot4abOqymGHlJCRjNl8scaLh0lNfepjhCFXRQMlxuwnHads5kF2PmYqkorG3+BBa&#10;mXr0zOpEHx97at1pMOM0Xdop6vn3sf4OAAD//wMAUEsDBBQABgAIAAAAIQDxsHu92wAAAAQBAAAP&#10;AAAAZHJzL2Rvd25yZXYueG1sTI9BS8NAEIXvgv9hGcGb3VRMtWk2RYoFQS+tXnqbZKdJaHY2ZLdp&#10;/PeOXvQy8HiP977J15Pr1EhDaD0bmM8SUMSVty3XBj4/tndPoEJEtth5JgNfFGBdXF/lmFl/4R2N&#10;+1grKeGQoYEmxj7TOlQNOQwz3xOLd/SDwyhyqLUd8CLlrtP3SbLQDluWhQZ72jRUnfZnZ2DznuLh&#10;9a2tT1wd0vAyHsttMhpzezM9r0BFmuJfGH7wBR0KYSr9mW1QnQF5JP5e8ZbpwyOo0sBimYIucv0f&#10;vvgGAAD//wMAUEsBAi0AFAAGAAgAAAAhALaDOJL+AAAA4QEAABMAAAAAAAAAAAAAAAAAAAAAAFtD&#10;b250ZW50X1R5cGVzXS54bWxQSwECLQAUAAYACAAAACEAOP0h/9YAAACUAQAACwAAAAAAAAAAAAAA&#10;AAAvAQAAX3JlbHMvLnJlbHNQSwECLQAUAAYACAAAACEA5uqdBzgCAACGBAAADgAAAAAAAAAAAAAA&#10;AAAuAgAAZHJzL2Uyb0RvYy54bWxQSwECLQAUAAYACAAAACEA8bB7vdsAAAAE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5C6EA1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01BFA564" w14:textId="77777777" w:rsidR="006C4435" w:rsidRDefault="006C4435" w:rsidP="006C4435">
      <w:pPr>
        <w:spacing w:after="120"/>
        <w:rPr>
          <w:rFonts w:ascii="Tw Cen MT" w:hAnsi="Tw Cen MT"/>
          <w:color w:val="000000"/>
        </w:rPr>
      </w:pPr>
    </w:p>
    <w:p w14:paraId="3038921F" w14:textId="77777777" w:rsidR="006C4435" w:rsidRDefault="006C4435" w:rsidP="006C4435">
      <w:pPr>
        <w:spacing w:after="120"/>
        <w:rPr>
          <w:rFonts w:ascii="Tw Cen MT" w:hAnsi="Tw Cen MT"/>
          <w:b/>
          <w:color w:val="000000"/>
        </w:rPr>
      </w:pPr>
      <w:r>
        <w:rPr>
          <w:rFonts w:ascii="Tw Cen MT" w:hAnsi="Tw Cen MT"/>
          <w:b/>
          <w:color w:val="000000"/>
        </w:rPr>
        <w:t xml:space="preserve">Experience Requirements </w:t>
      </w:r>
    </w:p>
    <w:p w14:paraId="054A69DD" w14:textId="77777777" w:rsidR="006C4435" w:rsidRDefault="006C4435" w:rsidP="006C4435">
      <w:pPr>
        <w:spacing w:after="120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14:paraId="72C48355" w14:textId="77777777" w:rsidR="00A8019F" w:rsidRDefault="00A8019F" w:rsidP="006C4435">
      <w:pPr>
        <w:widowControl w:val="0"/>
        <w:spacing w:before="6"/>
        <w:ind w:right="8"/>
        <w:jc w:val="both"/>
        <w:rPr>
          <w:rFonts w:ascii="Tw Cen MT" w:hAnsi="Tw Cen MT"/>
        </w:rPr>
      </w:pPr>
    </w:p>
    <w:p w14:paraId="12CBE90D" w14:textId="25CE3498" w:rsidR="006C4435" w:rsidRDefault="006C4435" w:rsidP="006C4435">
      <w:pPr>
        <w:widowControl w:val="0"/>
        <w:spacing w:before="6"/>
        <w:ind w:right="8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Demonstrated ability to start work within thirty (30) calendar days of award.</w:t>
      </w:r>
    </w:p>
    <w:p w14:paraId="33B8602E" w14:textId="77777777" w:rsidR="006C4435" w:rsidRDefault="006C4435" w:rsidP="006C4435">
      <w:pPr>
        <w:rPr>
          <w:rFonts w:ascii="Tw Cen MT" w:hAnsi="Tw Cen MT"/>
        </w:rPr>
      </w:pPr>
    </w:p>
    <w:p w14:paraId="434E90FD" w14:textId="7E7F06B8" w:rsidR="006C4435" w:rsidRDefault="006C4435" w:rsidP="006C4435">
      <w:pPr>
        <w:spacing w:after="120"/>
        <w:rPr>
          <w:rFonts w:ascii="Tw Cen MT" w:hAnsi="Tw Cen MT"/>
          <w:i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05D1EF1" wp14:editId="6EC7B531">
                <wp:extent cx="6062345" cy="415925"/>
                <wp:effectExtent l="9525" t="9525" r="5080" b="1270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0CE649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D1EF1" id="Rectangle 4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+uOAIAAIYEAAAOAAAAZHJzL2Uyb0RvYy54bWysVNuO0zAQfUfiHyy/0yQlrbZR09WqSxHS&#10;wq5Y+ADHcRIL3xi7TcvXM3a73XIRSIg8WB7P+MyZM54sr/dakZ0AL62paTHJKRGG21aavqafP21e&#10;XVHiAzMtU9aImh6Ep9erly+Wo6vE1A5WtQIIghhfja6mQwiuyjLPB6GZn1gnDDo7C5oFNKHPWmAj&#10;omuVTfN8no0WWgeWC+/x9PbopKuE33WCh/uu8yIQVVPkFtIKaW3imq2WrOqBuUHyEw32Dyw0kwaT&#10;nqFuWWBkC/IXKC05WG+7MOFWZ7brJBepBqymyH+q5nFgTqRaUBzvzjL5/wfLP+wegMi2piUlhmls&#10;0UcUjZleCVJGeUbnK4x6dA8QC/TuzvIvnhi7HjBK3ADYcRCsRVJFjM9+uBANj1dJM763LaKzbbBJ&#10;qX0HOgKiBmSfGnI4N0TsA+F4OM/n09fljBKOvrKYLaazlIJVT7cd+PBWWE3ipqaA3BM62935ENmw&#10;6ikksbdKthupVDKgb9YKyI7h49ik74TuL8OUIWNNFzPM/WeIPH2/g9Ay4CtXUtf06hzEqijbG9OS&#10;cHCojMEBoTGV15QogeOEm/Q+A5Pq73FYqjIn/aPkx9aFfbNP/Z1GrNiOxrYHbAjY4zDg8OJmsPAN&#10;k+MgYNqvWwZIRb0z2NRFUWLlJCSjnM0XONFw6WkuPcxwhKppoOS4XYfjtG0dyH7ATEVS0dgbfAid&#10;TD16ZnWij489te40mHGaLu0U9fz7WH0HAAD//wMAUEsDBBQABgAIAAAAIQAajU1u2wAAAAQBAAAP&#10;AAAAZHJzL2Rvd25yZXYueG1sTI9BS8NAEIXvgv9hGcGb3Shu1ZhNkWJB0IvVS2+T7DQJzc6G7DaN&#10;/97Ri14GHu/x3jfFava9mmiMXWAL14sMFHEdXMeNhc+PzdU9qJiQHfaBycIXRViV52cF5i6c+J2m&#10;bWqUlHDM0UKb0pBrHeuWPMZFGIjF24fRYxI5NtqNeJJy3+ubLFtqjx3LQosDrVuqD9ujt7B+M7h7&#10;ee2aA9c7E5+nfbXJJmsvL+anR1CJ5vQXhh98QYdSmKpwZBdVb0EeSb9XvAdzeweqsrA0BnRZ6P/w&#10;5TcAAAD//wMAUEsBAi0AFAAGAAgAAAAhALaDOJL+AAAA4QEAABMAAAAAAAAAAAAAAAAAAAAAAFtD&#10;b250ZW50X1R5cGVzXS54bWxQSwECLQAUAAYACAAAACEAOP0h/9YAAACUAQAACwAAAAAAAAAAAAAA&#10;AAAvAQAAX3JlbHMvLnJlbHNQSwECLQAUAAYACAAAACEAgcEfrjgCAACGBAAADgAAAAAAAAAAAAAA&#10;AAAuAgAAZHJzL2Uyb0RvYy54bWxQSwECLQAUAAYACAAAACEAGo1NbtsAAAAE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0CE649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313A953E" w14:textId="77777777" w:rsidR="00A8019F" w:rsidRDefault="00A8019F" w:rsidP="006C4435">
      <w:pPr>
        <w:spacing w:after="120"/>
        <w:rPr>
          <w:rFonts w:ascii="Tw Cen MT" w:hAnsi="Tw Cen MT"/>
        </w:rPr>
      </w:pPr>
    </w:p>
    <w:p w14:paraId="381D104E" w14:textId="77EF4518" w:rsidR="006C4435" w:rsidRDefault="006C4435" w:rsidP="006C4435">
      <w:pPr>
        <w:spacing w:after="120"/>
        <w:rPr>
          <w:rFonts w:ascii="Tw Cen MT" w:hAnsi="Tw Cen MT"/>
        </w:rPr>
      </w:pPr>
      <w:r>
        <w:rPr>
          <w:rFonts w:ascii="Tw Cen MT" w:hAnsi="Tw Cen MT"/>
        </w:rPr>
        <w:t>A connection to health information exchange with ability to achieve Level 3 or 4 bidirectional exchange connectivity to DC’s designated HIE, CRISP, by end of performance period (Department of Health Care Finance in-kind assistance is available to facilitate connection and to provide technical assistance, if needed).</w:t>
      </w:r>
    </w:p>
    <w:p w14:paraId="4E07445F" w14:textId="5F62E822" w:rsidR="006C4435" w:rsidRDefault="006C4435" w:rsidP="006C4435">
      <w:pPr>
        <w:spacing w:after="120"/>
        <w:rPr>
          <w:rFonts w:ascii="Tw Cen MT" w:hAnsi="Tw Cen MT"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F78C38A" wp14:editId="7EFD884D">
                <wp:extent cx="6062345" cy="415925"/>
                <wp:effectExtent l="9525" t="9525" r="5080" b="1270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EB6985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8C38A" id="Rectangle 3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UjNwIAAIYEAAAOAAAAZHJzL2Uyb0RvYy54bWysVNuO0zAQfUfiHyy/s0l60zZqulp1KUJa&#10;YMXCBziOk1j4xthtUr6esdvtlotAQuTB8njGZ2bO8WR1M2pF9gK8tKaixVVOiTDcNtJ0Ff38afvq&#10;mhIfmGmYskZU9CA8vVm/fLEaXCkmtreqEUAQxPhycBXtQ3BllnneC838lXXCoLO1oFlAE7qsATYg&#10;ulbZJM8X2WChcWC58B5P745Ouk74bSt4+NC2XgSiKoq1hbRCWuu4ZusVKztgrpf8VAb7hyo0kwaT&#10;nqHuWGBkB/IXKC05WG/bcMWtzmzbSi5SD9hNkf/UzWPPnEi9IDnenWny/w+Wv98/AJFNRaeUGKZR&#10;oo9IGjOdEmQa6RmcLzHq0T1AbNC7e8u/eGLspscocQtgh16wBosqYnz2w4VoeLxK6uGdbRCd7YJN&#10;TI0t6AiIHJAxCXI4CyLGQDgeLvLFZDqbU8LRNyvmy8k8pWDl020HPrwRVpO4qShg7Qmd7e99iNWw&#10;8ikkVW+VbLZSqWRAV28UkD3Dx7FN3wndX4YpQ4aKLueY+88Qefp+B6FlwFeupK7o9TmIlZG216Yh&#10;4eCQGYMDQmMqrylRAscJN+l9BibV3+OwVWVO/EfKj9KFsR6TvkmcKEdtmwMKAvY4DDi8uOktfMPk&#10;OAiY9uuOAZai3hoUdVnMsHMSkjGbL5Y40XDpqS89zHCEqmig5LjdhOO07RzIrsdMRWLR2Ft8CK1M&#10;Gj1XdSofH3uS7jSYcZou7RT1/PtYfwcAAP//AwBQSwMEFAAGAAgAAAAhABqNTW7bAAAABAEAAA8A&#10;AABkcnMvZG93bnJldi54bWxMj0FLw0AQhe+C/2EZwZvdKG7VmE2RYkHQi9VLb5PsNAnNzobsNo3/&#10;3tGLXgYe7/HeN8Vq9r2aaIxdYAvXiwwUcR1cx42Fz4/N1T2omJAd9oHJwhdFWJXnZwXmLpz4naZt&#10;apSUcMzRQpvSkGsd65Y8xkUYiMXbh9FjEjk22o14knLf65ssW2qPHctCiwOtW6oP26O3sH4zuHt5&#10;7ZoD1zsTn6d9tckmay8v5qdHUInm9BeGH3xBh1KYqnBkF1VvQR5Jv1e8B3N7B6qysDQGdFno//Dl&#10;NwAAAP//AwBQSwECLQAUAAYACAAAACEAtoM4kv4AAADhAQAAEwAAAAAAAAAAAAAAAAAAAAAAW0Nv&#10;bnRlbnRfVHlwZXNdLnhtbFBLAQItABQABgAIAAAAIQA4/SH/1gAAAJQBAAALAAAAAAAAAAAAAAAA&#10;AC8BAABfcmVscy8ucmVsc1BLAQItABQABgAIAAAAIQBwavUjNwIAAIYEAAAOAAAAAAAAAAAAAAAA&#10;AC4CAABkcnMvZTJvRG9jLnhtbFBLAQItABQABgAIAAAAIQAajU1u2wAAAAQBAAAPAAAAAAAAAAAA&#10;AAAAAJE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EB6985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07D6C7A8" w14:textId="77777777" w:rsidR="006C4435" w:rsidRDefault="006C4435" w:rsidP="006C4435">
      <w:pPr>
        <w:spacing w:after="120"/>
        <w:rPr>
          <w:rFonts w:ascii="Tw Cen MT" w:hAnsi="Tw Cen MT"/>
          <w:color w:val="000000"/>
        </w:rPr>
      </w:pPr>
    </w:p>
    <w:p w14:paraId="55B63506" w14:textId="77777777" w:rsidR="006C4435" w:rsidRDefault="006C4435" w:rsidP="006C4435">
      <w:pPr>
        <w:widowControl w:val="0"/>
        <w:spacing w:before="6"/>
        <w:ind w:right="333"/>
        <w:rPr>
          <w:rFonts w:ascii="Tw Cen MT" w:hAnsi="Tw Cen MT"/>
        </w:rPr>
      </w:pPr>
      <w:r>
        <w:rPr>
          <w:rFonts w:ascii="Tw Cen MT" w:hAnsi="Tw Cen MT"/>
        </w:rPr>
        <w:t>A functioning accounting system that is operated in accordance with generally accepted accounting principles.</w:t>
      </w:r>
    </w:p>
    <w:p w14:paraId="4A1CFB79" w14:textId="77777777" w:rsidR="006C4435" w:rsidRDefault="006C4435" w:rsidP="006C4435">
      <w:pPr>
        <w:widowControl w:val="0"/>
        <w:spacing w:before="6"/>
        <w:ind w:right="333"/>
        <w:rPr>
          <w:rFonts w:ascii="Tw Cen MT" w:hAnsi="Tw Cen MT"/>
        </w:rPr>
      </w:pPr>
    </w:p>
    <w:p w14:paraId="54E8380F" w14:textId="0F08E642" w:rsidR="006C4435" w:rsidRDefault="006C4435" w:rsidP="006C4435">
      <w:pPr>
        <w:rPr>
          <w:rFonts w:ascii="Tw Cen MT" w:hAnsi="Tw Cen MT"/>
          <w:color w:val="000000"/>
        </w:rPr>
      </w:pPr>
      <w:r>
        <w:rPr>
          <w:rFonts w:ascii="Tw Cen MT" w:hAnsi="Tw Cen MT"/>
          <w:i/>
          <w:color w:val="000000"/>
        </w:rPr>
        <w:t>Justification:</w:t>
      </w:r>
      <w:r>
        <w:rPr>
          <w:rFonts w:ascii="Tw Cen MT" w:hAnsi="Tw Cen MT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6F2639E" wp14:editId="270BE97B">
                <wp:extent cx="6062345" cy="415925"/>
                <wp:effectExtent l="9525" t="9525" r="508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3BD57A" w14:textId="77777777" w:rsidR="006C4435" w:rsidRDefault="006C4435" w:rsidP="006C4435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2639E" id="Rectangle 2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9NQIAAH8EAAAOAAAAZHJzL2Uyb0RvYy54bWysVNuO0zAQfUfiHyy/s7nQVtuo6WrVpQhp&#10;gRULH+A6TmLhG2O3Sfl6xm62lItAQuTB8tjjM2fOzGR1M2pFDgK8tKamxVVOiTDcNtJ0Nf30cfvi&#10;mhIfmGmYskbU9Cg8vVk/f7YaXCVK21vVCCAIYnw1uJr2IbgqyzzvhWb+yjph8LK1oFlAE7qsATYg&#10;ulZZmeeLbLDQOLBceI+nd6dLuk74bSt4eN+2XgSiaorcQlohrbu4ZusVqzpgrpd8osH+gYVm0mDQ&#10;M9QdC4zsQf4CpSUH620brrjVmW1byUXKAbMp8p+yeeyZEykXFMe7s0z+/8Hyd4cHILKpaUmJYRpL&#10;9AFFY6ZTgpRRnsH5Cr0e3QPEBL27t/yzJ8ZuevQStwB26AVrkFQR/bMfHkTD41OyG97aBtHZPtik&#10;1NiCjoCoARlTQY7ngogxEI6Hi3xRvpzNKeF4Nyvmy3KeQrDq6bUDH14Lq0nc1BSQe0Jnh3sfIhtW&#10;Pbkk9lbJZiuVSgZ0u40CcmDYHNv0Tej+0k0ZMtR0OcfYf4bI0/c7CC0DdrmSuqbXZydWRdlemYaE&#10;o0NlDA4IjaG8pkQJHCfcpP4MTKq/+2Gqykz6R8lPpQvjbpyquLPNESsB9jQFOLW46S18xag4ARjv&#10;y54BclBvDFZzWcwwZRKSMZsvljjKcHmzu7xhhiNUTQMlp+0mnMZs70B2PUYqknzG3mIHtDIVJ3bH&#10;idXEG7s81WyayDhGl3by+v7fWH8DAAD//wMAUEsDBBQABgAIAAAAIQAajU1u2wAAAAQBAAAPAAAA&#10;ZHJzL2Rvd25yZXYueG1sTI9BS8NAEIXvgv9hGcGb3Shu1ZhNkWJB0IvVS2+T7DQJzc6G7DaN/97R&#10;i14GHu/x3jfFava9mmiMXWAL14sMFHEdXMeNhc+PzdU9qJiQHfaBycIXRViV52cF5i6c+J2mbWqU&#10;lHDM0UKb0pBrHeuWPMZFGIjF24fRYxI5NtqNeJJy3+ubLFtqjx3LQosDrVuqD9ujt7B+M7h7ee2a&#10;A9c7E5+nfbXJJmsvL+anR1CJ5vQXhh98QYdSmKpwZBdVb0EeSb9XvAdzeweqsrA0BnRZ6P/w5TcA&#10;AAD//wMAUEsBAi0AFAAGAAgAAAAhALaDOJL+AAAA4QEAABMAAAAAAAAAAAAAAAAAAAAAAFtDb250&#10;ZW50X1R5cGVzXS54bWxQSwECLQAUAAYACAAAACEAOP0h/9YAAACUAQAACwAAAAAAAAAAAAAAAAAv&#10;AQAAX3JlbHMvLnJlbHNQSwECLQAUAAYACAAAACEAa27zvTUCAAB/BAAADgAAAAAAAAAAAAAAAAAu&#10;AgAAZHJzL2Uyb0RvYy54bWxQSwECLQAUAAYACAAAACEAGo1NbtsAAAAEAQAADwAAAAAAAAAAAAAA&#10;AACP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3BD57A" w14:textId="77777777" w:rsidR="006C4435" w:rsidRDefault="006C4435" w:rsidP="006C4435"/>
                  </w:txbxContent>
                </v:textbox>
                <w10:anchorlock/>
              </v:rect>
            </w:pict>
          </mc:Fallback>
        </mc:AlternateContent>
      </w:r>
    </w:p>
    <w:p w14:paraId="7009C5A4" w14:textId="77777777" w:rsidR="00232F5C" w:rsidRPr="006C4435" w:rsidRDefault="00232F5C" w:rsidP="006C4435"/>
    <w:sectPr w:rsidR="00232F5C" w:rsidRPr="006C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B"/>
    <w:rsid w:val="00232F5C"/>
    <w:rsid w:val="003760CB"/>
    <w:rsid w:val="006C4435"/>
    <w:rsid w:val="00A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D253E1"/>
  <w15:chartTrackingRefBased/>
  <w15:docId w15:val="{4D12B486-9EC6-46DE-A413-FA626EF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CB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semiHidden/>
    <w:unhideWhenUsed/>
    <w:qFormat/>
    <w:rsid w:val="006C4435"/>
    <w:pPr>
      <w:keepNext/>
      <w:outlineLvl w:val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semiHidden/>
    <w:rsid w:val="006C4435"/>
    <w:rPr>
      <w:rFonts w:ascii="Twentieth Century" w:eastAsia="Times New Roman" w:hAnsi="Twentieth 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>Department of Behavioral Health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3</cp:revision>
  <dcterms:created xsi:type="dcterms:W3CDTF">2021-01-21T15:06:00Z</dcterms:created>
  <dcterms:modified xsi:type="dcterms:W3CDTF">2021-01-26T15:31:00Z</dcterms:modified>
</cp:coreProperties>
</file>