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EAFB" w14:textId="77777777" w:rsidR="00181018" w:rsidRPr="00181018" w:rsidRDefault="00181018" w:rsidP="00181018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000000" w:themeColor="text1"/>
          <w:sz w:val="21"/>
          <w:szCs w:val="21"/>
        </w:rPr>
      </w:pPr>
      <w:r w:rsidRPr="009F2582"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Hospital Standard Charges</w:t>
      </w:r>
    </w:p>
    <w:p w14:paraId="08BC95CD" w14:textId="0B4E57D6" w:rsidR="00181018" w:rsidRPr="00C450D7" w:rsidRDefault="00181018" w:rsidP="00F209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Saint Elizabeths Hospital</w:t>
      </w:r>
      <w:r w:rsidR="00A41E28" w:rsidRPr="00C45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5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has an all-inclusive daily rate for inpatient services. </w:t>
      </w:r>
      <w:r w:rsidR="00D77BCF" w:rsidRPr="00C45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means that there is usually no added charges for ancillary services </w:t>
      </w:r>
      <w:r w:rsidR="00CB6773" w:rsidRPr="00C45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pharmaceutical drugs </w:t>
      </w:r>
      <w:r w:rsidR="00D77BCF" w:rsidRPr="00C45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offe</w:t>
      </w:r>
      <w:r w:rsidR="00B10E3E" w:rsidRPr="00C45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 to its inpatient population</w:t>
      </w:r>
      <w:r w:rsidR="00A41E28" w:rsidRPr="00C45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Patients are admitted to Saint Elizabeth Hospital through either the civil commitment process or the forensic commitment </w:t>
      </w:r>
      <w:r w:rsidR="00DA4CA4" w:rsidRPr="00C45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process, so only</w:t>
      </w:r>
      <w:r w:rsidR="007E5431" w:rsidRPr="00C45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some</w:t>
      </w:r>
      <w:r w:rsidR="00DA4CA4" w:rsidRPr="00C45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patients are responsible for the cost of care. </w:t>
      </w:r>
    </w:p>
    <w:p w14:paraId="4B4AA245" w14:textId="7A5501A5" w:rsidR="00C450D7" w:rsidRPr="00C450D7" w:rsidRDefault="00181018" w:rsidP="00C450D7">
      <w:pPr>
        <w:rPr>
          <w:rFonts w:ascii="Times New Roman" w:hAnsi="Times New Roman" w:cs="Times New Roman"/>
        </w:rPr>
      </w:pPr>
      <w:r w:rsidRPr="00C45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Rates are subject to change, generally on an annual basis. Updates will be provided accordingly.</w:t>
      </w:r>
      <w:r w:rsidR="008F4F81" w:rsidRPr="00C45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50D7" w:rsidRPr="00C450D7">
        <w:rPr>
          <w:rFonts w:ascii="Times New Roman" w:hAnsi="Times New Roman" w:cs="Times New Roman"/>
          <w:sz w:val="24"/>
          <w:szCs w:val="24"/>
        </w:rPr>
        <w:t>Below is a chart of the range of daily charge rates for services rendered at Saint Elizabeths Hospital</w:t>
      </w:r>
      <w:r w:rsidR="00C450D7">
        <w:rPr>
          <w:rFonts w:ascii="Times New Roman" w:hAnsi="Times New Roman" w:cs="Times New Roman"/>
        </w:rPr>
        <w:t>:</w:t>
      </w:r>
    </w:p>
    <w:p w14:paraId="2D5E12C7" w14:textId="77777777" w:rsidR="00181018" w:rsidRPr="00181018" w:rsidRDefault="00181018" w:rsidP="00181018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000000" w:themeColor="text1"/>
          <w:sz w:val="21"/>
          <w:szCs w:val="21"/>
        </w:rPr>
      </w:pPr>
      <w:r w:rsidRPr="00181018">
        <w:rPr>
          <w:rFonts w:ascii="Roboto-Regular" w:eastAsia="Times New Roman" w:hAnsi="Roboto-Regular" w:cs="Times New Roman"/>
          <w:color w:val="000000" w:themeColor="text1"/>
          <w:sz w:val="21"/>
          <w:szCs w:val="21"/>
        </w:rPr>
        <w:t> </w:t>
      </w:r>
    </w:p>
    <w:tbl>
      <w:tblPr>
        <w:tblW w:w="10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835"/>
        <w:gridCol w:w="1727"/>
      </w:tblGrid>
      <w:tr w:rsidR="000E42B9" w:rsidRPr="00181018" w14:paraId="46745A3A" w14:textId="77777777" w:rsidTr="000E42B9">
        <w:trPr>
          <w:trHeight w:val="128"/>
          <w:tblHeader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63938" w14:textId="025C043A" w:rsidR="000E42B9" w:rsidRPr="00181018" w:rsidRDefault="000E42B9" w:rsidP="0018101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Code</w:t>
            </w:r>
          </w:p>
        </w:tc>
        <w:tc>
          <w:tcPr>
            <w:tcW w:w="7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D7A5C75" w14:textId="1EF75FE3" w:rsidR="000E42B9" w:rsidRPr="00181018" w:rsidRDefault="000E42B9" w:rsidP="0018101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1018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Description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A39CCD8" w14:textId="6274380B" w:rsidR="000E42B9" w:rsidRPr="00181018" w:rsidRDefault="000E42B9" w:rsidP="00F209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1018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Charge</w:t>
            </w:r>
          </w:p>
        </w:tc>
      </w:tr>
      <w:tr w:rsidR="000E42B9" w:rsidRPr="00181018" w14:paraId="183B625A" w14:textId="77777777" w:rsidTr="000E42B9">
        <w:trPr>
          <w:trHeight w:val="259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ED83D9C" w14:textId="1133F2E9" w:rsidR="000E42B9" w:rsidRPr="00181018" w:rsidRDefault="000E42B9" w:rsidP="00F2091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0100</w:t>
            </w:r>
          </w:p>
        </w:tc>
        <w:tc>
          <w:tcPr>
            <w:tcW w:w="7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314BF45" w14:textId="3C6DE433" w:rsidR="000E42B9" w:rsidRPr="00181018" w:rsidRDefault="000E42B9" w:rsidP="00F20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018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All Inclusive </w:t>
            </w:r>
            <w:r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Inpatient </w:t>
            </w:r>
            <w:r w:rsidRPr="00181018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Per Diem Charge </w:t>
            </w:r>
            <w:r w:rsidRPr="009F2582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(gross charge), including payer-specific negotiated rates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DFA5929" w14:textId="10C79EC1" w:rsidR="000E42B9" w:rsidRPr="00181018" w:rsidRDefault="000E42B9" w:rsidP="007E54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018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$</w:t>
            </w:r>
            <w:r w:rsidRPr="00C450D7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1236.00-$1545.00</w:t>
            </w:r>
          </w:p>
        </w:tc>
      </w:tr>
      <w:tr w:rsidR="000E42B9" w:rsidRPr="009F2582" w14:paraId="3DFC8A63" w14:textId="77777777" w:rsidTr="000E42B9">
        <w:trPr>
          <w:trHeight w:val="265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E0AF6" w14:textId="10FA8B45" w:rsidR="000E42B9" w:rsidRPr="000E42B9" w:rsidRDefault="000E42B9" w:rsidP="001E131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E42B9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0240</w:t>
            </w:r>
          </w:p>
        </w:tc>
        <w:tc>
          <w:tcPr>
            <w:tcW w:w="9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1943875" w14:textId="28C075A5" w:rsidR="000E42B9" w:rsidRPr="009F2582" w:rsidRDefault="000E42B9" w:rsidP="001E131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F2582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For patients whose benefits are exhausted, the Hospital </w:t>
            </w:r>
            <w:r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is reimbursed</w:t>
            </w:r>
            <w:r w:rsidRPr="009F2582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only the daily rate permitted under Medicare </w:t>
            </w:r>
            <w:r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Part </w:t>
            </w:r>
            <w:r w:rsidRPr="009F2582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B, which is less that the minimum per diem charge.</w:t>
            </w:r>
            <w:r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3E46D23F" w14:textId="77777777" w:rsidR="000E42B9" w:rsidRPr="009F2582" w:rsidRDefault="000E42B9" w:rsidP="001E131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E42B9" w:rsidRPr="009F2582" w14:paraId="06B62C1D" w14:textId="77777777" w:rsidTr="000E42B9">
        <w:trPr>
          <w:trHeight w:val="50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CA564E" w14:textId="77777777" w:rsidR="000E42B9" w:rsidRPr="009F2582" w:rsidRDefault="000E42B9" w:rsidP="002F71A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21C39001" w14:textId="6AA77F44" w:rsidR="000E42B9" w:rsidRPr="009F2582" w:rsidRDefault="000E42B9" w:rsidP="002F71A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F2582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De-Identified Minimum </w:t>
            </w:r>
            <w:r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Inpatient </w:t>
            </w:r>
            <w:r w:rsidRPr="009F2582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Per Diem Rate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783740" w14:textId="1B1FE3E2" w:rsidR="000E42B9" w:rsidRPr="009F2582" w:rsidRDefault="000E42B9" w:rsidP="001E131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F2582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$</w:t>
            </w:r>
            <w:r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1236.00</w:t>
            </w:r>
          </w:p>
          <w:p w14:paraId="2CEC77A1" w14:textId="77777777" w:rsidR="000E42B9" w:rsidRPr="009F2582" w:rsidRDefault="000E42B9" w:rsidP="001E131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E42B9" w:rsidRPr="009F2582" w14:paraId="2D2ADE48" w14:textId="77777777" w:rsidTr="000E42B9">
        <w:trPr>
          <w:trHeight w:val="50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87F289" w14:textId="77777777" w:rsidR="000E42B9" w:rsidRDefault="000E42B9" w:rsidP="001E131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21A8F47" w14:textId="0B5DB8D1" w:rsidR="000E42B9" w:rsidRDefault="000E42B9" w:rsidP="001E131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14:paraId="1FF75D4E" w14:textId="48AE3D7D" w:rsidR="000E42B9" w:rsidRPr="009F2582" w:rsidRDefault="000E42B9" w:rsidP="001E131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F2582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De-Identified Maximum </w:t>
            </w:r>
            <w:r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Inpatient </w:t>
            </w:r>
            <w:r w:rsidRPr="009F2582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Per Diem Rate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C329E3" w14:textId="77777777" w:rsidR="000E42B9" w:rsidRPr="009F2582" w:rsidRDefault="000E42B9" w:rsidP="001E131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F2582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$1545.00</w:t>
            </w:r>
          </w:p>
        </w:tc>
      </w:tr>
      <w:tr w:rsidR="000E42B9" w:rsidRPr="009F2582" w14:paraId="78D2F9E6" w14:textId="77777777" w:rsidTr="000E42B9">
        <w:trPr>
          <w:trHeight w:val="50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6012E9" w14:textId="77777777" w:rsidR="000E42B9" w:rsidRDefault="000E42B9" w:rsidP="001E131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2ED243A0" w14:textId="6B70259E" w:rsidR="000E42B9" w:rsidRDefault="000E42B9" w:rsidP="001E131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Discounted Cash Price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92F02" w14:textId="5B64FBDA" w:rsidR="000E42B9" w:rsidRDefault="000E42B9" w:rsidP="001E131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N/A</w:t>
            </w:r>
          </w:p>
          <w:p w14:paraId="6B0D506B" w14:textId="77777777" w:rsidR="000E42B9" w:rsidRPr="009F2582" w:rsidRDefault="000E42B9" w:rsidP="001E131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E42B9" w:rsidRPr="009F2582" w14:paraId="00E44DD5" w14:textId="77777777" w:rsidTr="000E42B9">
        <w:trPr>
          <w:trHeight w:val="50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E49EB7" w14:textId="77777777" w:rsidR="000E42B9" w:rsidRDefault="000E42B9" w:rsidP="001E131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EDA1138" w14:textId="28C25FDE" w:rsidR="000E42B9" w:rsidRDefault="000E42B9" w:rsidP="001E131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14:paraId="3ED38662" w14:textId="6B890072" w:rsidR="000E42B9" w:rsidRPr="009F2582" w:rsidRDefault="000E42B9" w:rsidP="00FB674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F2582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Discounted Per Diem Rate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72CF3" w14:textId="1EB0C447" w:rsidR="000E42B9" w:rsidRPr="00FB6747" w:rsidRDefault="000E42B9" w:rsidP="00C93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Sliding fee scale for the p</w:t>
            </w:r>
            <w:r w:rsidRPr="00FB67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ercent of discount is based </w:t>
            </w:r>
            <w:r>
              <w:rPr>
                <w:rFonts w:ascii="Times New Roman" w:hAnsi="Times New Roman" w:cs="Times New Roman"/>
              </w:rPr>
              <w:t xml:space="preserve">on patient’s household </w:t>
            </w:r>
            <w:r w:rsidRPr="00FB6747">
              <w:rPr>
                <w:rFonts w:ascii="Times New Roman" w:hAnsi="Times New Roman" w:cs="Times New Roman"/>
              </w:rPr>
              <w:t>income and family size, using the Federal poverty sliding fee scale</w:t>
            </w:r>
          </w:p>
        </w:tc>
      </w:tr>
    </w:tbl>
    <w:p w14:paraId="518A98E7" w14:textId="77777777" w:rsidR="001E1311" w:rsidRDefault="00181018" w:rsidP="00181018">
      <w:pPr>
        <w:spacing w:after="300" w:line="240" w:lineRule="auto"/>
        <w:textAlignment w:val="baseline"/>
        <w:rPr>
          <w:rFonts w:ascii="Roboto-Regular" w:eastAsia="Times New Roman" w:hAnsi="Roboto-Regular" w:cs="Times New Roman"/>
          <w:color w:val="000000" w:themeColor="text1"/>
          <w:sz w:val="21"/>
          <w:szCs w:val="21"/>
        </w:rPr>
      </w:pPr>
      <w:r w:rsidRPr="00181018">
        <w:rPr>
          <w:rFonts w:ascii="Roboto-Regular" w:eastAsia="Times New Roman" w:hAnsi="Roboto-Regular" w:cs="Times New Roman"/>
          <w:color w:val="000000" w:themeColor="text1"/>
          <w:sz w:val="21"/>
          <w:szCs w:val="21"/>
        </w:rPr>
        <w:t> </w:t>
      </w:r>
      <w:r w:rsidR="001E1311" w:rsidRPr="009F2582">
        <w:rPr>
          <w:rFonts w:ascii="Roboto-Regular" w:eastAsia="Times New Roman" w:hAnsi="Roboto-Regular" w:cs="Times New Roman"/>
          <w:color w:val="000000" w:themeColor="text1"/>
          <w:sz w:val="21"/>
          <w:szCs w:val="21"/>
        </w:rPr>
        <w:t>To download this table, click here</w:t>
      </w:r>
    </w:p>
    <w:p w14:paraId="257BE8E8" w14:textId="77777777" w:rsidR="00334D24" w:rsidRDefault="00334D24" w:rsidP="009F2582">
      <w:pPr>
        <w:spacing w:after="0" w:line="240" w:lineRule="auto"/>
        <w:textAlignment w:val="baseline"/>
        <w:rPr>
          <w:rFonts w:ascii="Roboto-Regular" w:eastAsia="Times New Roman" w:hAnsi="Roboto-Regular" w:cs="Times New Roman"/>
          <w:b/>
          <w:color w:val="000000" w:themeColor="text1"/>
          <w:sz w:val="21"/>
          <w:szCs w:val="21"/>
        </w:rPr>
      </w:pPr>
    </w:p>
    <w:p w14:paraId="49014CC2" w14:textId="77777777" w:rsidR="009F2582" w:rsidRPr="009F2582" w:rsidRDefault="009F2582" w:rsidP="009F2582">
      <w:pPr>
        <w:spacing w:after="0" w:line="240" w:lineRule="auto"/>
        <w:textAlignment w:val="baseline"/>
        <w:rPr>
          <w:rFonts w:ascii="Roboto-Regular" w:eastAsia="Times New Roman" w:hAnsi="Roboto-Regular" w:cs="Times New Roman"/>
          <w:b/>
          <w:color w:val="000000" w:themeColor="text1"/>
          <w:sz w:val="21"/>
          <w:szCs w:val="21"/>
        </w:rPr>
      </w:pPr>
      <w:r w:rsidRPr="009F2582">
        <w:rPr>
          <w:rFonts w:ascii="Roboto-Regular" w:eastAsia="Times New Roman" w:hAnsi="Roboto-Regular" w:cs="Times New Roman"/>
          <w:b/>
          <w:color w:val="000000" w:themeColor="text1"/>
          <w:sz w:val="21"/>
          <w:szCs w:val="21"/>
        </w:rPr>
        <w:t>Price Transparency Disclaimer</w:t>
      </w:r>
    </w:p>
    <w:p w14:paraId="51EA79EE" w14:textId="41E2263E" w:rsidR="008F4F81" w:rsidRPr="009F2582" w:rsidRDefault="008F4F81" w:rsidP="008F4F81">
      <w:pPr>
        <w:rPr>
          <w:rFonts w:ascii="Times New Roman" w:hAnsi="Times New Roman" w:cs="Times New Roman"/>
          <w:color w:val="000000" w:themeColor="text1"/>
        </w:rPr>
      </w:pPr>
      <w:r w:rsidRPr="009F2582">
        <w:rPr>
          <w:rFonts w:ascii="Times New Roman" w:hAnsi="Times New Roman" w:cs="Times New Roman"/>
          <w:color w:val="000000" w:themeColor="text1"/>
        </w:rPr>
        <w:t xml:space="preserve">Saint Elizabeths Hospital does not have a list of shoppable services because it provides all-inclusive daily rates for </w:t>
      </w:r>
      <w:r w:rsidR="00C9300A">
        <w:rPr>
          <w:rFonts w:ascii="Times New Roman" w:hAnsi="Times New Roman" w:cs="Times New Roman"/>
          <w:color w:val="000000" w:themeColor="text1"/>
        </w:rPr>
        <w:t xml:space="preserve">its inpatient </w:t>
      </w:r>
      <w:r w:rsidRPr="009F2582">
        <w:rPr>
          <w:rFonts w:ascii="Times New Roman" w:hAnsi="Times New Roman" w:cs="Times New Roman"/>
          <w:color w:val="000000" w:themeColor="text1"/>
        </w:rPr>
        <w:t>services provide</w:t>
      </w:r>
      <w:r w:rsidR="007D5550">
        <w:rPr>
          <w:rFonts w:ascii="Times New Roman" w:hAnsi="Times New Roman" w:cs="Times New Roman"/>
          <w:color w:val="000000" w:themeColor="text1"/>
        </w:rPr>
        <w:t>d to patients.</w:t>
      </w:r>
      <w:r w:rsidRPr="009F2582">
        <w:rPr>
          <w:rFonts w:ascii="Times New Roman" w:hAnsi="Times New Roman" w:cs="Times New Roman"/>
          <w:color w:val="000000" w:themeColor="text1"/>
        </w:rPr>
        <w:t xml:space="preserve">  </w:t>
      </w:r>
    </w:p>
    <w:p w14:paraId="2B5475EE" w14:textId="77777777" w:rsidR="008F4F81" w:rsidRPr="00181018" w:rsidRDefault="008F4F81" w:rsidP="00181018">
      <w:pPr>
        <w:spacing w:after="300" w:line="240" w:lineRule="auto"/>
        <w:textAlignment w:val="baseline"/>
        <w:rPr>
          <w:rFonts w:ascii="Roboto-Regular" w:eastAsia="Times New Roman" w:hAnsi="Roboto-Regular" w:cs="Times New Roman"/>
          <w:color w:val="444444"/>
          <w:sz w:val="21"/>
          <w:szCs w:val="21"/>
        </w:rPr>
      </w:pPr>
    </w:p>
    <w:p w14:paraId="623CF676" w14:textId="77777777" w:rsidR="00181018" w:rsidRPr="00181018" w:rsidRDefault="00181018" w:rsidP="00181018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444444"/>
          <w:sz w:val="21"/>
          <w:szCs w:val="21"/>
        </w:rPr>
      </w:pPr>
      <w:r w:rsidRPr="00181018">
        <w:rPr>
          <w:rFonts w:ascii="Roboto-Regular" w:eastAsia="Times New Roman" w:hAnsi="Roboto-Regular" w:cs="Times New Roman"/>
          <w:color w:val="444444"/>
          <w:sz w:val="21"/>
          <w:szCs w:val="21"/>
        </w:rPr>
        <w:t> </w:t>
      </w:r>
    </w:p>
    <w:p w14:paraId="57C80640" w14:textId="77777777" w:rsidR="00DB1EDA" w:rsidRDefault="00DB1EDA"/>
    <w:p w14:paraId="2FA4A8FB" w14:textId="77777777" w:rsidR="00DB1EDA" w:rsidRDefault="00DB1EDA"/>
    <w:sectPr w:rsidR="00DB1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D04"/>
    <w:multiLevelType w:val="multilevel"/>
    <w:tmpl w:val="36EE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14395"/>
    <w:multiLevelType w:val="multilevel"/>
    <w:tmpl w:val="E9C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BC0879"/>
    <w:multiLevelType w:val="multilevel"/>
    <w:tmpl w:val="75A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AA66E7"/>
    <w:multiLevelType w:val="hybridMultilevel"/>
    <w:tmpl w:val="ABC8BFD8"/>
    <w:lvl w:ilvl="0" w:tplc="7AE2BF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96102"/>
    <w:multiLevelType w:val="multilevel"/>
    <w:tmpl w:val="8FE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4563753">
    <w:abstractNumId w:val="1"/>
  </w:num>
  <w:num w:numId="2" w16cid:durableId="1488014992">
    <w:abstractNumId w:val="2"/>
  </w:num>
  <w:num w:numId="3" w16cid:durableId="1620532646">
    <w:abstractNumId w:val="0"/>
  </w:num>
  <w:num w:numId="4" w16cid:durableId="237792196">
    <w:abstractNumId w:val="4"/>
  </w:num>
  <w:num w:numId="5" w16cid:durableId="1644121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07"/>
    <w:rsid w:val="00082141"/>
    <w:rsid w:val="000E42B9"/>
    <w:rsid w:val="00125C44"/>
    <w:rsid w:val="00181018"/>
    <w:rsid w:val="001E1311"/>
    <w:rsid w:val="002F71AD"/>
    <w:rsid w:val="00311387"/>
    <w:rsid w:val="00334D24"/>
    <w:rsid w:val="00362288"/>
    <w:rsid w:val="003C2CDF"/>
    <w:rsid w:val="00443F13"/>
    <w:rsid w:val="00480407"/>
    <w:rsid w:val="007D5550"/>
    <w:rsid w:val="007E5431"/>
    <w:rsid w:val="00822C41"/>
    <w:rsid w:val="008F4F81"/>
    <w:rsid w:val="009F2582"/>
    <w:rsid w:val="00A41E28"/>
    <w:rsid w:val="00A470ED"/>
    <w:rsid w:val="00B10E3E"/>
    <w:rsid w:val="00C450D7"/>
    <w:rsid w:val="00C9300A"/>
    <w:rsid w:val="00CB6773"/>
    <w:rsid w:val="00D66F86"/>
    <w:rsid w:val="00D77BCF"/>
    <w:rsid w:val="00D8606A"/>
    <w:rsid w:val="00DA4CA4"/>
    <w:rsid w:val="00DB1EDA"/>
    <w:rsid w:val="00E94BD3"/>
    <w:rsid w:val="00EE0C12"/>
    <w:rsid w:val="00F20912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41AE"/>
  <w15:chartTrackingRefBased/>
  <w15:docId w15:val="{316DDE4F-7263-4C5B-8788-0D01A242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10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5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1296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Blake-Smith</dc:creator>
  <cp:keywords/>
  <dc:description/>
  <cp:lastModifiedBy>Dyson, Kevin (DBH)</cp:lastModifiedBy>
  <cp:revision>2</cp:revision>
  <dcterms:created xsi:type="dcterms:W3CDTF">2023-07-28T14:35:00Z</dcterms:created>
  <dcterms:modified xsi:type="dcterms:W3CDTF">2023-07-28T14:35:00Z</dcterms:modified>
</cp:coreProperties>
</file>